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Рустамович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r>
        <w:drawing>
          <wp:inline>
            <wp:extent cx="5334000" cy="2046377"/>
            <wp:effectExtent b="0" l="0" r="0" t="0"/>
            <wp:docPr descr="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для программы</w:t>
      </w:r>
    </w:p>
    <w:p>
      <w:pPr>
        <w:pStyle w:val="Compact"/>
        <w:numPr>
          <w:ilvl w:val="0"/>
          <w:numId w:val="1002"/>
        </w:numPr>
      </w:pPr>
      <w:r>
        <w:t xml:space="preserve">Написал код программы по заданию.</w:t>
      </w:r>
    </w:p>
    <w:p>
      <w:pPr>
        <w:pStyle w:val="CaptionedFigure"/>
      </w:pPr>
      <w:r>
        <w:drawing>
          <wp:inline>
            <wp:extent cx="5334000" cy="3752939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2081560"/>
            <wp:effectExtent b="0" l="0" r="0" t="0"/>
            <wp:docPr descr="Сбор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Сборка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5334000" cy="3663594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090850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Валиев Руслан Рустамович</dc:creator>
  <dc:language>ru-RU</dc:language>
  <cp:keywords/>
  <dcterms:created xsi:type="dcterms:W3CDTF">2024-11-01T17:23:31Z</dcterms:created>
  <dcterms:modified xsi:type="dcterms:W3CDTF">2024-11-01T17:23:31Z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