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№5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by.itacademy.hw5.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Демонстрация работы класса выполняется в классе Main.</w:t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bookmarkStart w:colFirst="0" w:colLast="0" w:name="_rq4h2swc7vl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1. Создать класс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который содержит: </w:t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rq4h2swc7vl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переменные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fullName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Style w:val="Heading2"/>
        <w:keepNext w:val="1"/>
        <w:keepLines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rq4h2swc7vl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методы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move()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talk()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в которых просто вывести на консоль сообщение -"Такой-то  Person говорит".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bookmarkStart w:colFirst="0" w:colLast="0" w:name="_q0khev5jfwr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Добавьте два конструктора  -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Person()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Person(fullName, age)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. Создайте два объекта этого класса. Один объект инициализируется конструктором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Person()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другой -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Person(fullName, age)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. Продемострируйте работу методов.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bookmarkStart w:colFirst="0" w:colLast="0" w:name="_fpb1kqepke2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2. Создайте класс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который содержит переменные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. Добавить в класс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Phone 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методы: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receiveCall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имеет один параметр – имя звонящего. Выводит на консоль сообщение “Звонит {name}”.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getNumber 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– возвращает номер телефона. Вызвать эти методы для каждого из объектов.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sendMessage 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с аргументами переменной длины. Данный метод принимает на вход номера телефонов, которым будет отправлено сообщение. Метод выводит на консоль номера этих телефонов.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перегруженный 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receiveCall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который принимает два параметра - имя звонящего и номер телефона звонящего.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Добавить конструкторы в класс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Phone: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 принимает на вход три параметра для инициализации переменных класса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принимает на вход два параметра для инициализации переменных класса -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z w:val="28"/>
          <w:szCs w:val="28"/>
          <w:shd w:fill="f4f9fd" w:val="clear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без параметров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Создать объекты и продемонстрировать вызов методов.</w:t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3.* Создать класс "Матрица". Класс должен иметь следующие переменные: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двумерный массив вещественных чисел;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количество строк и столбцов в матрице.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Класс должен иметь следующие методы: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сложение с другой матрицей;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умножение на число;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вывод на печать;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умножение матриц.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sz w:val="28"/>
          <w:szCs w:val="28"/>
          <w:rtl w:val="0"/>
        </w:rPr>
        <w:t xml:space="preserve">Продемонстрируйте работу методов класса.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color w:val="2f374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