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6"/>
        </w:rPr>
        <w:t>UNIVERSITATEA TEHNICĂ DIN CLUJ-NAPOCA</w:t>
        <w:br/>
        <w:t>CENTRUL UNIVERSITAR NORD DIN BAIA MARE</w:t>
        <w:br/>
        <w:t>FACULTATEA DE INGINERIE</w:t>
        <w:br/>
        <w:t>DISCIPLINA: PROIECTAREA BAZELOR DE DATE</w:t>
        <w:br/>
        <w:br/>
        <w:br/>
        <w:br/>
      </w:r>
    </w:p>
    <w:p>
      <w:pPr>
        <w:jc w:val="center"/>
      </w:pPr>
      <w:r>
        <w:rPr>
          <w:b/>
          <w:sz w:val="32"/>
        </w:rPr>
        <w:t>DOCUMENTAȚIE PROIECT</w:t>
        <w:br/>
        <w:t>SISTEM DE GESTIUNE A FINANȚELOR PERSONALE ȘI A PLĂȚILOR RECURENTE</w:t>
        <w:br/>
        <w:br/>
        <w:br/>
        <w:br/>
        <w:br/>
        <w:br/>
      </w:r>
    </w:p>
    <w:p>
      <w:pPr>
        <w:jc w:val="left"/>
      </w:pPr>
      <w:r>
        <w:t>Student: Rus Rareș-Ioan</w:t>
        <w:br/>
        <w:t>Specializarea: Calculatoare</w:t>
        <w:br/>
        <w:t>An de studiu: II</w:t>
        <w:br/>
        <w:t>Cadru didactic: [Nume Profesor]</w:t>
        <w:br/>
        <w:t>An universitar: 2026 - 2027</w:t>
      </w:r>
    </w:p>
    <w:p>
      <w:r>
        <w:br w:type="page"/>
      </w:r>
    </w:p>
    <w:p>
      <w:pPr>
        <w:pStyle w:val="Heading1"/>
        <w:spacing w:before="240" w:after="80"/>
      </w:pPr>
      <w:r>
        <w:rPr>
          <w:rFonts w:ascii="Times New Roman" w:hAnsi="Times New Roman"/>
          <w:color w:val="000000"/>
        </w:rPr>
        <w:t>Cuprins</w:t>
      </w:r>
    </w:p>
    <w:p>
      <w:r>
        <w:t>1. Scopul proiectului</w:t>
        <w:br/>
        <w:t>2. Obiectivele proiectului</w:t>
        <w:br/>
        <w:t>3. Analiza cerințelor și modelarea conceptuală</w:t>
        <w:br/>
        <w:t xml:space="preserve">    3.1. Descrierea entităților</w:t>
        <w:br/>
        <w:t xml:space="preserve">    3.2. Reguli de funcționare și constrângeri</w:t>
        <w:br/>
        <w:t xml:space="preserve">    3.3. Diagrama Entitate-Relație (ERD)</w:t>
        <w:br/>
        <w:t>4. Modelul Logic și Normalizarea Bazei de Date</w:t>
        <w:br/>
        <w:t xml:space="preserve">    4.1. Structura relațională</w:t>
        <w:br/>
        <w:t xml:space="preserve">    4.2. Verificarea formelor normale (FN1, FN2, FN3)</w:t>
        <w:br/>
        <w:t>5. Dicționarul de date (Modelul Fizic)</w:t>
      </w:r>
    </w:p>
    <w:p>
      <w:r>
        <w:br w:type="page"/>
      </w:r>
    </w:p>
    <w:p>
      <w:pPr>
        <w:pStyle w:val="Heading1"/>
        <w:spacing w:before="240" w:after="80"/>
      </w:pPr>
      <w:r>
        <w:rPr>
          <w:rFonts w:ascii="Times New Roman" w:hAnsi="Times New Roman"/>
          <w:color w:val="000000"/>
        </w:rPr>
        <w:t>1. Scopul proiectului</w:t>
      </w:r>
    </w:p>
    <w:p>
      <w:r>
        <w:t>Scopul acestui proiect este construirea unei baze de date relaționale pentru evidența veniturilor, cheltuielilor zilnice și a obligațiilor de plată pe două intervale de timp: luna curentă și luna următoare. Aplicația rezolvă problema lipsei de predictibilitate financiară prin evidențierea sumelor deja blocate pentru cheltuieli fixe (chirie, utilități, rate) și automatizarea transferului unei cote de economii într-un cont separat.</w:t>
      </w:r>
    </w:p>
    <w:p>
      <w:pPr>
        <w:pStyle w:val="Heading1"/>
        <w:spacing w:before="240" w:after="80"/>
      </w:pPr>
      <w:r>
        <w:rPr>
          <w:rFonts w:ascii="Times New Roman" w:hAnsi="Times New Roman"/>
          <w:color w:val="000000"/>
        </w:rPr>
        <w:t>2. Obiectivele proiectului</w:t>
      </w:r>
    </w:p>
    <w:p>
      <w:r>
        <w:t>Proiectul urmărește realizarea următoarelor funcționalități:</w:t>
      </w:r>
    </w:p>
    <w:p>
      <w:r>
        <w:t>• Evidența a minimum două tipuri de conturi financiare: cont curent (pentru cheltuieli curente) și cont de economii.</w:t>
      </w:r>
    </w:p>
    <w:p>
      <w:r>
        <w:t>• Gestiunea plăților planificate pe ferestre distincte de timp: plăți scadente în luna curentă și plăți previzionate pentru luna următoare.</w:t>
      </w:r>
    </w:p>
    <w:p>
      <w:r>
        <w:t>• Mecanism tranzacțional de transfer între conturi: mutarea de fonduri din contul curent în cel de economii cu validarea automată a soldului.</w:t>
      </w:r>
    </w:p>
    <w:p>
      <w:r>
        <w:t>• Evidența istoricului de tranzacții efectuate, corelate cu plățile planificate sau înregistrate manual.</w:t>
      </w:r>
    </w:p>
    <w:p>
      <w:r>
        <w:t>• Asigurarea integrității datelor prin constrângeri logice: solduri strict nenegative, sume pozitive și chei externe între tabele.</w:t>
      </w:r>
    </w:p>
    <w:p>
      <w:pPr>
        <w:pStyle w:val="Heading1"/>
        <w:spacing w:before="240" w:after="80"/>
      </w:pPr>
      <w:r>
        <w:rPr>
          <w:rFonts w:ascii="Times New Roman" w:hAnsi="Times New Roman"/>
          <w:color w:val="000000"/>
        </w:rPr>
        <w:t>3. Analiza cerințelor și modelarea conceptuală</w:t>
      </w:r>
    </w:p>
    <w:p>
      <w:pPr>
        <w:pStyle w:val="Heading2"/>
        <w:spacing w:before="240" w:after="80"/>
      </w:pPr>
      <w:r>
        <w:rPr>
          <w:rFonts w:ascii="Times New Roman" w:hAnsi="Times New Roman"/>
          <w:color w:val="000000"/>
        </w:rPr>
        <w:t>3.1. Descrierea entităților</w:t>
      </w:r>
    </w:p>
    <w:p>
      <w:r>
        <w:t>Sistemul cuprinde 6 entități principale:</w:t>
      </w:r>
    </w:p>
    <w:p>
      <w:r>
        <w:t>1. Utilizatori (users): titularul conturilor financiare.</w:t>
      </w:r>
    </w:p>
    <w:p>
      <w:r>
        <w:t>2. Conturi (accounts): păstrează soldul curent, moneda și tipul de cont.</w:t>
      </w:r>
    </w:p>
    <w:p>
      <w:r>
        <w:t>3. Categorii (categories): catalog de tipuri de tranzacții (utilități, salarii, alimentație etc.).</w:t>
      </w:r>
    </w:p>
    <w:p>
      <w:r>
        <w:t>4. Plăți Planificate (planned_payments): scadențe viitoare asociate fiecărei luni calendaristice.</w:t>
      </w:r>
    </w:p>
    <w:p>
      <w:r>
        <w:t>5. Tranzacții (transactions): intrări și ieșiri de bani deja executate.</w:t>
      </w:r>
    </w:p>
    <w:p>
      <w:r>
        <w:t>6. Obiective de Economisire (savings_goals): ținte financiare stabilite pe un cont de economii.</w:t>
      </w:r>
    </w:p>
    <w:p>
      <w:pPr>
        <w:pStyle w:val="Heading2"/>
        <w:spacing w:before="240" w:after="80"/>
      </w:pPr>
      <w:r>
        <w:rPr>
          <w:rFonts w:ascii="Times New Roman" w:hAnsi="Times New Roman"/>
          <w:color w:val="000000"/>
        </w:rPr>
        <w:t>3.2. Reguli de funcționare</w:t>
      </w:r>
    </w:p>
    <w:p>
      <w:r>
        <w:t>• Un utilizator poate deține mai multe conturi, dar un cont aparține unui singur utilizator.</w:t>
      </w:r>
    </w:p>
    <w:p>
      <w:r>
        <w:t>• Soldul contului principal nu poate deveni negativ (constrângere de tip CHECK).</w:t>
      </w:r>
    </w:p>
    <w:p>
      <w:r>
        <w:t>• O plată marcată ca recurentă va fi regenerată automat pentru luna calendaristică următoare.</w:t>
      </w:r>
    </w:p>
    <w:p>
      <w:r>
        <w:t>• Transferul spre contul de economii necesită existența sumei în contul curent.</w:t>
      </w:r>
    </w:p>
    <w:p>
      <w:r>
        <w:br w:type="page"/>
      </w:r>
    </w:p>
    <w:p>
      <w:pPr>
        <w:pStyle w:val="Heading1"/>
        <w:spacing w:before="240" w:after="80"/>
      </w:pPr>
      <w:r>
        <w:rPr>
          <w:rFonts w:ascii="Times New Roman" w:hAnsi="Times New Roman"/>
          <w:color w:val="000000"/>
        </w:rPr>
        <w:t>4. Modelul Logic și Normalizarea Bazei de Date</w:t>
      </w:r>
    </w:p>
    <w:p>
      <w:r>
        <w:t>Pentru a elimina redundanțele și riscul de anomalii de inserare, actualizare sau ștergere, schema a fost normalizată conform standardelor formelor normale:</w:t>
      </w:r>
    </w:p>
    <w:p>
      <w:r>
        <w:t>• Forma Normală 1 (FN1): Fiecare atribut reține valori atomice, iar tabelele conțin chei primare unice (id).</w:t>
      </w:r>
    </w:p>
    <w:p>
      <w:r>
        <w:t>• Forma Normală 2 (FN2): Toate atributele non-cheie depind complet de cheia primară a fiecărui tabel.</w:t>
      </w:r>
    </w:p>
    <w:p>
      <w:r>
        <w:t>• Forma Normală 3 (FN3): Nu există dependențe tranzitive. De exemplu, datele despre categorie (nume, tip venit) sunt izolate în tabela 'categories', fiind referite prin category_id.</w:t>
      </w:r>
    </w:p>
    <w:p>
      <w:pPr>
        <w:pStyle w:val="Heading1"/>
        <w:spacing w:before="240" w:after="80"/>
      </w:pPr>
      <w:r>
        <w:rPr>
          <w:rFonts w:ascii="Times New Roman" w:hAnsi="Times New Roman"/>
          <w:color w:val="000000"/>
        </w:rPr>
        <w:t>5. Dicționarul de date (Modelul Fizic)</w:t>
      </w:r>
    </w:p>
    <w:p>
      <w:r>
        <w:t>Tabelul 1: Structura tabelei accounts</w:t>
      </w:r>
    </w:p>
    <w:tbl>
      <w:tblPr>
        <w:tblW w:type="auto" w:w="0"/>
        <w:jc w:val="center"/>
        <w:tblLook w:firstColumn="1" w:firstRow="1" w:lastColumn="0" w:lastRow="0" w:noHBand="0" w:noVBand="1" w:val="04A0"/>
      </w:tblPr>
      <w:tblGrid>
        <w:gridCol w:w="1884"/>
        <w:gridCol w:w="1884"/>
        <w:gridCol w:w="1884"/>
        <w:gridCol w:w="1884"/>
        <w:gridCol w:w="1884"/>
      </w:tblGrid>
      <w:tr>
        <w:tc>
          <w:tcPr>
            <w:tcW w:type="dxa" w:w="1884"/>
          </w:tcPr>
          <w:p>
            <w:r>
              <w:t>Câmp</w:t>
            </w:r>
          </w:p>
        </w:tc>
        <w:tc>
          <w:tcPr>
            <w:tcW w:type="dxa" w:w="1884"/>
          </w:tcPr>
          <w:p>
            <w:r>
              <w:t>Tip de date</w:t>
            </w:r>
          </w:p>
        </w:tc>
        <w:tc>
          <w:tcPr>
            <w:tcW w:type="dxa" w:w="1884"/>
          </w:tcPr>
          <w:p>
            <w:r>
              <w:t>PK/FK</w:t>
            </w:r>
          </w:p>
        </w:tc>
        <w:tc>
          <w:tcPr>
            <w:tcW w:type="dxa" w:w="1884"/>
          </w:tcPr>
          <w:p>
            <w:r>
              <w:t>Null</w:t>
            </w:r>
          </w:p>
        </w:tc>
        <w:tc>
          <w:tcPr>
            <w:tcW w:type="dxa" w:w="1884"/>
          </w:tcPr>
          <w:p>
            <w:r>
              <w:t>Descriere</w:t>
            </w:r>
          </w:p>
        </w:tc>
      </w:tr>
      <w:tr>
        <w:tc>
          <w:tcPr>
            <w:tcW w:type="dxa" w:w="1884"/>
          </w:tcPr>
          <w:p>
            <w:r>
              <w:t>id</w:t>
            </w:r>
          </w:p>
        </w:tc>
        <w:tc>
          <w:tcPr>
            <w:tcW w:type="dxa" w:w="1884"/>
          </w:tcPr>
          <w:p>
            <w:r>
              <w:t>INT / SERIAL</w:t>
            </w:r>
          </w:p>
        </w:tc>
        <w:tc>
          <w:tcPr>
            <w:tcW w:type="dxa" w:w="1884"/>
          </w:tcPr>
          <w:p>
            <w:r>
              <w:t>PK</w:t>
            </w:r>
          </w:p>
        </w:tc>
        <w:tc>
          <w:tcPr>
            <w:tcW w:type="dxa" w:w="1884"/>
          </w:tcPr>
          <w:p>
            <w:r>
              <w:t>NOT NULL</w:t>
            </w:r>
          </w:p>
        </w:tc>
        <w:tc>
          <w:tcPr>
            <w:tcW w:type="dxa" w:w="1884"/>
          </w:tcPr>
          <w:p>
            <w:r>
              <w:t>Identificator unic al contului</w:t>
            </w:r>
          </w:p>
        </w:tc>
      </w:tr>
      <w:tr>
        <w:tc>
          <w:tcPr>
            <w:tcW w:type="dxa" w:w="1884"/>
          </w:tcPr>
          <w:p>
            <w:r>
              <w:t>user_id</w:t>
            </w:r>
          </w:p>
        </w:tc>
        <w:tc>
          <w:tcPr>
            <w:tcW w:type="dxa" w:w="1884"/>
          </w:tcPr>
          <w:p>
            <w:r>
              <w:t>INT</w:t>
            </w:r>
          </w:p>
        </w:tc>
        <w:tc>
          <w:tcPr>
            <w:tcW w:type="dxa" w:w="1884"/>
          </w:tcPr>
          <w:p>
            <w:r>
              <w:t>FK</w:t>
            </w:r>
          </w:p>
        </w:tc>
        <w:tc>
          <w:tcPr>
            <w:tcW w:type="dxa" w:w="1884"/>
          </w:tcPr>
          <w:p>
            <w:r>
              <w:t>NOT NULL</w:t>
            </w:r>
          </w:p>
        </w:tc>
        <w:tc>
          <w:tcPr>
            <w:tcW w:type="dxa" w:w="1884"/>
          </w:tcPr>
          <w:p>
            <w:r>
              <w:t>Referință utilizator (users.id)</w:t>
            </w:r>
          </w:p>
        </w:tc>
      </w:tr>
      <w:tr>
        <w:tc>
          <w:tcPr>
            <w:tcW w:type="dxa" w:w="1884"/>
          </w:tcPr>
          <w:p>
            <w:r>
              <w:t>name</w:t>
            </w:r>
          </w:p>
        </w:tc>
        <w:tc>
          <w:tcPr>
            <w:tcW w:type="dxa" w:w="1884"/>
          </w:tcPr>
          <w:p>
            <w:r>
              <w:t>VARCHAR(100)</w:t>
            </w:r>
          </w:p>
        </w:tc>
        <w:tc>
          <w:tcPr>
            <w:tcW w:type="dxa" w:w="1884"/>
          </w:tcPr>
          <w:p>
            <w:r>
              <w:t>-</w:t>
            </w:r>
          </w:p>
        </w:tc>
        <w:tc>
          <w:tcPr>
            <w:tcW w:type="dxa" w:w="1884"/>
          </w:tcPr>
          <w:p>
            <w:r>
              <w:t>NOT NULL</w:t>
            </w:r>
          </w:p>
        </w:tc>
        <w:tc>
          <w:tcPr>
            <w:tcW w:type="dxa" w:w="1884"/>
          </w:tcPr>
          <w:p>
            <w:r>
              <w:t>Denumire cont (ex: Principal)</w:t>
            </w:r>
          </w:p>
        </w:tc>
      </w:tr>
      <w:tr>
        <w:tc>
          <w:tcPr>
            <w:tcW w:type="dxa" w:w="1884"/>
          </w:tcPr>
          <w:p>
            <w:r>
              <w:t>type</w:t>
            </w:r>
          </w:p>
        </w:tc>
        <w:tc>
          <w:tcPr>
            <w:tcW w:type="dxa" w:w="1884"/>
          </w:tcPr>
          <w:p>
            <w:r>
              <w:t>VARCHAR(20)</w:t>
            </w:r>
          </w:p>
        </w:tc>
        <w:tc>
          <w:tcPr>
            <w:tcW w:type="dxa" w:w="1884"/>
          </w:tcPr>
          <w:p>
            <w:r>
              <w:t>-</w:t>
            </w:r>
          </w:p>
        </w:tc>
        <w:tc>
          <w:tcPr>
            <w:tcW w:type="dxa" w:w="1884"/>
          </w:tcPr>
          <w:p>
            <w:r>
              <w:t>NOT NULL</w:t>
            </w:r>
          </w:p>
        </w:tc>
        <w:tc>
          <w:tcPr>
            <w:tcW w:type="dxa" w:w="1884"/>
          </w:tcPr>
          <w:p>
            <w:r>
              <w:t>Tip: PRINCIPAL, ECONOMII</w:t>
            </w:r>
          </w:p>
        </w:tc>
      </w:tr>
      <w:tr>
        <w:tc>
          <w:tcPr>
            <w:tcW w:type="dxa" w:w="1884"/>
          </w:tcPr>
          <w:p>
            <w:r>
              <w:t>balance</w:t>
            </w:r>
          </w:p>
        </w:tc>
        <w:tc>
          <w:tcPr>
            <w:tcW w:type="dxa" w:w="1884"/>
          </w:tcPr>
          <w:p>
            <w:r>
              <w:t>DECIMAL(12,2)</w:t>
            </w:r>
          </w:p>
        </w:tc>
        <w:tc>
          <w:tcPr>
            <w:tcW w:type="dxa" w:w="1884"/>
          </w:tcPr>
          <w:p>
            <w:r>
              <w:t>-</w:t>
            </w:r>
          </w:p>
        </w:tc>
        <w:tc>
          <w:tcPr>
            <w:tcW w:type="dxa" w:w="1884"/>
          </w:tcPr>
          <w:p>
            <w:r>
              <w:t>NOT NULL</w:t>
            </w:r>
          </w:p>
        </w:tc>
        <w:tc>
          <w:tcPr>
            <w:tcW w:type="dxa" w:w="1884"/>
          </w:tcPr>
          <w:p>
            <w:r>
              <w:t>Sold curent (&gt;= 0.00)</w:t>
            </w:r>
          </w:p>
        </w:tc>
      </w:tr>
      <w:tr>
        <w:tc>
          <w:tcPr>
            <w:tcW w:type="dxa" w:w="1884"/>
          </w:tcPr>
          <w:p>
            <w:r>
              <w:t>currency</w:t>
            </w:r>
          </w:p>
        </w:tc>
        <w:tc>
          <w:tcPr>
            <w:tcW w:type="dxa" w:w="1884"/>
          </w:tcPr>
          <w:p>
            <w:r>
              <w:t>VARCHAR(3)</w:t>
            </w:r>
          </w:p>
        </w:tc>
        <w:tc>
          <w:tcPr>
            <w:tcW w:type="dxa" w:w="1884"/>
          </w:tcPr>
          <w:p>
            <w:r>
              <w:t>-</w:t>
            </w:r>
          </w:p>
        </w:tc>
        <w:tc>
          <w:tcPr>
            <w:tcW w:type="dxa" w:w="1884"/>
          </w:tcPr>
          <w:p>
            <w:r>
              <w:t>NOT NULL</w:t>
            </w:r>
          </w:p>
        </w:tc>
        <w:tc>
          <w:tcPr>
            <w:tcW w:type="dxa" w:w="1884"/>
          </w:tcPr>
          <w:p>
            <w:r>
              <w:t>Monedă (implicit RON)</w:t>
            </w:r>
          </w:p>
        </w:tc>
      </w:tr>
    </w:tbl>
    <w:sectPr w:rsidR="00FC693F" w:rsidRPr="0006063C" w:rsidSect="00034616">
      <w:pgSz w:w="12240" w:h="15840"/>
      <w:pgMar w:top="1411" w:right="1411" w:bottom="1411" w:left="141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