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86D81"/>
          <w:sz w:val="16"/>
        </w:rPr>
        <w:t>GUION PARA EXPONER Y RESPONDER PREGUNTAS DEL INGENIERO</w:t>
      </w:r>
    </w:p>
    <w:p>
      <w:pPr>
        <w:pStyle w:val="Title"/>
      </w:pPr>
      <w:r>
        <w:t>GUÍA DE SUSTENTACIÓN TÉCNICA</w:t>
      </w:r>
    </w:p>
    <w:p>
      <w:r>
        <w:t>Material de apoyo, no sustituto del artículo científico. Puede colocarse después de la carátula del equipo o entregarse como documento separado.</w:t>
      </w:r>
    </w:p>
    <w:p>
      <w:pPr>
        <w:pStyle w:val="Heading1"/>
      </w:pPr>
      <w:r>
        <w:t>1. Guion breve para una defensa de cinco minutos</w:t>
      </w:r>
    </w:p>
    <w:p>
      <w:pPr>
        <w:pStyle w:val="Heading2"/>
      </w:pPr>
      <w:r>
        <w:t>0:00–0:40 | Problema y alcance</w:t>
      </w:r>
    </w:p>
    <w:p>
      <w:r>
        <w:t>El proyecto estudia la brecha de uso reciente de Internet entre escolares asistentes peruanos. No decimos que evaluamos habilidades digitales ni notas escolares: el evento positivo es la respuesta P314A=2, no usar Internet el mes anterior.</w:t>
      </w:r>
    </w:p>
    <w:p>
      <w:pPr>
        <w:pStyle w:val="Heading2"/>
      </w:pPr>
      <w:r>
        <w:t>0:40–1:25 | Datos e integración</w:t>
      </w:r>
    </w:p>
    <w:p>
      <w:r>
        <w:t>Utilizamos ENAHO 2025 (módulos 100, 200, 300, Sumaria) y ESCALE. El dataset final reúne 17.992 observaciones y 109 variables. ENAHO se une por llaves de persona y hogar y ESCALE se agrega por UBIGEO, por lo que representa contexto distrital.</w:t>
      </w:r>
    </w:p>
    <w:p>
      <w:pPr>
        <w:pStyle w:val="Heading2"/>
      </w:pPr>
      <w:r>
        <w:t>1:25–2:10 | Clustering</w:t>
      </w:r>
    </w:p>
    <w:p>
      <w:r>
        <w:t>Comparamos K-Means y Agglomerative para k entre 2 y 6 sobre 4.000 estudiantes. La silueta más alta fue 0,307 para K-Means, k=2. Se formaron perfiles de 3.591 y 409 observaciones; son patrones exploratorios, no categorías causales.</w:t>
      </w:r>
    </w:p>
    <w:p>
      <w:pPr>
        <w:pStyle w:val="Heading2"/>
      </w:pPr>
      <w:r>
        <w:t>2:10–3:15 | Clasificación y fuga de datos</w:t>
      </w:r>
    </w:p>
    <w:p>
      <w:r>
        <w:t>Separamos train/test por CONGLOME: 14.407 y 3.585 registros, sin conglomerados compartidos. Comparamos cuatro modelos y seleccionamos Random Forest por ROC-AUC medio CV=0,819. En test obtuvo ROC-AUC=0,828, F1 macro=0,712 y precisión ponderada=0,483.</w:t>
      </w:r>
    </w:p>
    <w:p>
      <w:pPr>
        <w:pStyle w:val="Heading2"/>
      </w:pPr>
      <w:r>
        <w:t>3:15–4:10 | SHAP y errores</w:t>
      </w:r>
    </w:p>
    <w:p>
      <w:r>
        <w:t>SHAP resaltó P308A, edad, uso de computadora y gasto per cápita. Son contribuciones del modelo, no causas. La matriz de test contiene 591 falsos positivos y 206 falsos negativos, lo que exige prudencia antes de usar alertas.</w:t>
      </w:r>
    </w:p>
    <w:p>
      <w:pPr>
        <w:pStyle w:val="Heading2"/>
      </w:pPr>
      <w:r>
        <w:t>4:10–5:00 | Conclusión y límites</w:t>
      </w:r>
    </w:p>
    <w:p>
      <w:r>
        <w:t>El valor principal está en una comparación reproducible y una evaluación que aísla conglomerados. El vínculo escolar solo es distrital y no hay datos de altitud, computadoras ni conectividad de escuela. Proponemos diagnóstico territorial, validación externa y evitar decisiones automáticas sobre estudiantes.</w:t>
      </w:r>
    </w:p>
    <w:p>
      <w:pPr>
        <w:pStyle w:val="Heading1"/>
      </w:pPr>
      <w:r>
        <w:t>2. Preguntas difíciles y respuestas sustentadas</w:t>
      </w:r>
    </w:p>
    <w:p>
      <w:pPr>
        <w:pStyle w:val="Heading2"/>
      </w:pPr>
      <w:r>
        <w:t>1. ¿Por qué no predijeron rezago escolar?</w:t>
      </w:r>
    </w:p>
    <w:p>
      <w:r>
        <w:t>La guía permite elegir al menos un problema supervisado. Los artefactos finales auditados implementan clasificación de no uso de Internet; el rezago aparece como variable explicativa/descriptiva, no como target de este modelo.</w:t>
      </w:r>
    </w:p>
    <w:p>
      <w:pPr>
        <w:pStyle w:val="Heading2"/>
      </w:pPr>
      <w:r>
        <w:t>2. ¿Por qué usar CONGLOME y no train_test_split común?</w:t>
      </w:r>
    </w:p>
    <w:p>
      <w:r>
        <w:t>Personas dentro de un mismo conglomerado comparten contexto. GroupShuffleSplit y GroupKFold evitan que registros del mismo conglomerado aparezcan simultáneamente en train y test.</w:t>
      </w:r>
    </w:p>
    <w:p>
      <w:pPr>
        <w:pStyle w:val="Heading2"/>
      </w:pPr>
      <w:r>
        <w:t>3. ¿Por qué ganó Random Forest si otro modelo tiene mejor ROC-AUC en test?</w:t>
      </w:r>
    </w:p>
    <w:p>
      <w:r>
        <w:t>La selección fue por ROC-AUC medio de la validación GroupKFold, antes de revisar test. RandomForest alcanzó 0,819; HistGradientBoosting tuvo 0,818. El test final de HistGradientBoosting fue superior en ROC, pero no se utilizó para escoger el ganador.</w:t>
      </w:r>
    </w:p>
    <w:p>
      <w:pPr>
        <w:pStyle w:val="Heading2"/>
      </w:pPr>
      <w:r>
        <w:t>4. ¿La precisión 0,483 es buena?</w:t>
      </w:r>
    </w:p>
    <w:p>
      <w:r>
        <w:t>Muestra un compromiso importante: casi la mitad de las alertas positivas ponderadas podría corresponder a falsos positivos al umbral 0,5. El uso aplicado requiere calibración, ajuste de umbral y evaluación de costos.</w:t>
      </w:r>
    </w:p>
    <w:p>
      <w:pPr>
        <w:pStyle w:val="Heading2"/>
      </w:pPr>
      <w:r>
        <w:t>5. ¿Podemos afirmar que la ruralidad causa la exclusión digital?</w:t>
      </w:r>
    </w:p>
    <w:p>
      <w:r>
        <w:t>No. Los coeficientes y SHAP describen patrones predictivos en esta muestra. No existe identificación causal y las variables ESCALE son agregadas a nivel distrital.</w:t>
      </w:r>
    </w:p>
    <w:p>
      <w:pPr>
        <w:pStyle w:val="Heading2"/>
      </w:pPr>
      <w:r>
        <w:t>6. ¿Qué significa SHAP y cómo lo aplicaron?</w:t>
      </w:r>
    </w:p>
    <w:p>
      <w:r>
        <w:t>Los valores SHAP descomponen la salida del modelo en contribuciones por predictores. Se utilizó TreeExplainer con Random Forest; la importancia global se resumió por la media del valor absoluto.</w:t>
      </w:r>
    </w:p>
    <w:p>
      <w:pPr>
        <w:pStyle w:val="Heading2"/>
      </w:pPr>
      <w:r>
        <w:t>7. ¿Qué mide realmente P314A?</w:t>
      </w:r>
    </w:p>
    <w:p>
      <w:r>
        <w:t>Uso de Internet durante el mes anterior. No acredita ni niega competencias digitales, acceso escolar ni rendimiento académico.</w:t>
      </w:r>
    </w:p>
    <w:p>
      <w:pPr>
        <w:pStyle w:val="Heading2"/>
      </w:pPr>
      <w:r>
        <w:t>8. ¿Se utilizó matrícula ESCALE?</w:t>
      </w:r>
    </w:p>
    <w:p>
      <w:r>
        <w:t>En el repositorio final auditado sí; se vinculó con Padrón por COD_MOD+ANEXO antes de agregar por UBIGEO. No identifica la escuela individual de una persona ENAHO.</w:t>
      </w:r>
    </w:p>
    <w:p>
      <w:pPr>
        <w:pStyle w:val="Heading1"/>
      </w:pPr>
      <w:r>
        <w:t>3. Cifras que deben memorizarse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195"/>
      </w:tblGrid>
      <w:tr>
        <w:trPr>
          <w:tblHeader w:val="true"/>
        </w:trPr>
        <w:tc>
          <w:tcPr>
            <w:tcW w:type="dxa" w:w="4535"/>
            <w:shd w:fill="1234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4195"/>
            <w:shd w:fill="1234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Dataset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17.992 × 109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Positivos no ponderados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25,64 %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Train/test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14.407 / 3.585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Conglomerados compartidos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0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K-Means ganador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k=2; silueta 0,307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RandomForest GroupKFold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ROC-AUC 0,819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RandomForest test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ROC 0,828 / F1 macro 0,712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Falsos positivos / negativos (test)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before="20"/>
            </w:pPr>
            <w:r>
              <w:rPr>
                <w:color w:val="0F243D"/>
                <w:sz w:val="17"/>
              </w:rPr>
              <w:t>591 / 206</w:t>
            </w:r>
          </w:p>
        </w:tc>
      </w:tr>
    </w:tbl>
    <w:p>
      <w:pPr>
        <w:spacing w:after="0"/>
      </w:pPr>
    </w:p>
    <w:p>
      <w:r>
        <w:t>No atribuir resultados de los notebooks antiguos de rezago a esta versión final; las cifras utilizadas en este guion proceden del paquete de evidencias definitivo.</w:t>
      </w:r>
    </w:p>
    <w:p>
      <w:pPr>
        <w:pStyle w:val="SubtleCaption"/>
      </w:pPr>
      <w:r>
        <w:t>Trazabilidad. README_PARA_CHATGPT.md y secciones 01–04 de las evidencias finales.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35" w:left="1162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26F"/>
      </w:rPr>
      <w:t xml:space="preserve">GUÍA · DEFENSA  •  </w:t>
    </w:r>
    <w:r>
      <w:t xml:space="preserve">p.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Data"/>
    </w:pPr>
    <w:r>
      <w:rPr>
        <w:b/>
        <w:color w:val="086D81"/>
      </w:rPr>
      <w:t>PROYECTO IA  |  ENAHO + ESCALE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6" w:lineRule="auto"/>
    </w:pPr>
    <w:rPr>
      <w:rFonts w:ascii="Aptos" w:hAnsi="Aptos"/>
      <w:color w:val="0F24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6D8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6D8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43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Caption">
    <w:name w:val="Subtle Caption"/>
    <w:basedOn w:val="Normal"/>
    <w:pPr>
      <w:spacing w:after="100"/>
    </w:pPr>
    <w:rPr>
      <w:i/>
      <w:color w:val="56626F"/>
      <w:sz w:val="16"/>
    </w:rPr>
  </w:style>
  <w:style w:type="paragraph" w:customStyle="1" w:styleId="SmallData">
    <w:name w:val="Small Data"/>
    <w:basedOn w:val="Normal"/>
    <w:pPr>
      <w:spacing w:after="40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sustentación técnica</dc:title>
  <dc:subject>Evidencias finales de aprendizaje automático ENAHO-ESCALE 2025</dc:subject>
  <dc:creator>Equipo del proyecto (completar datos en carátula)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