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Exploring Classic R Datasets</w:t>
      </w:r>
    </w:p>
    <w:p>
      <w:pPr>
        <w:pStyle w:val="Author"/>
      </w:pPr>
      <w:r>
        <w:t xml:space="preserve">Russ Blessing</w:t>
      </w:r>
    </w:p>
    <w:p>
      <w:pPr>
        <w:pStyle w:val="Date"/>
      </w:pPr>
      <w:r>
        <w:t xml:space="preserve">2026-04-27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 short reproducible analysis of the iris and mtcars datasets,</w:t>
      </w:r>
      <w:r>
        <w:t xml:space="preserve"> </w:t>
      </w:r>
      <w:r>
        <w:t xml:space="preserve">demonstrating how figures generated in a separate analysis notebook</w:t>
      </w:r>
      <w:r>
        <w:t xml:space="preserve"> </w:t>
      </w:r>
      <w:r>
        <w:t xml:space="preserve">can be embedded directly into a Quarto manuscript. All figures</w:t>
      </w:r>
      <w:r>
        <w:t xml:space="preserve"> </w:t>
      </w:r>
      <w:r>
        <w:t xml:space="preserve">are produced with ggplot2 and sourced from notebooks/analysis.qmd.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manuscript demonstrates a reproducible workflow using Quarto.</w:t>
      </w:r>
      <w:r>
        <w:t xml:space="preserve"> </w:t>
      </w:r>
      <w:r>
        <w:t xml:space="preserve">All figures are generated in a dedicated analysis notebook</w:t>
      </w:r>
      <w:r>
        <w:t xml:space="preserve"> </w:t>
      </w:r>
      <w:r>
        <w:t xml:space="preserve">(</w:t>
      </w:r>
      <w:r>
        <w:rPr>
          <w:rStyle w:val="VerbatimChar"/>
        </w:rPr>
        <w:t xml:space="preserve">notebooks/analysis.qmd</w:t>
      </w:r>
      <w:r>
        <w:t xml:space="preserve">) and embedded here using the</w:t>
      </w:r>
      <w:r>
        <w:t xml:space="preserve"> </w:t>
      </w:r>
      <w:r>
        <w:rPr>
          <w:rStyle w:val="VerbatimChar"/>
        </w:rPr>
        <w:t xml:space="preserve">{{&lt; embed &gt;}}</w:t>
      </w:r>
      <w:r>
        <w:t xml:space="preserve"> </w:t>
      </w:r>
      <w:r>
        <w:t xml:space="preserve">shortcode. Updating the notebook automatically</w:t>
      </w:r>
      <w:r>
        <w:t xml:space="preserve"> </w:t>
      </w:r>
      <w:r>
        <w:t xml:space="preserve">updates this manuscript — no copy-paste required.</w:t>
      </w:r>
    </w:p>
    <w:bookmarkEnd w:id="20"/>
    <w:bookmarkStart w:id="33" w:name="iris-dataset"/>
    <w:p>
      <w:pPr>
        <w:pStyle w:val="Heading2"/>
      </w:pPr>
      <w:r>
        <w:t xml:space="preserve">Iris Dataset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dataset contains measurements of sepal and petal</w:t>
      </w:r>
      <w:r>
        <w:t xml:space="preserve"> </w:t>
      </w:r>
      <w:r>
        <w:t xml:space="preserve">dimensions for 150 flowers across three species:</w:t>
      </w:r>
      <w:r>
        <w:t xml:space="preserve"> </w:t>
      </w:r>
      <w:r>
        <w:rPr>
          <w:i/>
          <w:iCs/>
        </w:rPr>
        <w:t xml:space="preserve">setosa</w:t>
      </w:r>
      <w:r>
        <w:t xml:space="preserve">,</w:t>
      </w:r>
      <w:r>
        <w:t xml:space="preserve"> </w:t>
      </w:r>
      <w:r>
        <w:rPr>
          <w:i/>
          <w:iCs/>
        </w:rPr>
        <w:t xml:space="preserve">versicolor</w:t>
      </w:r>
      <w:r>
        <w:t xml:space="preserve">, and</w:t>
      </w:r>
      <w:r>
        <w:t xml:space="preserve"> </w:t>
      </w:r>
      <w:r>
        <w:rPr>
          <w:i/>
          <w:iCs/>
        </w:rPr>
        <w:t xml:space="preserve">virginica</w:t>
      </w:r>
      <w:r>
        <w:t xml:space="preserve"> </w:t>
      </w:r>
      <w:r>
        <w:t xml:space="preserve">(Anderson 1935)</w:t>
      </w:r>
      <w:r>
        <w:t xml:space="preserve">.</w:t>
      </w:r>
    </w:p>
    <w:bookmarkStart w:id="26" w:name="sepal-dimensions"/>
    <w:p>
      <w:pPr>
        <w:pStyle w:val="Heading3"/>
      </w:pPr>
      <w:r>
        <w:t xml:space="preserve">Sepal Dimensions</w:t>
      </w:r>
    </w:p>
    <w:p>
      <w:pPr>
        <w:pStyle w:val="FirstParagraph"/>
      </w:pPr>
      <w:hyperlink w:anchor="fig-iris-sepa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clear separation between species in</w:t>
      </w:r>
      <w:r>
        <w:t xml:space="preserve"> </w:t>
      </w:r>
      <w:r>
        <w:t xml:space="preserve">sepal space, with</w:t>
      </w:r>
      <w:r>
        <w:t xml:space="preserve"> </w:t>
      </w:r>
      <w:r>
        <w:rPr>
          <w:i/>
          <w:iCs/>
        </w:rPr>
        <w:t xml:space="preserve">setosa</w:t>
      </w:r>
      <w:r>
        <w:t xml:space="preserve"> </w:t>
      </w:r>
      <w:r>
        <w:t xml:space="preserve">occupying a distinct region of</w:t>
      </w:r>
      <w:r>
        <w:t xml:space="preserve"> </w:t>
      </w:r>
      <w:r>
        <w:t xml:space="preserve">high width relative to length.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iris-sepal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analysis-fig-iris-sepal-output-2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Sepal length vs. width across three iris species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5">
        <w:r>
          <w:rPr>
            <w:rStyle w:val="Hyperlink"/>
            <w:vertAlign w:val="subscript"/>
          </w:rPr>
          <w:t xml:space="preserve">Analysis Notebook</w:t>
        </w:r>
      </w:hyperlink>
    </w:p>
    <w:bookmarkEnd w:id="26"/>
    <w:bookmarkStart w:id="32" w:name="petal-length"/>
    <w:p>
      <w:pPr>
        <w:pStyle w:val="Heading3"/>
      </w:pPr>
      <w:r>
        <w:t xml:space="preserve">Petal Length</w:t>
      </w:r>
    </w:p>
    <w:p>
      <w:pPr>
        <w:pStyle w:val="FirstParagraph"/>
      </w:pPr>
      <w:r>
        <w:t xml:space="preserve">Species separation is even more pronounced in petal length</w:t>
      </w:r>
      <w:r>
        <w:t xml:space="preserve"> </w:t>
      </w:r>
      <w:r>
        <w:t xml:space="preserve">(</w:t>
      </w:r>
      <w:hyperlink w:anchor="fig-iris-petal">
        <w:r>
          <w:rPr>
            <w:rStyle w:val="Hyperlink"/>
          </w:rPr>
          <w:t xml:space="preserve">Figure 2</w:t>
        </w:r>
      </w:hyperlink>
      <w:r>
        <w:t xml:space="preserve">), making it a reliable discriminating variable.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iris-petal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analysis-fig-iris-petal-output-1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petal length by species</w:t>
            </w:r>
          </w:p>
          <w:bookmarkEnd w:id="30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1">
        <w:r>
          <w:rPr>
            <w:rStyle w:val="Hyperlink"/>
            <w:vertAlign w:val="subscript"/>
          </w:rPr>
          <w:t xml:space="preserve">Analysis Notebook</w:t>
        </w:r>
      </w:hyperlink>
    </w:p>
    <w:bookmarkEnd w:id="32"/>
    <w:bookmarkEnd w:id="33"/>
    <w:bookmarkStart w:id="39" w:name="motor-trend-cars"/>
    <w:p>
      <w:pPr>
        <w:pStyle w:val="Heading2"/>
      </w:pPr>
      <w:r>
        <w:t xml:space="preserve">Motor Trend Cars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 records fuel efficiency and physical</w:t>
      </w:r>
      <w:r>
        <w:t xml:space="preserve"> </w:t>
      </w:r>
      <w:r>
        <w:t xml:space="preserve">characteristics for 32 automobiles from the 1974 Motor Trend</w:t>
      </w:r>
      <w:r>
        <w:t xml:space="preserve"> </w:t>
      </w:r>
      <w:r>
        <w:t xml:space="preserve">magazine</w:t>
      </w:r>
      <w:r>
        <w:t xml:space="preserve"> </w:t>
      </w:r>
      <w:r>
        <w:t xml:space="preserve">(Henderson and Velleman 1981)</w:t>
      </w:r>
      <w:r>
        <w:t xml:space="preserve">.</w:t>
      </w:r>
      <w:r>
        <w:t xml:space="preserve"> </w:t>
      </w:r>
      <w:hyperlink w:anchor="fig-mtcars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illustrates the well-known</w:t>
      </w:r>
      <w:r>
        <w:t xml:space="preserve"> </w:t>
      </w:r>
      <w:r>
        <w:t xml:space="preserve">negative relationship between vehicle weight and fuel efficiency,</w:t>
      </w:r>
      <w:r>
        <w:t xml:space="preserve"> </w:t>
      </w:r>
      <w:r>
        <w:t xml:space="preserve">stratified by cylinder count.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mtcars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analysis-fig-mtcars-output-2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Vehicle weight vs. fuel efficiency, by number of cylinders</w:t>
            </w:r>
          </w:p>
          <w:bookmarkEnd w:id="37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8">
        <w:r>
          <w:rPr>
            <w:rStyle w:val="Hyperlink"/>
            <w:vertAlign w:val="subscript"/>
          </w:rPr>
          <w:t xml:space="preserve">Analysis Notebook</w:t>
        </w:r>
      </w:hyperlink>
    </w:p>
    <w:bookmarkEnd w:id="39"/>
    <w:bookmarkStart w:id="4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document was rendered entirely from plain-text source files.</w:t>
      </w:r>
      <w:r>
        <w:t xml:space="preserve"> </w:t>
      </w:r>
      <w:r>
        <w:t xml:space="preserve">The figures above were produced in</w:t>
      </w:r>
      <w:r>
        <w:t xml:space="preserve"> </w:t>
      </w:r>
      <w:r>
        <w:rPr>
          <w:rStyle w:val="VerbatimChar"/>
        </w:rPr>
        <w:t xml:space="preserve">notebooks/analysis.qmd</w:t>
      </w:r>
      <w:r>
        <w:t xml:space="preserve"> </w:t>
      </w:r>
      <w:r>
        <w:t xml:space="preserve">and</w:t>
      </w:r>
      <w:r>
        <w:t xml:space="preserve"> </w:t>
      </w:r>
      <w:r>
        <w:t xml:space="preserve">embedded without manual copying. Any change to the analysis</w:t>
      </w:r>
      <w:r>
        <w:t xml:space="preserve"> </w:t>
      </w:r>
      <w:r>
        <w:t xml:space="preserve">notebook is reflected here on the next render.</w:t>
      </w:r>
    </w:p>
    <w:bookmarkEnd w:id="40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1" w:name="ref-anderson1935"/>
    <w:p>
      <w:pPr>
        <w:pStyle w:val="Bibliography"/>
      </w:pPr>
      <w:r>
        <w:t xml:space="preserve">Anderson, Edgar. 1935.</w:t>
      </w:r>
      <w:r>
        <w:t xml:space="preserve"> </w:t>
      </w:r>
      <w:r>
        <w:t xml:space="preserve">“The Irises of the Gaspe Peninsula.”</w:t>
      </w:r>
      <w:r>
        <w:t xml:space="preserve"> </w:t>
      </w:r>
      <w:r>
        <w:rPr>
          <w:i/>
          <w:iCs/>
        </w:rPr>
        <w:t xml:space="preserve">Bulletin of the American Iris Society</w:t>
      </w:r>
      <w:r>
        <w:t xml:space="preserve"> </w:t>
      </w:r>
      <w:r>
        <w:t xml:space="preserve">59: 2–5.</w:t>
      </w:r>
    </w:p>
    <w:bookmarkEnd w:id="41"/>
    <w:bookmarkStart w:id="42" w:name="ref-henderson1981"/>
    <w:p>
      <w:pPr>
        <w:pStyle w:val="Bibliography"/>
      </w:pPr>
      <w:r>
        <w:t xml:space="preserve">Henderson, Harold V, and Paul F Velleman. 1981.</w:t>
      </w:r>
      <w:r>
        <w:t xml:space="preserve"> </w:t>
      </w:r>
      <w:r>
        <w:t xml:space="preserve">“Building Multiple Regression Models Interactively.”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37 (2): 391–411.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1" Target="media/rId21.png" /><Relationship Type="http://schemas.openxmlformats.org/officeDocument/2006/relationships/image" Id="rId34" Target="media/rId34.png" /><Relationship Type="http://schemas.openxmlformats.org/officeDocument/2006/relationships/hyperlink" Id="rId31" Target="https://russblessing.github.io/positron-quarto/notebooks/analysis-preview.html#cell-fig-iris-petal" TargetMode="External" /><Relationship Type="http://schemas.openxmlformats.org/officeDocument/2006/relationships/hyperlink" Id="rId25" Target="https://russblessing.github.io/positron-quarto/notebooks/analysis-preview.html#cell-fig-iris-sepal" TargetMode="External" /><Relationship Type="http://schemas.openxmlformats.org/officeDocument/2006/relationships/hyperlink" Id="rId38" Target="https://russblessing.github.io/positron-quarto/notebooks/analysis-preview.html#cell-fig-mtca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russblessing.github.io/positron-quarto/notebooks/analysis-preview.html#cell-fig-iris-petal" TargetMode="External" /><Relationship Type="http://schemas.openxmlformats.org/officeDocument/2006/relationships/hyperlink" Id="rId25" Target="https://russblessing.github.io/positron-quarto/notebooks/analysis-preview.html#cell-fig-iris-sepal" TargetMode="External" /><Relationship Type="http://schemas.openxmlformats.org/officeDocument/2006/relationships/hyperlink" Id="rId38" Target="https://russblessing.github.io/positron-quarto/notebooks/analysis-preview.html#cell-fig-mtca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Exploring Classic R Datasets</dc:title>
  <dc:creator>Russ Blessing</dc:creator>
  <cp:keywords>reproducible research, ggplot2, iris, mtcars</cp:keywords>
  <dcterms:created xsi:type="dcterms:W3CDTF">2026-04-27T23:34:34Z</dcterms:created>
  <dcterms:modified xsi:type="dcterms:W3CDTF">2026-04-27T23:34:34Z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short reproducible analysis of the iris and mtcars datasets, demonstrating how figures generated in a separate analysis notebook can be embedded directly into a Quarto manuscript. All figures are produced with ggplot2 and sourced from notebooks/analysis.qmd.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lear-hidden-classes">
    <vt:lpwstr>none</vt:lpwstr>
  </property>
  <property fmtid="{D5CDD505-2E9C-101B-9397-08002B2CF9AE}" pid="10" name="date">
    <vt:lpwstr>2026-04-27</vt:lpwstr>
  </property>
  <property fmtid="{D5CDD505-2E9C-101B-9397-08002B2CF9AE}" pid="11" name="execute">
    <vt:lpwstr/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license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quarto-internal">
    <vt:lpwstr/>
  </property>
  <property fmtid="{D5CDD505-2E9C-101B-9397-08002B2CF9AE}" pid="22" name="remove-hidden">
    <vt:lpwstr>all</vt:lpwstr>
  </property>
  <property fmtid="{D5CDD505-2E9C-101B-9397-08002B2CF9AE}" pid="23" name="template-partials">
    <vt:lpwstr/>
  </property>
  <property fmtid="{D5CDD505-2E9C-101B-9397-08002B2CF9AE}" pid="24" name="theme">
    <vt:lpwstr>cosmo</vt:lpwstr>
  </property>
  <property fmtid="{D5CDD505-2E9C-101B-9397-08002B2CF9AE}" pid="25" name="title-block-style">
    <vt:lpwstr>manuscript</vt:lpwstr>
  </property>
  <property fmtid="{D5CDD505-2E9C-101B-9397-08002B2CF9AE}" pid="26" name="toc-title">
    <vt:lpwstr>Table of contents</vt:lpwstr>
  </property>
  <property fmtid="{D5CDD505-2E9C-101B-9397-08002B2CF9AE}" pid="27" name="unroll-markdown-cells">
    <vt:lpwstr>True</vt:lpwstr>
  </property>
</Properties>
</file>