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Participant exclusion review</w:t>
      </w:r>
    </w:p>
    <w:p>
      <w:pPr>
        <w:pStyle w:val="Subtitle"/>
      </w:pPr>
      <w:r>
        <w:t>Aid-onset study | Recorded candidate status | 21 October 2026</w:t>
      </w:r>
    </w:p>
    <w:p>
      <w:r>
        <w:t>Five of 60 participants (8.3%) met the agreed screening criteria. All five remain included in the current analysis; the saved audit records candidates, not applied exclusions. All candidate flags arose in Decision 1. Excluding all five would leave 55 participants.</w:t>
      </w:r>
    </w:p>
    <w:tbl>
      <w:tblPr>
        <w:tblStyle w:val="TableGrid"/>
        <w:tblW w:type="dxa" w:w="9360"/>
        <w:jc w:val="left"/>
        <w:tblLayout w:type="fixed"/>
        <w:tblLook w:firstColumn="1" w:firstRow="1" w:lastColumn="0" w:lastRow="0" w:noHBand="0" w:noVBand="1" w:val="04A0"/>
        <w:tblInd w:type="dxa" w:w="120"/>
      </w:tblPr>
      <w:tblGrid>
        <w:gridCol w:w="1152"/>
        <w:gridCol w:w="2376"/>
        <w:gridCol w:w="5832"/>
      </w:tblGrid>
      <w:tr>
        <w:trPr>
          <w:cantSplit/>
          <w:tblHeader/>
        </w:trPr>
        <w:tc>
          <w:tcPr>
            <w:tcW w:type="dxa" w:w="1152"/>
            <w:vAlign w:val="center"/>
            <w:shd w:fill="F2F4F7"/>
            <w:tcMar>
              <w:top w:w="80" w:type="dxa"/>
              <w:bottom w:w="80" w:type="dxa"/>
              <w:start w:w="120" w:type="dxa"/>
              <w:end w:w="120" w:type="dxa"/>
            </w:tcMar>
          </w:tcPr>
          <w:p>
            <w:pPr>
              <w:pStyle w:val="TableText"/>
              <w:jc w:val="center"/>
            </w:pPr>
            <w:r>
              <w:rPr>
                <w:b/>
              </w:rPr>
              <w:t>Participant</w:t>
            </w:r>
          </w:p>
        </w:tc>
        <w:tc>
          <w:tcPr>
            <w:tcW w:type="dxa" w:w="2376"/>
            <w:vAlign w:val="center"/>
            <w:shd w:fill="F2F4F7"/>
            <w:tcMar>
              <w:top w:w="80" w:type="dxa"/>
              <w:bottom w:w="80" w:type="dxa"/>
              <w:start w:w="120" w:type="dxa"/>
              <w:end w:w="120" w:type="dxa"/>
            </w:tcMar>
          </w:tcPr>
          <w:p>
            <w:pPr>
              <w:pStyle w:val="TableText"/>
            </w:pPr>
            <w:r>
              <w:rPr>
                <w:b/>
              </w:rPr>
              <w:t>Candidate reason</w:t>
            </w:r>
          </w:p>
        </w:tc>
        <w:tc>
          <w:tcPr>
            <w:tcW w:type="dxa" w:w="5832"/>
            <w:vAlign w:val="center"/>
            <w:shd w:fill="F2F4F7"/>
            <w:tcMar>
              <w:top w:w="80" w:type="dxa"/>
              <w:bottom w:w="80" w:type="dxa"/>
              <w:start w:w="120" w:type="dxa"/>
              <w:end w:w="120" w:type="dxa"/>
            </w:tcMar>
          </w:tcPr>
          <w:p>
            <w:pPr>
              <w:pStyle w:val="TableText"/>
            </w:pPr>
            <w:r>
              <w:rPr>
                <w:b/>
              </w:rPr>
              <w:t>Supporting diagnostic evidence (Decision 1)</w:t>
            </w:r>
          </w:p>
        </w:tc>
      </w:tr>
      <w:tr>
        <w:trPr>
          <w:cantSplit/>
        </w:trPr>
        <w:tc>
          <w:tcPr>
            <w:tcW w:type="dxa" w:w="1152"/>
            <w:vAlign w:val="center"/>
            <w:tcMar>
              <w:top w:w="80" w:type="dxa"/>
              <w:bottom w:w="80" w:type="dxa"/>
              <w:start w:w="120" w:type="dxa"/>
              <w:end w:w="120" w:type="dxa"/>
            </w:tcMar>
          </w:tcPr>
          <w:p>
            <w:pPr>
              <w:pStyle w:val="TableText"/>
              <w:jc w:val="center"/>
            </w:pPr>
            <w:r>
              <w:t>010</w:t>
            </w:r>
          </w:p>
        </w:tc>
        <w:tc>
          <w:tcPr>
            <w:tcW w:type="dxa" w:w="2376"/>
            <w:vAlign w:val="center"/>
            <w:tcMar>
              <w:top w:w="80" w:type="dxa"/>
              <w:bottom w:w="80" w:type="dxa"/>
              <w:start w:w="120" w:type="dxa"/>
              <w:end w:w="120" w:type="dxa"/>
            </w:tcMar>
          </w:tcPr>
          <w:p>
            <w:pPr>
              <w:pStyle w:val="TableText"/>
            </w:pPr>
            <w:r>
              <w:t>Anticipatory responding</w:t>
            </w:r>
          </w:p>
        </w:tc>
        <w:tc>
          <w:tcPr>
            <w:tcW w:type="dxa" w:w="5832"/>
            <w:vAlign w:val="center"/>
            <w:tcMar>
              <w:top w:w="80" w:type="dxa"/>
              <w:bottom w:w="80" w:type="dxa"/>
              <w:start w:w="120" w:type="dxa"/>
              <w:end w:w="120" w:type="dxa"/>
            </w:tcMar>
          </w:tcPr>
          <w:p>
            <w:pPr>
              <w:pStyle w:val="TableText"/>
            </w:pPr>
            <w:r>
              <w:t>Manual: 56/260 fast (21.5%); fast accuracy 48.2%.</w:t>
              <w:br/>
              <w:t>Stimulus-first: 75/260 fast (28.8%); fast accuracy 48.0%.</w:t>
              <w:br/>
              <w:t>All main trials: 164/780 fast (21.0%); fast accuracy 53.7%.</w:t>
            </w:r>
          </w:p>
        </w:tc>
      </w:tr>
      <w:tr>
        <w:trPr>
          <w:cantSplit/>
        </w:trPr>
        <w:tc>
          <w:tcPr>
            <w:tcW w:type="dxa" w:w="1152"/>
            <w:vAlign w:val="center"/>
            <w:tcMar>
              <w:top w:w="80" w:type="dxa"/>
              <w:bottom w:w="80" w:type="dxa"/>
              <w:start w:w="120" w:type="dxa"/>
              <w:end w:w="120" w:type="dxa"/>
            </w:tcMar>
          </w:tcPr>
          <w:p>
            <w:pPr>
              <w:pStyle w:val="TableText"/>
              <w:jc w:val="center"/>
            </w:pPr>
            <w:r>
              <w:t>013</w:t>
            </w:r>
          </w:p>
        </w:tc>
        <w:tc>
          <w:tcPr>
            <w:tcW w:type="dxa" w:w="2376"/>
            <w:vAlign w:val="center"/>
            <w:tcMar>
              <w:top w:w="80" w:type="dxa"/>
              <w:bottom w:w="80" w:type="dxa"/>
              <w:start w:w="120" w:type="dxa"/>
              <w:end w:w="120" w:type="dxa"/>
            </w:tcMar>
          </w:tcPr>
          <w:p>
            <w:pPr>
              <w:pStyle w:val="TableText"/>
            </w:pPr>
            <w:r>
              <w:t>Anticipatory responding</w:t>
            </w:r>
          </w:p>
        </w:tc>
        <w:tc>
          <w:tcPr>
            <w:tcW w:type="dxa" w:w="5832"/>
            <w:vAlign w:val="center"/>
            <w:tcMar>
              <w:top w:w="80" w:type="dxa"/>
              <w:bottom w:w="80" w:type="dxa"/>
              <w:start w:w="120" w:type="dxa"/>
              <w:end w:w="120" w:type="dxa"/>
            </w:tcMar>
          </w:tcPr>
          <w:p>
            <w:pPr>
              <w:pStyle w:val="TableText"/>
            </w:pPr>
            <w:r>
              <w:t>Stimulus-first: 94/260 fast (36.2%); fast accuracy 54.3%.</w:t>
            </w:r>
          </w:p>
        </w:tc>
      </w:tr>
      <w:tr>
        <w:trPr>
          <w:cantSplit/>
        </w:trPr>
        <w:tc>
          <w:tcPr>
            <w:tcW w:type="dxa" w:w="1152"/>
            <w:vAlign w:val="center"/>
            <w:tcMar>
              <w:top w:w="80" w:type="dxa"/>
              <w:bottom w:w="80" w:type="dxa"/>
              <w:start w:w="120" w:type="dxa"/>
              <w:end w:w="120" w:type="dxa"/>
            </w:tcMar>
          </w:tcPr>
          <w:p>
            <w:pPr>
              <w:pStyle w:val="TableText"/>
              <w:jc w:val="center"/>
            </w:pPr>
            <w:r>
              <w:t>020</w:t>
            </w:r>
          </w:p>
        </w:tc>
        <w:tc>
          <w:tcPr>
            <w:tcW w:type="dxa" w:w="2376"/>
            <w:vAlign w:val="center"/>
            <w:tcMar>
              <w:top w:w="80" w:type="dxa"/>
              <w:bottom w:w="80" w:type="dxa"/>
              <w:start w:w="120" w:type="dxa"/>
              <w:end w:w="120" w:type="dxa"/>
            </w:tcMar>
          </w:tcPr>
          <w:p>
            <w:pPr>
              <w:pStyle w:val="TableText"/>
            </w:pPr>
            <w:r>
              <w:t>Anticipatory responding</w:t>
            </w:r>
          </w:p>
        </w:tc>
        <w:tc>
          <w:tcPr>
            <w:tcW w:type="dxa" w:w="5832"/>
            <w:vAlign w:val="center"/>
            <w:tcMar>
              <w:top w:w="80" w:type="dxa"/>
              <w:bottom w:w="80" w:type="dxa"/>
              <w:start w:w="120" w:type="dxa"/>
              <w:end w:w="120" w:type="dxa"/>
            </w:tcMar>
          </w:tcPr>
          <w:p>
            <w:pPr>
              <w:pStyle w:val="TableText"/>
            </w:pPr>
            <w:r>
              <w:t>Manual: 108/260 fast (41.5%); fast accuracy 52.8%.</w:t>
            </w:r>
          </w:p>
        </w:tc>
      </w:tr>
      <w:tr>
        <w:trPr>
          <w:cantSplit/>
        </w:trPr>
        <w:tc>
          <w:tcPr>
            <w:tcW w:type="dxa" w:w="1152"/>
            <w:vAlign w:val="center"/>
            <w:tcMar>
              <w:top w:w="80" w:type="dxa"/>
              <w:bottom w:w="80" w:type="dxa"/>
              <w:start w:w="120" w:type="dxa"/>
              <w:end w:w="120" w:type="dxa"/>
            </w:tcMar>
          </w:tcPr>
          <w:p>
            <w:pPr>
              <w:pStyle w:val="TableText"/>
              <w:jc w:val="center"/>
            </w:pPr>
            <w:r>
              <w:t>022</w:t>
            </w:r>
          </w:p>
        </w:tc>
        <w:tc>
          <w:tcPr>
            <w:tcW w:type="dxa" w:w="2376"/>
            <w:vAlign w:val="center"/>
            <w:tcMar>
              <w:top w:w="80" w:type="dxa"/>
              <w:bottom w:w="80" w:type="dxa"/>
              <w:start w:w="120" w:type="dxa"/>
              <w:end w:w="120" w:type="dxa"/>
            </w:tcMar>
          </w:tcPr>
          <w:p>
            <w:pPr>
              <w:pStyle w:val="TableText"/>
            </w:pPr>
            <w:r>
              <w:t>Anticipatory responding and near-chance performance</w:t>
            </w:r>
          </w:p>
        </w:tc>
        <w:tc>
          <w:tcPr>
            <w:tcW w:type="dxa" w:w="5832"/>
            <w:vAlign w:val="center"/>
            <w:tcMar>
              <w:top w:w="80" w:type="dxa"/>
              <w:bottom w:w="80" w:type="dxa"/>
              <w:start w:w="120" w:type="dxa"/>
              <w:end w:w="120" w:type="dxa"/>
            </w:tcMar>
          </w:tcPr>
          <w:p>
            <w:pPr>
              <w:pStyle w:val="TableText"/>
            </w:pPr>
            <w:r>
              <w:t>Manual: 81/260 fast (31.2%); fast accuracy 48.1%.</w:t>
              <w:br/>
              <w:t>Stimulus-first: 195/260 fast (75.0%); fast accuracy 50.3%. Overall accuracy 51.5%.</w:t>
              <w:br/>
              <w:t>Pooled aided: 205/520 fast (39.4%); fast accuracy 51.2%.</w:t>
              <w:br/>
              <w:t>All main trials: 286/780 fast (36.7%); fast accuracy 50.3%.</w:t>
            </w:r>
          </w:p>
        </w:tc>
      </w:tr>
      <w:tr>
        <w:trPr>
          <w:cantSplit/>
        </w:trPr>
        <w:tc>
          <w:tcPr>
            <w:tcW w:type="dxa" w:w="1152"/>
            <w:vAlign w:val="center"/>
            <w:tcMar>
              <w:top w:w="80" w:type="dxa"/>
              <w:bottom w:w="80" w:type="dxa"/>
              <w:start w:w="120" w:type="dxa"/>
              <w:end w:w="120" w:type="dxa"/>
            </w:tcMar>
          </w:tcPr>
          <w:p>
            <w:pPr>
              <w:pStyle w:val="TableText"/>
              <w:jc w:val="center"/>
            </w:pPr>
            <w:r>
              <w:t>027</w:t>
            </w:r>
          </w:p>
        </w:tc>
        <w:tc>
          <w:tcPr>
            <w:tcW w:type="dxa" w:w="2376"/>
            <w:vAlign w:val="center"/>
            <w:tcMar>
              <w:top w:w="80" w:type="dxa"/>
              <w:bottom w:w="80" w:type="dxa"/>
              <w:start w:w="120" w:type="dxa"/>
              <w:end w:w="120" w:type="dxa"/>
            </w:tcMar>
          </w:tcPr>
          <w:p>
            <w:pPr>
              <w:pStyle w:val="TableText"/>
            </w:pPr>
            <w:r>
              <w:t>Anticipatory responding and near-chance performance</w:t>
            </w:r>
          </w:p>
        </w:tc>
        <w:tc>
          <w:tcPr>
            <w:tcW w:type="dxa" w:w="5832"/>
            <w:vAlign w:val="center"/>
            <w:tcMar>
              <w:top w:w="80" w:type="dxa"/>
              <w:bottom w:w="80" w:type="dxa"/>
              <w:start w:w="120" w:type="dxa"/>
              <w:end w:w="120" w:type="dxa"/>
            </w:tcMar>
          </w:tcPr>
          <w:p>
            <w:pPr>
              <w:pStyle w:val="TableText"/>
            </w:pPr>
            <w:r>
              <w:t>Manual: 91/260 fast (35.0%); fast accuracy 45.1%. Overall accuracy 52.3%.</w:t>
            </w:r>
          </w:p>
        </w:tc>
      </w:tr>
    </w:tbl>
    <w:p>
      <w:pPr>
        <w:pStyle w:val="SourceNote"/>
      </w:pPr>
      <w:r>
        <w:t>Fast = recorded RT &lt;200 ms. Fast percentages use all trials in the stated scope; fast accuracy uses only fast responses. Pooled scopes overlap condition scopes and do not represent additional participants. Source: saved QC scope metrics and flagged checks.</w:t>
      </w:r>
    </w:p>
    <w:p>
      <w:pPr>
        <w:pStyle w:val="SourceNote"/>
      </w:pPr>
      <w:r>
        <w:t>The earlier participant-059 run was excluded separately for chance performance; its replacement is retained (see next page).</w:t>
      </w:r>
    </w:p>
    <w:p>
      <w:r>
        <w:br w:type="page"/>
      </w:r>
    </w:p>
    <w:p>
      <w:pPr>
        <w:pStyle w:val="Heading1"/>
      </w:pPr>
      <w:r>
        <w:t>Recorded run exclusion: participant 059</w:t>
      </w:r>
    </w:p>
    <w:p>
      <w:r>
        <w:t>The analysis exclusion record identifies the earlier run 20260903_120309 as excluded for chance performance. The replacement run 20260924_110831 is included in the canonical 60-person cohort. This is a run-specific exclusion, not an exclusion of participant 059 from the current analysis.</w:t>
      </w:r>
    </w:p>
    <w:p>
      <w:r>
        <w:t>The replacement is not an exclusion candidate. Its Manual Decision 2 accuracy was 257/260 (98.8%). Its practice and Manual target-deviation flags are diagnostic only. The historical run is outside the current QC bundle and the five-candidate total.</w:t>
      </w:r>
    </w:p>
    <w:p>
      <w:pPr>
        <w:pStyle w:val="Heading2"/>
      </w:pPr>
      <w:r>
        <w:t>Repeated IDs in the raw archive</w:t>
      </w:r>
    </w:p>
    <w:p>
      <w:r>
        <w:t>The current analysis dataset contains 60 distinct participant IDs and 60 selected runs: one run per ID, with no duplicated participant/run/block/trial records. The raw Semester 2 archive contains 63 distinct ID/run pairs across those 60 IDs. Three IDs have more than one recorded run:</w:t>
      </w:r>
    </w:p>
    <w:p>
      <w:r>
        <w:rPr>
          <w:b/>
        </w:rPr>
        <w:t xml:space="preserve">Participant 014. </w:t>
      </w:r>
      <w:r>
        <w:t>Earlier run 20260727_110459 is incomplete: practice and two main-block files are present, but there is no combined ALL export. Later complete run 20260730_085751 is selected.</w:t>
      </w:r>
    </w:p>
    <w:p>
      <w:r>
        <w:rPr>
          <w:b/>
        </w:rPr>
        <w:t xml:space="preserve">Participant 053. </w:t>
      </w:r>
      <w:r>
        <w:t>Earlier run 20260827_125739 contains only a practice file. Later complete run 20260827_131135 is selected.</w:t>
      </w:r>
    </w:p>
    <w:p>
      <w:r>
        <w:rPr>
          <w:b/>
        </w:rPr>
        <w:t xml:space="preserve">Participant 059. </w:t>
      </w:r>
      <w:r>
        <w:t>Earlier complete run 20260903_120309 was excluded for chance performance. Later complete run 20260924_110831 is selected, as described above.</w:t>
      </w:r>
    </w:p>
    <w:p>
      <w:r>
        <w:t>These are repeated IDs across raw runs, not duplicate IDs among the selected analysis runs. The files alone do not establish whether different people used the same ID. Earlier incomplete runs for 014 and 053 are not additional behavioural exclusion candidates.</w:t>
      </w:r>
    </w:p>
    <w:p>
      <w:pPr>
        <w:pStyle w:val="SourceNote"/>
      </w:pPr>
      <w:r>
        <w:t>Identity check sources: data/data_virus_all.csv; data/collation_manifest.csv; CSV filenames and row metadata in output/semester2_2026_data/. The collation script selects the latest available complete export set for each ID and stops if that selected run is missing an export family.</w:t>
      </w:r>
    </w:p>
    <w:p>
      <w:r>
        <w:br w:type="page"/>
      </w:r>
    </w:p>
    <w:p>
      <w:pPr>
        <w:pStyle w:val="Heading2"/>
      </w:pPr>
      <w:r>
        <w:t>Review criteria</w:t>
      </w:r>
    </w:p>
    <w:p>
      <w:r>
        <w:t>Anticipatory responding required ≥20% of all scope trials with RT &lt;200 ms, ≥20 fast responses, and ≤55% accuracy on those fast responses, jointly within the same decision and scope. Near-chance performance meant ≤55% overall accuracy, counting timeouts as incorrect. These retrospective descriptive screens were agreed on 17 October 2026; they were not preregistered exclusions or evidence of equivalence to chance.</w:t>
      </w:r>
    </w:p>
    <w:p>
      <w:r>
        <w:t>Decision 1 and Decision 2 were screened separately for each 260-trial main condition, the 520 pooled aided trials and all 780 main trials. Timeouts never count as fast; exactly 200 ms is not fast. Short RTs require interpretation: Aid-first Decision 1 can be prepared from preceding advice, and Decision 2 can be prepared before its response screen.</w:t>
      </w:r>
    </w:p>
    <w:p>
      <w:r>
        <w:t>Practice-target deviations (11 participants) and Manual Decision 2 target deviations (15 participants) were diagnostic only, using an absolute deviation &gt;10 percentage points from the recorded 75% target. After overlap with each other and the candidates, 18 participants had diagnostic-only flags. All assessed scopes were assessable.</w:t>
      </w:r>
    </w:p>
    <w:p>
      <w:pPr>
        <w:pStyle w:val="Heading2"/>
      </w:pPr>
      <w:r>
        <w:t>Reading the diagnostic plots</w:t>
      </w:r>
    </w:p>
    <w:p>
      <w:r>
        <w:t>The following pages reproduce the saved individual plots. Each shows both decisions across 60 practice trials and 780 main trials in administered order. Headlines pool main trials; the table lists the scopes that triggered screening. The “candidate” label applies to the participant, including above the Decision 2 panels; no Decision 2 scope triggered a candidate flag.</w:t>
      </w:r>
    </w:p>
    <w:p>
      <w:r>
        <w:t>Practice bins contain 10 trials; main bins contain 50 trials, with a final 10-trial bin. Grey bands show condition-aligned peer medians and interquartile ranges. Binned patterns and peer comparisons are descriptive, not separate exclusion rules.</w:t>
      </w:r>
    </w:p>
    <w:p>
      <w:pPr>
        <w:pStyle w:val="SourceNote"/>
      </w:pPr>
      <w:r>
        <w:t>Sources: analysis_outputs/semester2_2026_qc/ (exclusion_summary.json, exclusion_candidates.csv, scope_metrics.csv, flagged_checks.csv and individuals/participant_###.png); analysis_outputs/semester2_2026_hypotheses/analysis_exclusions.csv; README.md. Prepared from saved outputs on 21 October 2026. Source data, screening decisions and analyses were not changed.</w:t>
      </w:r>
    </w:p>
    <w:p>
      <w:pPr>
        <w:sectPr>
          <w:headerReference w:type="default" r:id="rId9"/>
          <w:footerReference w:type="default" r:id="rId10"/>
          <w:pgSz w:w="12240" w:h="15840"/>
          <w:pgMar w:top="1440" w:right="1440" w:bottom="1440" w:left="1440" w:header="708" w:footer="708" w:gutter="0"/>
          <w:cols w:space="720"/>
          <w:docGrid w:linePitch="360"/>
        </w:sectPr>
      </w:pPr>
    </w:p>
    <w:p>
      <w:pPr>
        <w:pStyle w:val="FigureCaption"/>
        <w:keepNext/>
      </w:pPr>
      <w:r>
        <w:rPr>
          <w:b/>
        </w:rPr>
        <w:t xml:space="preserve">Participant 010. </w:t>
      </w:r>
      <w:r>
        <w:t>Manual, Stimulus-first and all main trials met the anticipatory criterion (Decision 1). Status: candidate; retained.</w:t>
      </w:r>
    </w:p>
    <w:p>
      <w:pPr>
        <w:pStyle w:val="PlotImage"/>
        <w:jc w:val="center"/>
      </w:pPr>
      <w:r>
        <w:drawing>
          <wp:inline xmlns:a="http://schemas.openxmlformats.org/drawingml/2006/main" xmlns:pic="http://schemas.openxmlformats.org/drawingml/2006/picture">
            <wp:extent cx="8412480" cy="6309360"/>
            <wp:docPr id="1" name="Picture 1" descr="Participant 010: separate Decision 1 and Decision 2 RTs, fast-response rates, all-trial accuracy and fast-only accuracy across practice and main conditions."/>
            <wp:cNvGraphicFramePr>
              <a:graphicFrameLocks noChangeAspect="1"/>
            </wp:cNvGraphicFramePr>
            <a:graphic>
              <a:graphicData uri="http://schemas.openxmlformats.org/drawingml/2006/picture">
                <pic:pic>
                  <pic:nvPicPr>
                    <pic:cNvPr id="0" name="participant_010.png"/>
                    <pic:cNvPicPr/>
                  </pic:nvPicPr>
                  <pic:blipFill>
                    <a:blip r:embed="rId11"/>
                    <a:stretch>
                      <a:fillRect/>
                    </a:stretch>
                  </pic:blipFill>
                  <pic:spPr>
                    <a:xfrm>
                      <a:off x="0" y="0"/>
                      <a:ext cx="8412480" cy="6309360"/>
                    </a:xfrm>
                    <a:prstGeom prst="rect"/>
                  </pic:spPr>
                </pic:pic>
              </a:graphicData>
            </a:graphic>
          </wp:inline>
        </w:drawing>
      </w:r>
    </w:p>
    <w:p>
      <w:r>
        <w:br w:type="page"/>
      </w:r>
    </w:p>
    <w:p>
      <w:pPr>
        <w:pStyle w:val="FigureCaption"/>
        <w:keepNext/>
      </w:pPr>
      <w:r>
        <w:rPr>
          <w:b/>
        </w:rPr>
        <w:t xml:space="preserve">Participant 013. </w:t>
      </w:r>
      <w:r>
        <w:t>Stimulus-first met the anticipatory criterion (Decision 1). Status: candidate; retained.</w:t>
      </w:r>
    </w:p>
    <w:p>
      <w:pPr>
        <w:pStyle w:val="PlotImage"/>
        <w:jc w:val="center"/>
      </w:pPr>
      <w:r>
        <w:drawing>
          <wp:inline xmlns:a="http://schemas.openxmlformats.org/drawingml/2006/main" xmlns:pic="http://schemas.openxmlformats.org/drawingml/2006/picture">
            <wp:extent cx="8412480" cy="6309360"/>
            <wp:docPr id="2" name="Picture 2" descr="Participant 013: separate Decision 1 and Decision 2 RTs, fast-response rates, all-trial accuracy and fast-only accuracy across practice and main conditions."/>
            <wp:cNvGraphicFramePr>
              <a:graphicFrameLocks noChangeAspect="1"/>
            </wp:cNvGraphicFramePr>
            <a:graphic>
              <a:graphicData uri="http://schemas.openxmlformats.org/drawingml/2006/picture">
                <pic:pic>
                  <pic:nvPicPr>
                    <pic:cNvPr id="0" name="participant_013.png"/>
                    <pic:cNvPicPr/>
                  </pic:nvPicPr>
                  <pic:blipFill>
                    <a:blip r:embed="rId12"/>
                    <a:stretch>
                      <a:fillRect/>
                    </a:stretch>
                  </pic:blipFill>
                  <pic:spPr>
                    <a:xfrm>
                      <a:off x="0" y="0"/>
                      <a:ext cx="8412480" cy="6309360"/>
                    </a:xfrm>
                    <a:prstGeom prst="rect"/>
                  </pic:spPr>
                </pic:pic>
              </a:graphicData>
            </a:graphic>
          </wp:inline>
        </w:drawing>
      </w:r>
    </w:p>
    <w:p>
      <w:r>
        <w:br w:type="page"/>
      </w:r>
    </w:p>
    <w:p>
      <w:pPr>
        <w:pStyle w:val="FigureCaption"/>
        <w:keepNext/>
      </w:pPr>
      <w:r>
        <w:rPr>
          <w:b/>
        </w:rPr>
        <w:t xml:space="preserve">Participant 020. </w:t>
      </w:r>
      <w:r>
        <w:t>Manual met the anticipatory criterion (Decision 1). Status: candidate; retained.</w:t>
      </w:r>
    </w:p>
    <w:p>
      <w:pPr>
        <w:pStyle w:val="PlotImage"/>
        <w:jc w:val="center"/>
      </w:pPr>
      <w:r>
        <w:drawing>
          <wp:inline xmlns:a="http://schemas.openxmlformats.org/drawingml/2006/main" xmlns:pic="http://schemas.openxmlformats.org/drawingml/2006/picture">
            <wp:extent cx="8412480" cy="6309360"/>
            <wp:docPr id="3" name="Picture 3" descr="Participant 020: separate Decision 1 and Decision 2 RTs, fast-response rates, all-trial accuracy and fast-only accuracy across practice and main conditions."/>
            <wp:cNvGraphicFramePr>
              <a:graphicFrameLocks noChangeAspect="1"/>
            </wp:cNvGraphicFramePr>
            <a:graphic>
              <a:graphicData uri="http://schemas.openxmlformats.org/drawingml/2006/picture">
                <pic:pic>
                  <pic:nvPicPr>
                    <pic:cNvPr id="0" name="participant_020.png"/>
                    <pic:cNvPicPr/>
                  </pic:nvPicPr>
                  <pic:blipFill>
                    <a:blip r:embed="rId13"/>
                    <a:stretch>
                      <a:fillRect/>
                    </a:stretch>
                  </pic:blipFill>
                  <pic:spPr>
                    <a:xfrm>
                      <a:off x="0" y="0"/>
                      <a:ext cx="8412480" cy="6309360"/>
                    </a:xfrm>
                    <a:prstGeom prst="rect"/>
                  </pic:spPr>
                </pic:pic>
              </a:graphicData>
            </a:graphic>
          </wp:inline>
        </w:drawing>
      </w:r>
    </w:p>
    <w:p>
      <w:r>
        <w:br w:type="page"/>
      </w:r>
    </w:p>
    <w:p>
      <w:pPr>
        <w:pStyle w:val="FigureCaption"/>
        <w:keepNext/>
      </w:pPr>
      <w:r>
        <w:rPr>
          <w:b/>
        </w:rPr>
        <w:t xml:space="preserve">Participant 022. </w:t>
      </w:r>
      <w:r>
        <w:t>Stimulus-first met both criteria; Manual and both pooled scopes also met the anticipatory criterion (Decision 1). Status: candidate; retained.</w:t>
      </w:r>
    </w:p>
    <w:p>
      <w:pPr>
        <w:pStyle w:val="PlotImage"/>
        <w:jc w:val="center"/>
      </w:pPr>
      <w:r>
        <w:drawing>
          <wp:inline xmlns:a="http://schemas.openxmlformats.org/drawingml/2006/main" xmlns:pic="http://schemas.openxmlformats.org/drawingml/2006/picture">
            <wp:extent cx="8412480" cy="6309360"/>
            <wp:docPr id="4" name="Picture 4" descr="Participant 022: separate Decision 1 and Decision 2 RTs, fast-response rates, all-trial accuracy and fast-only accuracy across practice and main conditions."/>
            <wp:cNvGraphicFramePr>
              <a:graphicFrameLocks noChangeAspect="1"/>
            </wp:cNvGraphicFramePr>
            <a:graphic>
              <a:graphicData uri="http://schemas.openxmlformats.org/drawingml/2006/picture">
                <pic:pic>
                  <pic:nvPicPr>
                    <pic:cNvPr id="0" name="participant_022.png"/>
                    <pic:cNvPicPr/>
                  </pic:nvPicPr>
                  <pic:blipFill>
                    <a:blip r:embed="rId14"/>
                    <a:stretch>
                      <a:fillRect/>
                    </a:stretch>
                  </pic:blipFill>
                  <pic:spPr>
                    <a:xfrm>
                      <a:off x="0" y="0"/>
                      <a:ext cx="8412480" cy="6309360"/>
                    </a:xfrm>
                    <a:prstGeom prst="rect"/>
                  </pic:spPr>
                </pic:pic>
              </a:graphicData>
            </a:graphic>
          </wp:inline>
        </w:drawing>
      </w:r>
    </w:p>
    <w:p>
      <w:r>
        <w:br w:type="page"/>
      </w:r>
    </w:p>
    <w:p>
      <w:pPr>
        <w:pStyle w:val="FigureCaption"/>
        <w:keepNext/>
      </w:pPr>
      <w:r>
        <w:rPr>
          <w:b/>
        </w:rPr>
        <w:t xml:space="preserve">Participant 027. </w:t>
      </w:r>
      <w:r>
        <w:t>Manual met both the anticipatory and near-chance criteria (Decision 1). Status: candidate; retained.</w:t>
      </w:r>
    </w:p>
    <w:p>
      <w:pPr>
        <w:pStyle w:val="PlotImage"/>
        <w:jc w:val="center"/>
      </w:pPr>
      <w:r>
        <w:drawing>
          <wp:inline xmlns:a="http://schemas.openxmlformats.org/drawingml/2006/main" xmlns:pic="http://schemas.openxmlformats.org/drawingml/2006/picture">
            <wp:extent cx="8412480" cy="6309360"/>
            <wp:docPr id="5" name="Picture 5" descr="Participant 027: separate Decision 1 and Decision 2 RTs, fast-response rates, all-trial accuracy and fast-only accuracy across practice and main conditions."/>
            <wp:cNvGraphicFramePr>
              <a:graphicFrameLocks noChangeAspect="1"/>
            </wp:cNvGraphicFramePr>
            <a:graphic>
              <a:graphicData uri="http://schemas.openxmlformats.org/drawingml/2006/picture">
                <pic:pic>
                  <pic:nvPicPr>
                    <pic:cNvPr id="0" name="participant_027.png"/>
                    <pic:cNvPicPr/>
                  </pic:nvPicPr>
                  <pic:blipFill>
                    <a:blip r:embed="rId15"/>
                    <a:stretch>
                      <a:fillRect/>
                    </a:stretch>
                  </pic:blipFill>
                  <pic:spPr>
                    <a:xfrm>
                      <a:off x="0" y="0"/>
                      <a:ext cx="8412480" cy="6309360"/>
                    </a:xfrm>
                    <a:prstGeom prst="rect"/>
                  </pic:spPr>
                </pic:pic>
              </a:graphicData>
            </a:graphic>
          </wp:inline>
        </w:drawing>
      </w:r>
    </w:p>
    <w:sectPr w:rsidR="00FC693F" w:rsidRPr="0006063C" w:rsidSect="00034616">
      <w:pgSz w:w="15840" w:h="12240" w:orient="landscape"/>
      <w:pgMar w:top="720" w:right="1080" w:bottom="720"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Aid-onset study | Participant exclusion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64" w:lineRule="auto" w:before="0"/>
    </w:pPr>
    <w:rPr>
      <w:rFonts w:ascii="Calibri" w:hAnsi="Calibri"/>
      <w:b w:val="0"/>
      <w:color w:val="666666"/>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64" w:lineRule="auto" w:before="0"/>
    </w:pPr>
    <w:rPr>
      <w:rFonts w:ascii="Calibri" w:hAnsi="Calibri"/>
      <w:b w:val="0"/>
      <w:color w:val="666666"/>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4" w:lineRule="auto" w:before="0"/>
      <w:contextualSpacing/>
    </w:pPr>
    <w:rPr>
      <w:rFonts w:asciiTheme="majorHAnsi" w:eastAsiaTheme="majorEastAsia" w:hAnsiTheme="majorHAnsi" w:cstheme="majorBidi" w:ascii="Calibri" w:hAnsi="Calibri"/>
      <w:b/>
      <w:color w:val="172B3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64" w:lineRule="auto"/>
    </w:pPr>
    <w:rPr>
      <w:rFonts w:asciiTheme="majorHAnsi" w:eastAsiaTheme="majorEastAsia" w:hAnsiTheme="majorHAnsi" w:cstheme="majorBidi" w:ascii="Calibri" w:hAnsi="Calibri"/>
      <w:b w:val="0"/>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before="0" w:after="60" w:line="264" w:lineRule="auto"/>
    </w:pPr>
    <w:rPr>
      <w:rFonts w:ascii="Calibri" w:hAnsi="Calibri"/>
      <w:b w:val="0"/>
      <w:color w:val="222222"/>
      <w:sz w:val="20"/>
    </w:rPr>
  </w:style>
  <w:style w:type="paragraph" w:customStyle="1" w:styleId="SourceNote">
    <w:name w:val="SourceNote"/>
    <w:pPr>
      <w:spacing w:before="80" w:after="80" w:line="264" w:lineRule="auto"/>
    </w:pPr>
    <w:rPr>
      <w:rFonts w:ascii="Calibri" w:hAnsi="Calibri"/>
      <w:b w:val="0"/>
      <w:color w:val="555555"/>
      <w:sz w:val="18"/>
    </w:rPr>
  </w:style>
  <w:style w:type="paragraph" w:customStyle="1" w:styleId="FigureCaption">
    <w:name w:val="FigureCaption"/>
    <w:pPr>
      <w:spacing w:before="0" w:after="100" w:line="264" w:lineRule="auto"/>
    </w:pPr>
    <w:rPr>
      <w:rFonts w:ascii="Calibri" w:hAnsi="Calibri"/>
      <w:b w:val="0"/>
      <w:color w:val="222222"/>
      <w:sz w:val="20"/>
    </w:rPr>
  </w:style>
  <w:style w:type="paragraph" w:customStyle="1" w:styleId="PlotImage">
    <w:name w:val="PlotImage"/>
    <w:pPr>
      <w:spacing w:before="0" w:after="0" w:line="240" w:lineRule="auto"/>
    </w:pPr>
    <w:rPr>
      <w:rFonts w:ascii="Calibri" w:hAnsi="Calibri"/>
      <w:b w:val="0"/>
      <w:color w:val="22222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Aid-onset study: participant exclusion review</dc:title>
  <dc:subject>Recorded candidate status and individual diagnostic plots; prepared 21 October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