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Reviewed participant exclusions</w:t>
      </w:r>
    </w:p>
    <w:p>
      <w:pPr>
        <w:pStyle w:val="Subtitle"/>
      </w:pPr>
      <w:r>
        <w:t>Dynamic-reliability study | Prepared 21 October 2026</w:t>
      </w:r>
    </w:p>
    <w:p>
      <w:r>
        <w:t>Seven of 89 participants (7.9%) were excluded from the primary analyses, leaving 82 (38 CAL65; 44 CAL90). All seven exclusions were in CAL65. The all-participant sensitivity analyses retain all 89 participants.</w:t>
      </w:r>
    </w:p>
    <w:tbl>
      <w:tblPr>
        <w:tblStyle w:val="TableGrid"/>
        <w:tblW w:type="dxa" w:w="9360"/>
        <w:jc w:val="left"/>
        <w:tblLayout w:type="fixed"/>
        <w:tblLook w:firstColumn="1" w:firstRow="1" w:lastColumn="0" w:lastRow="0" w:noHBand="0" w:noVBand="1" w:val="04A0"/>
        <w:tblInd w:type="dxa" w:w="120"/>
      </w:tblPr>
      <w:tblGrid>
        <w:gridCol w:w="1152"/>
        <w:gridCol w:w="2376"/>
        <w:gridCol w:w="5832"/>
      </w:tblGrid>
      <w:tr>
        <w:trPr>
          <w:cantSplit/>
          <w:tblHeader/>
        </w:trPr>
        <w:tc>
          <w:tcPr>
            <w:tcW w:type="dxa" w:w="1152"/>
            <w:vAlign w:val="center"/>
            <w:shd w:fill="F2F4F7"/>
            <w:tcMar>
              <w:top w:w="80" w:type="dxa"/>
              <w:bottom w:w="80" w:type="dxa"/>
              <w:start w:w="120" w:type="dxa"/>
              <w:end w:w="120" w:type="dxa"/>
            </w:tcMar>
          </w:tcPr>
          <w:p>
            <w:pPr>
              <w:pStyle w:val="TableText"/>
              <w:jc w:val="center"/>
            </w:pPr>
            <w:r>
              <w:rPr>
                <w:b/>
              </w:rPr>
              <w:t>Participant</w:t>
            </w:r>
          </w:p>
        </w:tc>
        <w:tc>
          <w:tcPr>
            <w:tcW w:type="dxa" w:w="2376"/>
            <w:vAlign w:val="center"/>
            <w:shd w:fill="F2F4F7"/>
            <w:tcMar>
              <w:top w:w="80" w:type="dxa"/>
              <w:bottom w:w="80" w:type="dxa"/>
              <w:start w:w="120" w:type="dxa"/>
              <w:end w:w="120" w:type="dxa"/>
            </w:tcMar>
          </w:tcPr>
          <w:p>
            <w:pPr>
              <w:pStyle w:val="TableText"/>
            </w:pPr>
            <w:r>
              <w:rPr>
                <w:b/>
              </w:rPr>
              <w:t>Reviewed exclusion reason</w:t>
            </w:r>
          </w:p>
        </w:tc>
        <w:tc>
          <w:tcPr>
            <w:tcW w:type="dxa" w:w="5832"/>
            <w:vAlign w:val="center"/>
            <w:shd w:fill="F2F4F7"/>
            <w:tcMar>
              <w:top w:w="80" w:type="dxa"/>
              <w:bottom w:w="80" w:type="dxa"/>
              <w:start w:w="120" w:type="dxa"/>
              <w:end w:w="120" w:type="dxa"/>
            </w:tcMar>
          </w:tcPr>
          <w:p>
            <w:pPr>
              <w:pStyle w:val="TableText"/>
            </w:pPr>
            <w:r>
              <w:rPr>
                <w:b/>
              </w:rPr>
              <w:t>Supporting diagnostic evidence</w:t>
            </w:r>
          </w:p>
        </w:tc>
      </w:tr>
      <w:tr>
        <w:trPr>
          <w:cantSplit/>
        </w:trPr>
        <w:tc>
          <w:tcPr>
            <w:tcW w:type="dxa" w:w="1152"/>
            <w:vAlign w:val="center"/>
            <w:tcMar>
              <w:top w:w="80" w:type="dxa"/>
              <w:bottom w:w="80" w:type="dxa"/>
              <w:start w:w="120" w:type="dxa"/>
              <w:end w:w="120" w:type="dxa"/>
            </w:tcMar>
          </w:tcPr>
          <w:p>
            <w:pPr>
              <w:pStyle w:val="TableText"/>
              <w:jc w:val="center"/>
            </w:pPr>
            <w:r>
              <w:t>023</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Manual post: 57/200 fast (28.5%); fast accuracy 50.9%. Overall accuracy 108/200 (54.0%).</w:t>
            </w:r>
          </w:p>
        </w:tc>
      </w:tr>
      <w:tr>
        <w:trPr>
          <w:cantSplit/>
        </w:trPr>
        <w:tc>
          <w:tcPr>
            <w:tcW w:type="dxa" w:w="1152"/>
            <w:vAlign w:val="center"/>
            <w:tcMar>
              <w:top w:w="80" w:type="dxa"/>
              <w:bottom w:w="80" w:type="dxa"/>
              <w:start w:w="120" w:type="dxa"/>
              <w:end w:w="120" w:type="dxa"/>
            </w:tcMar>
          </w:tcPr>
          <w:p>
            <w:pPr>
              <w:pStyle w:val="TableText"/>
              <w:jc w:val="center"/>
            </w:pPr>
            <w:r>
              <w:t>049</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Aid 70%: 176/400 fast (44.0%); fast accuracy 48.9%. Overall accuracy 49.5%.</w:t>
              <w:br/>
              <w:t>Aid 95% again: 259/400 fast (64.8%); fast accuracy 51.0%. Overall accuracy 51.3%.</w:t>
              <w:br/>
              <w:t>Manual post: 131/200 fast (65.5%); fast accuracy 51.9%. Overall accuracy 55.0%.</w:t>
              <w:br/>
              <w:t>Pooled aided and experimental scopes also met the anticipatory criterion.</w:t>
            </w:r>
          </w:p>
        </w:tc>
      </w:tr>
      <w:tr>
        <w:trPr>
          <w:cantSplit/>
        </w:trPr>
        <w:tc>
          <w:tcPr>
            <w:tcW w:type="dxa" w:w="1152"/>
            <w:vAlign w:val="center"/>
            <w:tcMar>
              <w:top w:w="80" w:type="dxa"/>
              <w:bottom w:w="80" w:type="dxa"/>
              <w:start w:w="120" w:type="dxa"/>
              <w:end w:w="120" w:type="dxa"/>
            </w:tcMar>
          </w:tcPr>
          <w:p>
            <w:pPr>
              <w:pStyle w:val="TableText"/>
              <w:jc w:val="center"/>
            </w:pPr>
            <w:r>
              <w:t>051</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Aid 70%: 107/400 fast (26.8%); fast accuracy 54.2%.</w:t>
              <w:br/>
              <w:t>Aid 95% again: 95/400 fast (23.8%); fast accuracy 44.2%.</w:t>
              <w:br/>
              <w:t>Manual-post accuracy 106/200 (53.0%).</w:t>
            </w:r>
          </w:p>
        </w:tc>
      </w:tr>
      <w:tr>
        <w:trPr>
          <w:cantSplit/>
        </w:trPr>
        <w:tc>
          <w:tcPr>
            <w:tcW w:type="dxa" w:w="1152"/>
            <w:vAlign w:val="center"/>
            <w:tcMar>
              <w:top w:w="80" w:type="dxa"/>
              <w:bottom w:w="80" w:type="dxa"/>
              <w:start w:w="120" w:type="dxa"/>
              <w:end w:w="120" w:type="dxa"/>
            </w:tcMar>
          </w:tcPr>
          <w:p>
            <w:pPr>
              <w:pStyle w:val="TableText"/>
              <w:jc w:val="center"/>
            </w:pPr>
            <w:r>
              <w:t>065</w:t>
            </w:r>
          </w:p>
        </w:tc>
        <w:tc>
          <w:tcPr>
            <w:tcW w:type="dxa" w:w="2376"/>
            <w:vAlign w:val="center"/>
            <w:tcMar>
              <w:top w:w="80" w:type="dxa"/>
              <w:bottom w:w="80" w:type="dxa"/>
              <w:start w:w="120" w:type="dxa"/>
              <w:end w:w="120" w:type="dxa"/>
            </w:tcMar>
          </w:tcPr>
          <w:p>
            <w:pPr>
              <w:pStyle w:val="TableText"/>
            </w:pPr>
            <w:r>
              <w:t>Anticipatory responding</w:t>
            </w:r>
          </w:p>
        </w:tc>
        <w:tc>
          <w:tcPr>
            <w:tcW w:type="dxa" w:w="5832"/>
            <w:vAlign w:val="center"/>
            <w:tcMar>
              <w:top w:w="80" w:type="dxa"/>
              <w:bottom w:w="80" w:type="dxa"/>
              <w:start w:w="120" w:type="dxa"/>
              <w:end w:w="120" w:type="dxa"/>
            </w:tcMar>
          </w:tcPr>
          <w:p>
            <w:pPr>
              <w:pStyle w:val="TableText"/>
            </w:pPr>
            <w:r>
              <w:t>Both manual segments, all three aided phases, and pooled aided/experimental scopes met the anticipatory criterion.</w:t>
              <w:br/>
              <w:t>All experimental trials: 819/1600 fast (51.2%); fast accuracy 49.5%. No whole scope met the near-chance criterion.</w:t>
            </w:r>
          </w:p>
        </w:tc>
      </w:tr>
      <w:tr>
        <w:trPr>
          <w:cantSplit/>
        </w:trPr>
        <w:tc>
          <w:tcPr>
            <w:tcW w:type="dxa" w:w="1152"/>
            <w:vAlign w:val="center"/>
            <w:tcMar>
              <w:top w:w="80" w:type="dxa"/>
              <w:bottom w:w="80" w:type="dxa"/>
              <w:start w:w="120" w:type="dxa"/>
              <w:end w:w="120" w:type="dxa"/>
            </w:tcMar>
          </w:tcPr>
          <w:p>
            <w:pPr>
              <w:pStyle w:val="TableText"/>
              <w:jc w:val="center"/>
            </w:pPr>
            <w:r>
              <w:t>075</w:t>
            </w:r>
          </w:p>
        </w:tc>
        <w:tc>
          <w:tcPr>
            <w:tcW w:type="dxa" w:w="2376"/>
            <w:vAlign w:val="center"/>
            <w:tcMar>
              <w:top w:w="80" w:type="dxa"/>
              <w:bottom w:w="80" w:type="dxa"/>
              <w:start w:w="120" w:type="dxa"/>
              <w:end w:w="120" w:type="dxa"/>
            </w:tcMar>
          </w:tcPr>
          <w:p>
            <w:pPr>
              <w:pStyle w:val="TableText"/>
            </w:pPr>
            <w:r>
              <w:t>Near-chance performance</w:t>
            </w:r>
          </w:p>
        </w:tc>
        <w:tc>
          <w:tcPr>
            <w:tcW w:type="dxa" w:w="5832"/>
            <w:vAlign w:val="center"/>
            <w:tcMar>
              <w:top w:w="80" w:type="dxa"/>
              <w:bottom w:w="80" w:type="dxa"/>
              <w:start w:w="120" w:type="dxa"/>
              <w:end w:w="120" w:type="dxa"/>
            </w:tcMar>
          </w:tcPr>
          <w:p>
            <w:pPr>
              <w:pStyle w:val="TableText"/>
            </w:pPr>
            <w:r>
              <w:t>Manual-post accuracy 108/200 (54.0%). Only 6/200 trials (3.0%) were fast; no anticipatory flag.</w:t>
            </w:r>
          </w:p>
        </w:tc>
      </w:tr>
      <w:tr>
        <w:trPr>
          <w:cantSplit/>
        </w:trPr>
        <w:tc>
          <w:tcPr>
            <w:tcW w:type="dxa" w:w="1152"/>
            <w:vAlign w:val="center"/>
            <w:tcMar>
              <w:top w:w="80" w:type="dxa"/>
              <w:bottom w:w="80" w:type="dxa"/>
              <w:start w:w="120" w:type="dxa"/>
              <w:end w:w="120" w:type="dxa"/>
            </w:tcMar>
          </w:tcPr>
          <w:p>
            <w:pPr>
              <w:pStyle w:val="TableText"/>
              <w:jc w:val="center"/>
            </w:pPr>
            <w:r>
              <w:t>079</w:t>
            </w:r>
          </w:p>
        </w:tc>
        <w:tc>
          <w:tcPr>
            <w:tcW w:type="dxa" w:w="2376"/>
            <w:vAlign w:val="center"/>
            <w:tcMar>
              <w:top w:w="80" w:type="dxa"/>
              <w:bottom w:w="80" w:type="dxa"/>
              <w:start w:w="120" w:type="dxa"/>
              <w:end w:w="120" w:type="dxa"/>
            </w:tcMar>
          </w:tcPr>
          <w:p>
            <w:pPr>
              <w:pStyle w:val="TableText"/>
            </w:pPr>
            <w:r>
              <w:t>Anticipatory responding and near-chance performance</w:t>
            </w:r>
          </w:p>
        </w:tc>
        <w:tc>
          <w:tcPr>
            <w:tcW w:type="dxa" w:w="5832"/>
            <w:vAlign w:val="center"/>
            <w:tcMar>
              <w:top w:w="80" w:type="dxa"/>
              <w:bottom w:w="80" w:type="dxa"/>
              <w:start w:w="120" w:type="dxa"/>
              <w:end w:w="120" w:type="dxa"/>
            </w:tcMar>
          </w:tcPr>
          <w:p>
            <w:pPr>
              <w:pStyle w:val="TableText"/>
            </w:pPr>
            <w:r>
              <w:t>Manual post: 57/200 fast (28.5%); fast accuracy 38.6%. Overall accuracy 106/200 (53.0%).</w:t>
            </w:r>
          </w:p>
        </w:tc>
      </w:tr>
      <w:tr>
        <w:trPr>
          <w:cantSplit/>
        </w:trPr>
        <w:tc>
          <w:tcPr>
            <w:tcW w:type="dxa" w:w="1152"/>
            <w:vAlign w:val="center"/>
            <w:tcMar>
              <w:top w:w="80" w:type="dxa"/>
              <w:bottom w:w="80" w:type="dxa"/>
              <w:start w:w="120" w:type="dxa"/>
              <w:end w:w="120" w:type="dxa"/>
            </w:tcMar>
          </w:tcPr>
          <w:p>
            <w:pPr>
              <w:pStyle w:val="TableText"/>
              <w:jc w:val="center"/>
            </w:pPr>
            <w:r>
              <w:t>081</w:t>
            </w:r>
          </w:p>
        </w:tc>
        <w:tc>
          <w:tcPr>
            <w:tcW w:type="dxa" w:w="2376"/>
            <w:vAlign w:val="center"/>
            <w:tcMar>
              <w:top w:w="80" w:type="dxa"/>
              <w:bottom w:w="80" w:type="dxa"/>
              <w:start w:w="120" w:type="dxa"/>
              <w:end w:w="120" w:type="dxa"/>
            </w:tcMar>
          </w:tcPr>
          <w:p>
            <w:pPr>
              <w:pStyle w:val="TableText"/>
            </w:pPr>
            <w:r>
              <w:t>Near-chance performance</w:t>
            </w:r>
          </w:p>
        </w:tc>
        <w:tc>
          <w:tcPr>
            <w:tcW w:type="dxa" w:w="5832"/>
            <w:vAlign w:val="center"/>
            <w:tcMar>
              <w:top w:w="80" w:type="dxa"/>
              <w:bottom w:w="80" w:type="dxa"/>
              <w:start w:w="120" w:type="dxa"/>
              <w:end w:w="120" w:type="dxa"/>
            </w:tcMar>
          </w:tcPr>
          <w:p>
            <w:pPr>
              <w:pStyle w:val="TableText"/>
            </w:pPr>
            <w:r>
              <w:t>Manual-post accuracy 109/200 (54.5%). No fast responses in that segment (0/200); no anticipatory flag.</w:t>
            </w:r>
          </w:p>
        </w:tc>
      </w:tr>
    </w:tbl>
    <w:p>
      <w:pPr>
        <w:pStyle w:val="SourceNote"/>
      </w:pPr>
      <w:r>
        <w:t>Fast = recorded RT &lt;200 ms. Manual pre/post = the 200-trial segments before/after the aided block. Aided phases: 95%, 70%, then 95% again (400 trials each). Percentages rounded to one decimal place.</w:t>
      </w:r>
    </w:p>
    <w:p>
      <w:pPr>
        <w:pStyle w:val="Heading2"/>
      </w:pPr>
      <w:r>
        <w:t>Review criteria and scope</w:t>
      </w:r>
    </w:p>
    <w:p>
      <w:r>
        <w:t>Anticipatory responding required ≥20% of all trials with RT &lt;200 ms, ≥20 fast responses, and ≤55% accuracy on those fast responses, jointly within the same scope. Near-chance performance meant ≤55% all-trial accuracy. Timeouts count as incorrect and never as fast; finite nonpositive answered RTs count as fast. Exactly 200 ms is not fast.</w:t>
      </w:r>
    </w:p>
    <w:p>
      <w:r>
        <w:t>Assessed whole scopes were full calibration, each manual segment, each aided phase, all 1,200 aided trials, and all 1,600 experimental trials. Calibration-target exclusion required accuracy in calibration trials 151–300 to differ from the assigned target by more than 10 percentage points; no participant met this criterion.</w:t>
      </w:r>
    </w:p>
    <w:p>
      <w:r>
        <w:t>Six participants met the near-chance criterion and five met the anticipatory criterion; four met both, giving seven unique exclusions. Eleven participants had manual-target deviations, which were diagnostic only. The six with diagnostic flags only (001, 021, 025, 037, 063 and 085) remain in the primary sample.</w:t>
      </w:r>
    </w:p>
    <w:p>
      <w:r>
        <w:t>These are retrospective descriptive criteria, not preregistered exclusions or evidence of equivalence to chance. They include post-exposure performance; the all-participant analyses provide a sensitivity check for this selection.</w:t>
      </w:r>
    </w:p>
    <w:p>
      <w:pPr>
        <w:pStyle w:val="Heading2"/>
      </w:pPr>
      <w:r>
        <w:t>Remaining participant IDs to collect</w:t>
      </w:r>
    </w:p>
    <w:p>
      <w:r>
        <w:t>The target is 96 retained participants. With 82 currently retained, 14 further participants are required: seven replacements for exclusions and seven new participants, assuming all pass QC.</w:t>
      </w:r>
    </w:p>
    <w:p>
      <w:r>
        <w:t>Re-collect: 023, 049, 051, 065, 075, 079, 081.</w:t>
        <w:br/>
        <w:t>New participants: 090, 091, 092, 093, 094, 095, 096.</w:t>
      </w:r>
    </w:p>
    <w:p>
      <w:pPr>
        <w:pStyle w:val="SourceNote"/>
      </w:pPr>
      <w:r>
        <w:t>Collection target and replacement plan confirmed by the researcher on 21 October 2026. These IDs are outstanding collection slots, not completed replacement runs.</w:t>
      </w:r>
    </w:p>
    <w:p>
      <w:pPr>
        <w:pStyle w:val="Heading2"/>
      </w:pPr>
      <w:r>
        <w:t>Reading the diagnostic plots</w:t>
      </w:r>
    </w:p>
    <w:p>
      <w:r>
        <w:t>The following pages reproduce the saved individual plots for all seven excluded participants, including the two excluded only for near-chance performance. Each shows the full sequence including calibration, trial-level RTs, and fast-response rates and accuracy in 50-trial bins. Headline statistics pool the 1,600 experimental trials; the table identifies the relevant decision scopes. Binned patterns do not independently trigger exclusion.</w:t>
      </w:r>
    </w:p>
    <w:p>
      <w:r>
        <w:t>The plots retain their original audit wording, “no participants are excluded”. This describes the standalone QC report, which leaves source data intact. The current primary analyses apply the seven exclusions documented here; the all-participant sensitivity retains everyone.</w:t>
      </w:r>
    </w:p>
    <w:p>
      <w:pPr>
        <w:pStyle w:val="Heading2"/>
      </w:pPr>
      <w:r>
        <w:t>Provenance</w:t>
      </w:r>
    </w:p>
    <w:p>
      <w:pPr>
        <w:pStyle w:val="SourceNote"/>
      </w:pPr>
      <w:r>
        <w:t>Decision membership: analysis_outputs/semester2_2026_behavioural/primary/cohort_membership.csv. Evidence: analysis_outputs/semester2_2026_qc/ (exclusion_summary.json, flagged_checks.csv, scope_metrics.csv and individual/pNNN_diagnostics.png). Rules: participant_qc/config.json; README.md, “Participant QC and exclusion review”.</w:t>
      </w:r>
    </w:p>
    <w:p>
      <w:pPr>
        <w:pStyle w:val="SourceNote"/>
      </w:pPr>
      <w:r>
        <w:t>Saved QC generated 17 October 2026; its input hash matches the current data/data_virus_all.csv. Prepared from saved outputs on 21 October 2026. Source data, analysis membership and diagnostic plots were not changed.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FigureCaption"/>
        <w:keepNext/>
      </w:pPr>
      <w:r>
        <w:rPr>
          <w:b/>
        </w:rPr>
        <w:t xml:space="preserve">Participant 023. </w:t>
      </w:r>
      <w:r>
        <w:t>Manual post triggered both exclusion criteria.</w:t>
      </w:r>
    </w:p>
    <w:p>
      <w:pPr>
        <w:pStyle w:val="PlotImage"/>
      </w:pPr>
      <w:r>
        <w:drawing>
          <wp:inline xmlns:a="http://schemas.openxmlformats.org/drawingml/2006/main" xmlns:pic="http://schemas.openxmlformats.org/drawingml/2006/picture">
            <wp:extent cx="8686800" cy="5978562"/>
            <wp:docPr id="1" name="Picture 1" descr="Participant 023: recorded RTs, fraction below 200 ms and accuracy across calibration, manual pre, three aided phases and manual post. Manual post triggered both exclusion criteria."/>
            <wp:cNvGraphicFramePr>
              <a:graphicFrameLocks noChangeAspect="1"/>
            </wp:cNvGraphicFramePr>
            <a:graphic>
              <a:graphicData uri="http://schemas.openxmlformats.org/drawingml/2006/picture">
                <pic:pic>
                  <pic:nvPicPr>
                    <pic:cNvPr id="0" name="p023_diagnostics.png"/>
                    <pic:cNvPicPr/>
                  </pic:nvPicPr>
                  <pic:blipFill>
                    <a:blip r:embed="rId11"/>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049. </w:t>
      </w:r>
      <w:r>
        <w:t>Aid 70%, Aid 95% again and Manual post triggered both criteria; pooled scopes also triggered anticipatory flags.</w:t>
      </w:r>
    </w:p>
    <w:p>
      <w:pPr>
        <w:pStyle w:val="PlotImage"/>
      </w:pPr>
      <w:r>
        <w:drawing>
          <wp:inline xmlns:a="http://schemas.openxmlformats.org/drawingml/2006/main" xmlns:pic="http://schemas.openxmlformats.org/drawingml/2006/picture">
            <wp:extent cx="8686800" cy="5978562"/>
            <wp:docPr id="2" name="Picture 2" descr="Participant 049: recorded RTs, fraction below 200 ms and accuracy across calibration, manual pre, three aided phases and manual post. Aid 70%, Aid 95% again and Manual post triggered both criteria; pooled scopes also triggered anticipatory flags."/>
            <wp:cNvGraphicFramePr>
              <a:graphicFrameLocks noChangeAspect="1"/>
            </wp:cNvGraphicFramePr>
            <a:graphic>
              <a:graphicData uri="http://schemas.openxmlformats.org/drawingml/2006/picture">
                <pic:pic>
                  <pic:nvPicPr>
                    <pic:cNvPr id="0" name="p049_diagnostics.png"/>
                    <pic:cNvPicPr/>
                  </pic:nvPicPr>
                  <pic:blipFill>
                    <a:blip r:embed="rId12"/>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051. </w:t>
      </w:r>
      <w:r>
        <w:t>Aid 70% and Aid 95% again triggered anticipatory flags; Manual post triggered the near-chance criterion.</w:t>
      </w:r>
    </w:p>
    <w:p>
      <w:pPr>
        <w:pStyle w:val="PlotImage"/>
      </w:pPr>
      <w:r>
        <w:drawing>
          <wp:inline xmlns:a="http://schemas.openxmlformats.org/drawingml/2006/main" xmlns:pic="http://schemas.openxmlformats.org/drawingml/2006/picture">
            <wp:extent cx="8686800" cy="5978562"/>
            <wp:docPr id="3" name="Picture 3" descr="Participant 051: recorded RTs, fraction below 200 ms and accuracy across calibration, manual pre, three aided phases and manual post. Aid 70% and Aid 95% again triggered anticipatory flags; Manual post triggered the near-chance criterion."/>
            <wp:cNvGraphicFramePr>
              <a:graphicFrameLocks noChangeAspect="1"/>
            </wp:cNvGraphicFramePr>
            <a:graphic>
              <a:graphicData uri="http://schemas.openxmlformats.org/drawingml/2006/picture">
                <pic:pic>
                  <pic:nvPicPr>
                    <pic:cNvPr id="0" name="p051_diagnostics.png"/>
                    <pic:cNvPicPr/>
                  </pic:nvPicPr>
                  <pic:blipFill>
                    <a:blip r:embed="rId13"/>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065. </w:t>
      </w:r>
      <w:r>
        <w:t>Anticipatory flags occurred in both manual segments, all aided phases and pooled scopes; no near-chance flag.</w:t>
      </w:r>
    </w:p>
    <w:p>
      <w:pPr>
        <w:pStyle w:val="PlotImage"/>
      </w:pPr>
      <w:r>
        <w:drawing>
          <wp:inline xmlns:a="http://schemas.openxmlformats.org/drawingml/2006/main" xmlns:pic="http://schemas.openxmlformats.org/drawingml/2006/picture">
            <wp:extent cx="8686800" cy="5978562"/>
            <wp:docPr id="4" name="Picture 4" descr="Participant 065: recorded RTs, fraction below 200 ms and accuracy across calibration, manual pre, three aided phases and manual post. Anticipatory flags occurred in both manual segments, all aided phases and pooled scopes; no near-chance flag."/>
            <wp:cNvGraphicFramePr>
              <a:graphicFrameLocks noChangeAspect="1"/>
            </wp:cNvGraphicFramePr>
            <a:graphic>
              <a:graphicData uri="http://schemas.openxmlformats.org/drawingml/2006/picture">
                <pic:pic>
                  <pic:nvPicPr>
                    <pic:cNvPr id="0" name="p065_diagnostics.png"/>
                    <pic:cNvPicPr/>
                  </pic:nvPicPr>
                  <pic:blipFill>
                    <a:blip r:embed="rId14"/>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075. </w:t>
      </w:r>
      <w:r>
        <w:t>Manual post triggered the near-chance criterion only.</w:t>
      </w:r>
    </w:p>
    <w:p>
      <w:pPr>
        <w:pStyle w:val="PlotImage"/>
      </w:pPr>
      <w:r>
        <w:drawing>
          <wp:inline xmlns:a="http://schemas.openxmlformats.org/drawingml/2006/main" xmlns:pic="http://schemas.openxmlformats.org/drawingml/2006/picture">
            <wp:extent cx="8686800" cy="5978562"/>
            <wp:docPr id="5" name="Picture 5" descr="Participant 075: recorded RTs, fraction below 200 ms and accuracy across calibration, manual pre, three aided phases and manual post. Manual post triggered the near-chance criterion only."/>
            <wp:cNvGraphicFramePr>
              <a:graphicFrameLocks noChangeAspect="1"/>
            </wp:cNvGraphicFramePr>
            <a:graphic>
              <a:graphicData uri="http://schemas.openxmlformats.org/drawingml/2006/picture">
                <pic:pic>
                  <pic:nvPicPr>
                    <pic:cNvPr id="0" name="p075_diagnostics.png"/>
                    <pic:cNvPicPr/>
                  </pic:nvPicPr>
                  <pic:blipFill>
                    <a:blip r:embed="rId15"/>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079. </w:t>
      </w:r>
      <w:r>
        <w:t>Manual post triggered both exclusion criteria.</w:t>
      </w:r>
    </w:p>
    <w:p>
      <w:pPr>
        <w:pStyle w:val="PlotImage"/>
      </w:pPr>
      <w:r>
        <w:drawing>
          <wp:inline xmlns:a="http://schemas.openxmlformats.org/drawingml/2006/main" xmlns:pic="http://schemas.openxmlformats.org/drawingml/2006/picture">
            <wp:extent cx="8686800" cy="5978562"/>
            <wp:docPr id="6" name="Picture 6" descr="Participant 079: recorded RTs, fraction below 200 ms and accuracy across calibration, manual pre, three aided phases and manual post. Manual post triggered both exclusion criteria."/>
            <wp:cNvGraphicFramePr>
              <a:graphicFrameLocks noChangeAspect="1"/>
            </wp:cNvGraphicFramePr>
            <a:graphic>
              <a:graphicData uri="http://schemas.openxmlformats.org/drawingml/2006/picture">
                <pic:pic>
                  <pic:nvPicPr>
                    <pic:cNvPr id="0" name="p079_diagnostics.png"/>
                    <pic:cNvPicPr/>
                  </pic:nvPicPr>
                  <pic:blipFill>
                    <a:blip r:embed="rId16"/>
                    <a:stretch>
                      <a:fillRect/>
                    </a:stretch>
                  </pic:blipFill>
                  <pic:spPr>
                    <a:xfrm>
                      <a:off x="0" y="0"/>
                      <a:ext cx="8686800" cy="5978562"/>
                    </a:xfrm>
                    <a:prstGeom prst="rect"/>
                  </pic:spPr>
                </pic:pic>
              </a:graphicData>
            </a:graphic>
          </wp:inline>
        </w:drawing>
      </w:r>
    </w:p>
    <w:p>
      <w:r>
        <w:br w:type="page"/>
      </w:r>
    </w:p>
    <w:p>
      <w:pPr>
        <w:pStyle w:val="FigureCaption"/>
        <w:keepNext/>
      </w:pPr>
      <w:r>
        <w:rPr>
          <w:b/>
        </w:rPr>
        <w:t xml:space="preserve">Participant 081. </w:t>
      </w:r>
      <w:r>
        <w:t>Manual post triggered the near-chance criterion only.</w:t>
      </w:r>
    </w:p>
    <w:p>
      <w:pPr>
        <w:pStyle w:val="PlotImage"/>
      </w:pPr>
      <w:r>
        <w:drawing>
          <wp:inline xmlns:a="http://schemas.openxmlformats.org/drawingml/2006/main" xmlns:pic="http://schemas.openxmlformats.org/drawingml/2006/picture">
            <wp:extent cx="8686800" cy="5978562"/>
            <wp:docPr id="7" name="Picture 7" descr="Participant 081: recorded RTs, fraction below 200 ms and accuracy across calibration, manual pre, three aided phases and manual post. Manual post triggered the near-chance criterion only."/>
            <wp:cNvGraphicFramePr>
              <a:graphicFrameLocks noChangeAspect="1"/>
            </wp:cNvGraphicFramePr>
            <a:graphic>
              <a:graphicData uri="http://schemas.openxmlformats.org/drawingml/2006/picture">
                <pic:pic>
                  <pic:nvPicPr>
                    <pic:cNvPr id="0" name="p081_diagnostics.png"/>
                    <pic:cNvPicPr/>
                  </pic:nvPicPr>
                  <pic:blipFill>
                    <a:blip r:embed="rId17"/>
                    <a:stretch>
                      <a:fillRect/>
                    </a:stretch>
                  </pic:blipFill>
                  <pic:spPr>
                    <a:xfrm>
                      <a:off x="0" y="0"/>
                      <a:ext cx="8686800" cy="5978562"/>
                    </a:xfrm>
                    <a:prstGeom prst="rect"/>
                  </pic:spPr>
                </pic:pic>
              </a:graphicData>
            </a:graphic>
          </wp:inline>
        </w:drawing>
      </w:r>
    </w:p>
    <w:sectPr w:rsidR="00FC693F" w:rsidRPr="0006063C" w:rsidSect="00034616">
      <w:pgSz w:w="15840" w:h="12240" w:orient="landscape"/>
      <w:pgMar w:top="720" w:right="1080" w:bottom="720"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Dynamic-reliability study | Reviewed participant exclusions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b w:val="0"/>
      <w:color w:val="6666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172B3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60" w:line="264" w:lineRule="auto"/>
    </w:pPr>
    <w:rPr>
      <w:rFonts w:ascii="Calibri" w:hAnsi="Calibri"/>
      <w:b w:val="0"/>
      <w:color w:val="222222"/>
      <w:sz w:val="20"/>
    </w:rPr>
  </w:style>
  <w:style w:type="paragraph" w:customStyle="1" w:styleId="SourceNote">
    <w:name w:val="SourceNote"/>
    <w:pPr>
      <w:spacing w:before="80" w:after="80" w:line="264" w:lineRule="auto"/>
    </w:pPr>
    <w:rPr>
      <w:rFonts w:ascii="Calibri" w:hAnsi="Calibri"/>
      <w:b w:val="0"/>
      <w:color w:val="555555"/>
      <w:sz w:val="18"/>
    </w:rPr>
  </w:style>
  <w:style w:type="paragraph" w:customStyle="1" w:styleId="FigureCaption">
    <w:name w:val="FigureCaption"/>
    <w:pPr>
      <w:spacing w:before="0" w:after="100" w:line="264" w:lineRule="auto"/>
    </w:pPr>
    <w:rPr>
      <w:rFonts w:ascii="Calibri" w:hAnsi="Calibri"/>
      <w:b w:val="0"/>
      <w:color w:val="222222"/>
      <w:sz w:val="20"/>
    </w:rPr>
  </w:style>
  <w:style w:type="paragraph" w:customStyle="1" w:styleId="PlotImage">
    <w:name w:val="PlotImage"/>
    <w:pPr>
      <w:spacing w:before="0" w:after="0" w:line="240" w:lineRule="auto"/>
    </w:pPr>
    <w:rPr>
      <w:rFonts w:ascii="Calibri" w:hAnsi="Calibri"/>
      <w:b w:val="0"/>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Dynamic-reliability study: reviewed participant exclusions</dc:title>
  <dc:subject>Reviewed primary-analysis exclusions and saved participant diagnostics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