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Calibri" w:hAnsi="Calibri" w:eastAsia="Calibri"/>
          <w:b/>
          <w:color w:val="007783"/>
          <w:sz w:val="20"/>
        </w:rPr>
        <w:t>STRATEGY + ARCHITECTURE / DECISION BRIEF</w:t>
      </w:r>
    </w:p>
    <w:p>
      <w:pPr>
        <w:spacing w:before="1400" w:after="200"/>
      </w:pPr>
      <w:r>
        <w:rPr>
          <w:rFonts w:ascii="Calibri" w:hAnsi="Calibri" w:eastAsia="Calibri"/>
          <w:b/>
          <w:color w:val="17232B"/>
          <w:sz w:val="62"/>
        </w:rPr>
        <w:t>A STANDARDIZED</w:t>
        <w:br/>
        <w:t>AGENTIC PROTOCOL</w:t>
        <w:br/>
      </w:r>
      <w:r>
        <w:rPr>
          <w:rFonts w:ascii="Calibri" w:hAnsi="Calibri" w:eastAsia="Calibri"/>
          <w:b/>
          <w:color w:val="007783"/>
          <w:sz w:val="62"/>
        </w:rPr>
        <w:t>FOR CELL OS</w:t>
      </w:r>
    </w:p>
    <w:p>
      <w:pPr>
        <w:spacing w:after="520"/>
      </w:pPr>
      <w:r>
        <w:rPr>
          <w:rFonts w:ascii="Calibri" w:hAnsi="Calibri" w:eastAsia="Calibri"/>
          <w:color w:val="5D6B73"/>
          <w:sz w:val="30"/>
        </w:rPr>
        <w:t>Research, trade-offs, and a proposed interoperability profile</w:t>
      </w:r>
    </w:p>
    <w:p>
      <w:pPr>
        <w:spacing w:after="440"/>
        <w:pBdr>
          <w:bottom w:val="single" w:sz="20" w:space="2" w:color="00A7B5"/>
        </w:pBdr>
      </w:pPr>
    </w:p>
    <w:p>
      <w:pPr>
        <w:spacing w:after="360"/>
      </w:pPr>
      <w:r>
        <w:rPr>
          <w:rFonts w:ascii="Calibri" w:hAnsi="Calibri" w:eastAsia="Calibri"/>
          <w:b/>
          <w:color w:val="007783"/>
          <w:sz w:val="18"/>
        </w:rPr>
        <w:t>THE THESIS</w:t>
      </w:r>
      <w:r>
        <w:rPr>
          <w:rFonts w:ascii="Calibri" w:hAnsi="Calibri" w:eastAsia="Calibri"/>
          <w:b/>
          <w:color w:val="17232B"/>
          <w:sz w:val="30"/>
        </w:rPr>
        <w:br/>
        <w:t>Standardize the boundary contract—not the intelligence inside the boundary.</w:t>
      </w:r>
    </w:p>
    <w:tbl>
      <w:tblPr>
        <w:tblW w:type="dxa" w:w="9360"/>
        <w:jc w:val="left"/>
        <w:tblLayout w:type="fixed"/>
        <w:tblLook w:firstColumn="1" w:firstRow="1" w:lastColumn="0" w:lastRow="0" w:noHBand="0" w:noVBand="1" w:val="04A0"/>
        <w:tblInd w:w="0" w:type="dxa"/>
        <w:tblBorders>
          <w:top w:val="single" w:sz="0" w:space="0" w:color="17232B"/>
          <w:left w:val="single" w:sz="0" w:space="0" w:color="17232B"/>
          <w:bottom w:val="single" w:sz="0" w:space="0" w:color="17232B"/>
          <w:right w:val="single" w:sz="0" w:space="0" w:color="17232B"/>
          <w:insideH w:val="single" w:sz="0" w:space="0" w:color="17232B"/>
          <w:insideV w:val="single" w:sz="0" w:space="0" w:color="17232B"/>
        </w:tblBorders>
      </w:tblPr>
      <w:tblGrid>
        <w:gridCol w:w="3125"/>
        <w:gridCol w:w="3110"/>
        <w:gridCol w:w="3125"/>
      </w:tblGrid>
      <w:tr>
        <w:tc>
          <w:tcPr>
            <w:tcW w:type="dxa" w:w="3125"/>
            <w:tcMar>
              <w:top w:w="80" w:type="dxa"/>
              <w:start w:w="120" w:type="dxa"/>
              <w:bottom w:w="80" w:type="dxa"/>
              <w:end w:w="120" w:type="dxa"/>
            </w:tcMar>
            <w:shd w:fill="17232B"/>
            <w:vAlign w:val="center"/>
          </w:tcPr>
          <w:p>
            <w:pPr>
              <w:spacing w:before="160" w:after="160"/>
              <w:jc w:val="center"/>
            </w:pPr>
            <w:r>
              <w:rPr>
                <w:rFonts w:ascii="Calibri" w:hAnsi="Calibri" w:eastAsia="Calibri"/>
                <w:b/>
                <w:color w:val="00A7B5"/>
                <w:sz w:val="20"/>
              </w:rPr>
              <w:t>MISSION</w:t>
            </w:r>
            <w:r>
              <w:rPr>
                <w:rFonts w:ascii="Calibri" w:hAnsi="Calibri" w:eastAsia="Calibri"/>
                <w:color w:val="FFFFFF"/>
                <w:sz w:val="17"/>
              </w:rPr>
              <w:br/>
              <w:t>Goal • success • constraints</w:t>
            </w:r>
          </w:p>
        </w:tc>
        <w:tc>
          <w:tcPr>
            <w:tcW w:type="dxa" w:w="3110"/>
            <w:tcMar>
              <w:top w:w="80" w:type="dxa"/>
              <w:start w:w="120" w:type="dxa"/>
              <w:bottom w:w="80" w:type="dxa"/>
              <w:end w:w="120" w:type="dxa"/>
            </w:tcMar>
            <w:shd w:fill="24343E"/>
            <w:vAlign w:val="center"/>
          </w:tcPr>
          <w:p>
            <w:pPr>
              <w:spacing w:before="160" w:after="160"/>
              <w:jc w:val="center"/>
            </w:pPr>
            <w:r>
              <w:rPr>
                <w:rFonts w:ascii="Calibri" w:hAnsi="Calibri" w:eastAsia="Calibri"/>
                <w:b/>
                <w:color w:val="00A7B5"/>
                <w:sz w:val="20"/>
              </w:rPr>
              <w:t>AUTHORITY</w:t>
            </w:r>
            <w:r>
              <w:rPr>
                <w:rFonts w:ascii="Calibri" w:hAnsi="Calibri" w:eastAsia="Calibri"/>
                <w:color w:val="FFFFFF"/>
                <w:sz w:val="17"/>
              </w:rPr>
              <w:br/>
              <w:t>Scope • gates • revocation</w:t>
            </w:r>
          </w:p>
        </w:tc>
        <w:tc>
          <w:tcPr>
            <w:tcW w:type="dxa" w:w="3125"/>
            <w:tcMar>
              <w:top w:w="80" w:type="dxa"/>
              <w:start w:w="120" w:type="dxa"/>
              <w:bottom w:w="80" w:type="dxa"/>
              <w:end w:w="120" w:type="dxa"/>
            </w:tcMar>
            <w:shd w:fill="17232B"/>
            <w:vAlign w:val="center"/>
          </w:tcPr>
          <w:p>
            <w:pPr>
              <w:spacing w:before="160" w:after="160"/>
              <w:jc w:val="center"/>
            </w:pPr>
            <w:r>
              <w:rPr>
                <w:rFonts w:ascii="Calibri" w:hAnsi="Calibri" w:eastAsia="Calibri"/>
                <w:b/>
                <w:color w:val="00A7B5"/>
                <w:sz w:val="20"/>
              </w:rPr>
              <w:t>PROVENANCE</w:t>
            </w:r>
            <w:r>
              <w:rPr>
                <w:rFonts w:ascii="Calibri" w:hAnsi="Calibri" w:eastAsia="Calibri"/>
                <w:color w:val="FFFFFF"/>
                <w:sz w:val="17"/>
              </w:rPr>
              <w:br/>
              <w:t>Evidence • receipts • replay</w:t>
            </w:r>
          </w:p>
        </w:tc>
      </w:tr>
    </w:tbl>
    <w:p>
      <w:pPr>
        <w:spacing w:before="560" w:after="40"/>
      </w:pPr>
      <w:r>
        <w:rPr>
          <w:rFonts w:ascii="Calibri" w:hAnsi="Calibri" w:eastAsia="Calibri"/>
          <w:b/>
          <w:color w:val="5D6B73"/>
          <w:sz w:val="17"/>
        </w:rPr>
        <w:t>WORKING NAME</w:t>
      </w:r>
      <w:r>
        <w:rPr>
          <w:rFonts w:ascii="Calibri" w:hAnsi="Calibri" w:eastAsia="Calibri"/>
          <w:b/>
          <w:color w:val="17232B"/>
          <w:sz w:val="20"/>
        </w:rPr>
        <w:t xml:space="preserve">   CELL//AP — Agentic Operations Profile</w:t>
      </w:r>
    </w:p>
    <w:p>
      <w:pPr>
        <w:spacing w:after="40"/>
      </w:pPr>
      <w:r>
        <w:rPr>
          <w:rFonts w:ascii="Calibri" w:hAnsi="Calibri" w:eastAsia="Calibri"/>
          <w:b/>
          <w:color w:val="5D6B73"/>
          <w:sz w:val="17"/>
        </w:rPr>
        <w:t>CORE UNIT</w:t>
      </w:r>
      <w:r>
        <w:rPr>
          <w:rFonts w:ascii="Calibri" w:hAnsi="Calibri" w:eastAsia="Calibri"/>
          <w:b/>
          <w:color w:val="17232B"/>
          <w:sz w:val="20"/>
        </w:rPr>
        <w:t xml:space="preserve">   MAP — Mission, Authority, Provenance</w:t>
      </w:r>
    </w:p>
    <w:p>
      <w:pPr>
        <w:spacing w:after="0"/>
      </w:pPr>
      <w:r>
        <w:rPr>
          <w:rFonts w:ascii="Calibri" w:hAnsi="Calibri" w:eastAsia="Calibri"/>
          <w:b/>
          <w:color w:val="5D6B73"/>
          <w:sz w:val="17"/>
        </w:rPr>
        <w:t>DATE</w:t>
      </w:r>
      <w:r>
        <w:rPr>
          <w:rFonts w:ascii="Calibri" w:hAnsi="Calibri" w:eastAsia="Calibri"/>
          <w:b/>
          <w:color w:val="17232B"/>
          <w:sz w:val="20"/>
        </w:rPr>
        <w:t xml:space="preserve">   4 September 2026</w:t>
      </w:r>
    </w:p>
    <w:p>
      <w:r>
        <w:br w:type="page"/>
      </w:r>
    </w:p>
    <w:p>
      <w:pPr>
        <w:pStyle w:val="Heading1"/>
        <w:spacing w:before="0"/>
      </w:pPr>
      <w:r>
        <w:t>Reader’s map</w:t>
      </w:r>
    </w:p>
    <w:p>
      <w:r>
        <w:rPr>
          <w:rFonts w:ascii="Calibri" w:hAnsi="Calibri" w:eastAsia="Calibri"/>
          <w:i w:val="0"/>
          <w:color w:val="17232B"/>
          <w:sz w:val="22"/>
        </w:rPr>
        <w:t>This brief is written for a protocol go/no-go decision. Read the first four sections for the recommendation; use the remainder as a concept specification and pilot plan.</w:t>
      </w:r>
    </w:p>
    <w:tbl>
      <w:tblPr>
        <w:tblW w:type="dxa" w:w="9360"/>
        <w:jc w:val="left"/>
        <w:tblLayout w:type="fixed"/>
        <w:tblLook w:firstColumn="1" w:firstRow="1" w:lastColumn="0" w:lastRow="0" w:noHBand="0" w:noVBand="1" w:val="04A0"/>
        <w:tblInd w:w="120" w:type="dxa"/>
      </w:tblPr>
      <w:tblGrid>
        <w:gridCol w:w="936"/>
        <w:gridCol w:w="3024"/>
        <w:gridCol w:w="5400"/>
      </w:tblGrid>
      <w:tr>
        <w:trPr>
          <w:cantSplit/>
          <w:tblHeader w:val="true"/>
        </w:trPr>
        <w:tc>
          <w:tcPr>
            <w:tcW w:type="dxa" w:w="936"/>
            <w:tcMar>
              <w:top w:w="80" w:type="dxa"/>
              <w:start w:w="120" w:type="dxa"/>
              <w:bottom w:w="80" w:type="dxa"/>
              <w:end w:w="120" w:type="dxa"/>
            </w:tcMar>
            <w:shd w:fill="17232B"/>
          </w:tcPr>
          <w:p>
            <w:r>
              <w:rPr>
                <w:rFonts w:ascii="Calibri" w:hAnsi="Calibri" w:eastAsia="Calibri"/>
                <w:b/>
                <w:color w:val="FFFFFF"/>
                <w:sz w:val="18"/>
              </w:rPr>
            </w:r>
          </w:p>
        </w:tc>
        <w:tc>
          <w:tcPr>
            <w:tcW w:type="dxa" w:w="3024"/>
            <w:tcMar>
              <w:top w:w="80" w:type="dxa"/>
              <w:start w:w="120" w:type="dxa"/>
              <w:bottom w:w="80" w:type="dxa"/>
              <w:end w:w="120" w:type="dxa"/>
            </w:tcMar>
            <w:shd w:fill="17232B"/>
          </w:tcPr>
          <w:p>
            <w:r>
              <w:rPr>
                <w:rFonts w:ascii="Calibri" w:hAnsi="Calibri" w:eastAsia="Calibri"/>
                <w:b/>
                <w:color w:val="FFFFFF"/>
                <w:sz w:val="18"/>
              </w:rPr>
              <w:t>SECTION</w:t>
            </w:r>
          </w:p>
        </w:tc>
        <w:tc>
          <w:tcPr>
            <w:tcW w:type="dxa" w:w="5400"/>
            <w:tcMar>
              <w:top w:w="80" w:type="dxa"/>
              <w:start w:w="120" w:type="dxa"/>
              <w:bottom w:w="80" w:type="dxa"/>
              <w:end w:w="120" w:type="dxa"/>
            </w:tcMar>
            <w:shd w:fill="17232B"/>
          </w:tcPr>
          <w:p>
            <w:r>
              <w:rPr>
                <w:rFonts w:ascii="Calibri" w:hAnsi="Calibri" w:eastAsia="Calibri"/>
                <w:b/>
                <w:color w:val="FFFFFF"/>
                <w:sz w:val="18"/>
              </w:rPr>
              <w:t>USE</w:t>
            </w:r>
          </w:p>
        </w:tc>
      </w:tr>
      <w:tr>
        <w:trPr>
          <w:cantSplit/>
        </w:trPr>
        <w:tc>
          <w:tcPr>
            <w:tcW w:type="dxa" w:w="936"/>
            <w:shd w:fill="FFFFFF"/>
          </w:tcPr>
          <w:p>
            <w:r>
              <w:rPr>
                <w:rFonts w:ascii="Calibri" w:hAnsi="Calibri" w:eastAsia="Calibri"/>
                <w:b/>
                <w:color w:val="007783"/>
                <w:sz w:val="24"/>
              </w:rPr>
              <w:t>01</w:t>
            </w:r>
          </w:p>
        </w:tc>
        <w:tc>
          <w:tcPr>
            <w:tcW w:type="dxa" w:w="3024"/>
            <w:shd w:fill="FFFFFF"/>
          </w:tcPr>
          <w:p>
            <w:r>
              <w:rPr>
                <w:rFonts w:ascii="Calibri" w:hAnsi="Calibri" w:eastAsia="Calibri"/>
                <w:b/>
                <w:color w:val="17232B"/>
                <w:sz w:val="21"/>
              </w:rPr>
              <w:t>Executive answer</w:t>
            </w:r>
          </w:p>
        </w:tc>
        <w:tc>
          <w:tcPr>
            <w:tcW w:type="dxa" w:w="5400"/>
            <w:shd w:fill="FFFFFF"/>
          </w:tcPr>
          <w:p>
            <w:r>
              <w:rPr>
                <w:rFonts w:ascii="Calibri" w:hAnsi="Calibri" w:eastAsia="Calibri"/>
                <w:color w:val="5D6B73"/>
                <w:sz w:val="20"/>
              </w:rPr>
              <w:t>Decision, scope, and 90-day conditions</w:t>
            </w:r>
          </w:p>
        </w:tc>
      </w:tr>
      <w:tr>
        <w:trPr>
          <w:cantSplit/>
        </w:trPr>
        <w:tc>
          <w:tcPr>
            <w:tcW w:type="dxa" w:w="936"/>
            <w:shd w:fill="FFFFFF"/>
          </w:tcPr>
          <w:p>
            <w:r>
              <w:rPr>
                <w:rFonts w:ascii="Calibri" w:hAnsi="Calibri" w:eastAsia="Calibri"/>
                <w:b/>
                <w:color w:val="007783"/>
                <w:sz w:val="24"/>
              </w:rPr>
              <w:t>02</w:t>
            </w:r>
          </w:p>
        </w:tc>
        <w:tc>
          <w:tcPr>
            <w:tcW w:type="dxa" w:w="3024"/>
            <w:shd w:fill="FFFFFF"/>
          </w:tcPr>
          <w:p>
            <w:r>
              <w:rPr>
                <w:rFonts w:ascii="Calibri" w:hAnsi="Calibri" w:eastAsia="Calibri"/>
                <w:b/>
                <w:color w:val="17232B"/>
                <w:sz w:val="21"/>
              </w:rPr>
              <w:t>Standards landscape</w:t>
            </w:r>
          </w:p>
        </w:tc>
        <w:tc>
          <w:tcPr>
            <w:tcW w:type="dxa" w:w="5400"/>
            <w:shd w:fill="FFFFFF"/>
          </w:tcPr>
          <w:p>
            <w:r>
              <w:rPr>
                <w:rFonts w:ascii="Calibri" w:hAnsi="Calibri" w:eastAsia="Calibri"/>
                <w:color w:val="5D6B73"/>
                <w:sz w:val="20"/>
              </w:rPr>
              <w:t>MCP, A2A, identity, events, evidence, runtime control</w:t>
            </w:r>
          </w:p>
        </w:tc>
      </w:tr>
      <w:tr>
        <w:trPr>
          <w:cantSplit/>
        </w:trPr>
        <w:tc>
          <w:tcPr>
            <w:tcW w:type="dxa" w:w="936"/>
            <w:shd w:fill="FFFFFF"/>
          </w:tcPr>
          <w:p>
            <w:r>
              <w:rPr>
                <w:rFonts w:ascii="Calibri" w:hAnsi="Calibri" w:eastAsia="Calibri"/>
                <w:b/>
                <w:color w:val="007783"/>
                <w:sz w:val="24"/>
              </w:rPr>
              <w:t>03</w:t>
            </w:r>
          </w:p>
        </w:tc>
        <w:tc>
          <w:tcPr>
            <w:tcW w:type="dxa" w:w="3024"/>
            <w:shd w:fill="FFFFFF"/>
          </w:tcPr>
          <w:p>
            <w:r>
              <w:rPr>
                <w:rFonts w:ascii="Calibri" w:hAnsi="Calibri" w:eastAsia="Calibri"/>
                <w:b/>
                <w:color w:val="17232B"/>
                <w:sz w:val="21"/>
              </w:rPr>
              <w:t>Proposed CELL//AP</w:t>
            </w:r>
          </w:p>
        </w:tc>
        <w:tc>
          <w:tcPr>
            <w:tcW w:type="dxa" w:w="5400"/>
            <w:shd w:fill="FFFFFF"/>
          </w:tcPr>
          <w:p>
            <w:r>
              <w:rPr>
                <w:rFonts w:ascii="Calibri" w:hAnsi="Calibri" w:eastAsia="Calibri"/>
                <w:color w:val="5D6B73"/>
                <w:sz w:val="20"/>
              </w:rPr>
              <w:t>MAP envelope, lifecycle, authority, receipts, conformance</w:t>
            </w:r>
          </w:p>
        </w:tc>
      </w:tr>
      <w:tr>
        <w:trPr>
          <w:cantSplit/>
        </w:trPr>
        <w:tc>
          <w:tcPr>
            <w:tcW w:type="dxa" w:w="936"/>
            <w:shd w:fill="FFFFFF"/>
          </w:tcPr>
          <w:p>
            <w:r>
              <w:rPr>
                <w:rFonts w:ascii="Calibri" w:hAnsi="Calibri" w:eastAsia="Calibri"/>
                <w:b/>
                <w:color w:val="007783"/>
                <w:sz w:val="24"/>
              </w:rPr>
              <w:t>04</w:t>
            </w:r>
          </w:p>
        </w:tc>
        <w:tc>
          <w:tcPr>
            <w:tcW w:type="dxa" w:w="3024"/>
            <w:shd w:fill="FFFFFF"/>
          </w:tcPr>
          <w:p>
            <w:r>
              <w:rPr>
                <w:rFonts w:ascii="Calibri" w:hAnsi="Calibri" w:eastAsia="Calibri"/>
                <w:b/>
                <w:color w:val="17232B"/>
                <w:sz w:val="21"/>
              </w:rPr>
              <w:t>Pros and cons</w:t>
            </w:r>
          </w:p>
        </w:tc>
        <w:tc>
          <w:tcPr>
            <w:tcW w:type="dxa" w:w="5400"/>
            <w:shd w:fill="FFFFFF"/>
          </w:tcPr>
          <w:p>
            <w:r>
              <w:rPr>
                <w:rFonts w:ascii="Calibri" w:hAnsi="Calibri" w:eastAsia="Calibri"/>
                <w:color w:val="5D6B73"/>
                <w:sz w:val="20"/>
              </w:rPr>
              <w:t>Benefits, costs, risks, and mitigations</w:t>
            </w:r>
          </w:p>
        </w:tc>
      </w:tr>
      <w:tr>
        <w:trPr>
          <w:cantSplit/>
        </w:trPr>
        <w:tc>
          <w:tcPr>
            <w:tcW w:type="dxa" w:w="936"/>
            <w:shd w:fill="FFFFFF"/>
          </w:tcPr>
          <w:p>
            <w:r>
              <w:rPr>
                <w:rFonts w:ascii="Calibri" w:hAnsi="Calibri" w:eastAsia="Calibri"/>
                <w:b/>
                <w:color w:val="007783"/>
                <w:sz w:val="24"/>
              </w:rPr>
              <w:t>05</w:t>
            </w:r>
          </w:p>
        </w:tc>
        <w:tc>
          <w:tcPr>
            <w:tcW w:type="dxa" w:w="3024"/>
            <w:shd w:fill="FFFFFF"/>
          </w:tcPr>
          <w:p>
            <w:r>
              <w:rPr>
                <w:rFonts w:ascii="Calibri" w:hAnsi="Calibri" w:eastAsia="Calibri"/>
                <w:b/>
                <w:color w:val="17232B"/>
                <w:sz w:val="21"/>
              </w:rPr>
              <w:t>Ten examples</w:t>
            </w:r>
          </w:p>
        </w:tc>
        <w:tc>
          <w:tcPr>
            <w:tcW w:type="dxa" w:w="5400"/>
            <w:shd w:fill="FFFFFF"/>
          </w:tcPr>
          <w:p>
            <w:r>
              <w:rPr>
                <w:rFonts w:ascii="Calibri" w:hAnsi="Calibri" w:eastAsia="Calibri"/>
                <w:color w:val="5D6B73"/>
                <w:sz w:val="20"/>
              </w:rPr>
              <w:t>Cross-domain applications that stress the profile</w:t>
            </w:r>
          </w:p>
        </w:tc>
      </w:tr>
      <w:tr>
        <w:trPr>
          <w:cantSplit/>
        </w:trPr>
        <w:tc>
          <w:tcPr>
            <w:tcW w:type="dxa" w:w="936"/>
            <w:shd w:fill="FFFFFF"/>
          </w:tcPr>
          <w:p>
            <w:r>
              <w:rPr>
                <w:rFonts w:ascii="Calibri" w:hAnsi="Calibri" w:eastAsia="Calibri"/>
                <w:b/>
                <w:color w:val="007783"/>
                <w:sz w:val="24"/>
              </w:rPr>
              <w:t>06</w:t>
            </w:r>
          </w:p>
        </w:tc>
        <w:tc>
          <w:tcPr>
            <w:tcW w:type="dxa" w:w="3024"/>
            <w:shd w:fill="FFFFFF"/>
          </w:tcPr>
          <w:p>
            <w:r>
              <w:rPr>
                <w:rFonts w:ascii="Calibri" w:hAnsi="Calibri" w:eastAsia="Calibri"/>
                <w:b/>
                <w:color w:val="17232B"/>
                <w:sz w:val="21"/>
              </w:rPr>
              <w:t>Execution plan</w:t>
            </w:r>
          </w:p>
        </w:tc>
        <w:tc>
          <w:tcPr>
            <w:tcW w:type="dxa" w:w="5400"/>
            <w:shd w:fill="FFFFFF"/>
          </w:tcPr>
          <w:p>
            <w:r>
              <w:rPr>
                <w:rFonts w:ascii="Calibri" w:hAnsi="Calibri" w:eastAsia="Calibri"/>
                <w:color w:val="5D6B73"/>
                <w:sz w:val="20"/>
              </w:rPr>
              <w:t>Reference architecture, governance, 90-day proof, kill criteria</w:t>
            </w:r>
          </w:p>
        </w:tc>
      </w:tr>
    </w:tbl>
    <w:p>
      <w:r>
        <w:br w:type="page"/>
      </w:r>
    </w:p>
    <w:p>
      <w:pPr>
        <w:pStyle w:val="Heading1"/>
        <w:keepNext/>
        <w:keepLines/>
      </w:pPr>
      <w:r>
        <w:t>Executive answer</w:t>
      </w:r>
    </w:p>
    <w:p>
      <w:r>
        <w:rPr>
          <w:rFonts w:ascii="Calibri" w:hAnsi="Calibri" w:eastAsia="Calibri"/>
          <w:b/>
          <w:i w:val="0"/>
          <w:color w:val="17232B"/>
          <w:sz w:val="22"/>
        </w:rPr>
        <w:t>Yes—we can define a standardized agentic protocol, but the useful standard is not a new universal wire protocol.</w:t>
      </w:r>
      <w:r>
        <w:rPr>
          <w:rFonts w:ascii="Calibri" w:hAnsi="Calibri" w:eastAsia="Calibri"/>
          <w:i w:val="0"/>
          <w:color w:val="17232B"/>
          <w:sz w:val="22"/>
        </w:rPr>
        <w:t xml:space="preserve"> MCP already covers model-to-tool and model-to-context integration; A2A v1.0 already covers discovery and task-oriented communication between independent agents. Identity, authorization, event envelopes, observability, provenance, and runtime enforcement also have credible standards or emerging specifications. The real gap is a compact, interoperable contract for </w:t>
      </w:r>
      <w:r>
        <w:rPr>
          <w:rFonts w:ascii="Calibri" w:hAnsi="Calibri" w:eastAsia="Calibri"/>
          <w:b/>
          <w:i w:val="0"/>
          <w:color w:val="17232B"/>
          <w:sz w:val="22"/>
        </w:rPr>
        <w:t>what an agent is trying to accomplish, what it is allowed to do, and what evidence must survive afterward</w:t>
      </w:r>
      <w:r>
        <w:rPr>
          <w:rFonts w:ascii="Calibri" w:hAnsi="Calibri" w:eastAsia="Calibri"/>
          <w:i w:val="0"/>
          <w:color w:val="17232B"/>
          <w:sz w:val="22"/>
        </w:rPr>
        <w:t>.</w:t>
      </w:r>
    </w:p>
    <w:p>
      <w:r>
        <w:rPr>
          <w:rFonts w:ascii="Calibri" w:hAnsi="Calibri" w:eastAsia="Calibri"/>
          <w:i w:val="0"/>
          <w:color w:val="17232B"/>
          <w:sz w:val="22"/>
        </w:rPr>
        <w:t xml:space="preserve">The recommendation is to develop </w:t>
      </w:r>
      <w:r>
        <w:rPr>
          <w:rFonts w:ascii="Calibri" w:hAnsi="Calibri" w:eastAsia="Calibri"/>
          <w:b/>
          <w:i w:val="0"/>
          <w:color w:val="17232B"/>
          <w:sz w:val="22"/>
        </w:rPr>
        <w:t>CELL//AP as a composable Agentic Operations Profile</w:t>
      </w:r>
      <w:r>
        <w:rPr>
          <w:rFonts w:ascii="Calibri" w:hAnsi="Calibri" w:eastAsia="Calibri"/>
          <w:i w:val="0"/>
          <w:color w:val="17232B"/>
          <w:sz w:val="22"/>
        </w:rPr>
        <w:t xml:space="preserve"> layered over existing standards. Its minimal new contribution should be a </w:t>
      </w:r>
      <w:r>
        <w:rPr>
          <w:rFonts w:ascii="Calibri" w:hAnsi="Calibri" w:eastAsia="Calibri"/>
          <w:b/>
          <w:i w:val="0"/>
          <w:color w:val="17232B"/>
          <w:sz w:val="22"/>
        </w:rPr>
        <w:t>MAP envelope</w:t>
      </w:r>
      <w:r>
        <w:rPr>
          <w:rFonts w:ascii="Calibri" w:hAnsi="Calibri" w:eastAsia="Calibri"/>
          <w:i w:val="0"/>
          <w:color w:val="17232B"/>
          <w:sz w:val="22"/>
        </w:rPr>
        <w:t>:</w:t>
      </w:r>
    </w:p>
    <w:p>
      <w:pPr>
        <w:keepLines/>
        <w:numPr>
          <w:ilvl w:val="0"/>
          <w:numId w:val="10"/>
        </w:numPr>
        <w:spacing w:after="160" w:line="280" w:lineRule="auto"/>
        <w:ind w:left="720" w:hanging="360"/>
      </w:pPr>
      <w:r>
        <w:rPr>
          <w:rFonts w:ascii="Calibri" w:hAnsi="Calibri" w:eastAsia="Calibri"/>
          <w:b/>
          <w:i w:val="0"/>
          <w:color w:val="17232B"/>
          <w:sz w:val="22"/>
        </w:rPr>
        <w:t>Mission:</w:t>
      </w:r>
      <w:r>
        <w:rPr>
          <w:rFonts w:ascii="Calibri" w:hAnsi="Calibri" w:eastAsia="Calibri"/>
          <w:i w:val="0"/>
          <w:color w:val="17232B"/>
          <w:sz w:val="22"/>
        </w:rPr>
        <w:t xml:space="preserve"> goal, success conditions, constraints, risk class, work graph, budget, deadline, and evidence requirements.</w:t>
      </w:r>
    </w:p>
    <w:p>
      <w:pPr>
        <w:keepLines/>
        <w:numPr>
          <w:ilvl w:val="0"/>
          <w:numId w:val="10"/>
        </w:numPr>
        <w:spacing w:after="160" w:line="280" w:lineRule="auto"/>
        <w:ind w:left="720" w:hanging="360"/>
      </w:pPr>
      <w:r>
        <w:rPr>
          <w:rFonts w:ascii="Calibri" w:hAnsi="Calibri" w:eastAsia="Calibri"/>
          <w:b/>
          <w:i w:val="0"/>
          <w:color w:val="17232B"/>
          <w:sz w:val="22"/>
        </w:rPr>
        <w:t>Authority:</w:t>
      </w:r>
      <w:r>
        <w:rPr>
          <w:rFonts w:ascii="Calibri" w:hAnsi="Calibri" w:eastAsia="Calibri"/>
          <w:i w:val="0"/>
          <w:color w:val="17232B"/>
          <w:sz w:val="22"/>
        </w:rPr>
        <w:t xml:space="preserve"> the originating principal, permitted and prohibited actions, resource/data scope, approval checkpoints, delegation depth, expiration, and revocation.</w:t>
      </w:r>
    </w:p>
    <w:p>
      <w:pPr>
        <w:keepLines/>
        <w:numPr>
          <w:ilvl w:val="0"/>
          <w:numId w:val="10"/>
        </w:numPr>
        <w:spacing w:after="160" w:line="280" w:lineRule="auto"/>
        <w:ind w:left="720" w:hanging="360"/>
      </w:pPr>
      <w:r>
        <w:rPr>
          <w:rFonts w:ascii="Calibri" w:hAnsi="Calibri" w:eastAsia="Calibri"/>
          <w:b/>
          <w:i w:val="0"/>
          <w:color w:val="17232B"/>
          <w:sz w:val="22"/>
        </w:rPr>
        <w:t>Provenance:</w:t>
      </w:r>
      <w:r>
        <w:rPr>
          <w:rFonts w:ascii="Calibri" w:hAnsi="Calibri" w:eastAsia="Calibri"/>
          <w:i w:val="0"/>
          <w:color w:val="17232B"/>
          <w:sz w:val="22"/>
        </w:rPr>
        <w:t xml:space="preserve"> trace lineage, input and output digests, claims, evidence, decisions, approvals, evaluations, and signed receipts.</w:t>
      </w:r>
    </w:p>
    <w:p>
      <w:r>
        <w:rPr>
          <w:rFonts w:ascii="Calibri" w:hAnsi="Calibri" w:eastAsia="Calibri"/>
          <w:i w:val="0"/>
          <w:color w:val="17232B"/>
          <w:sz w:val="22"/>
        </w:rPr>
        <w:t xml:space="preserve">Everything else should be adapted rather than reinvented: </w:t>
      </w:r>
      <w:r>
        <w:rPr>
          <w:rFonts w:ascii="Calibri" w:hAnsi="Calibri" w:eastAsia="Calibri"/>
          <w:b/>
          <w:i w:val="0"/>
          <w:color w:val="17232B"/>
          <w:sz w:val="22"/>
        </w:rPr>
        <w:t>A2A</w:t>
      </w:r>
      <w:r>
        <w:rPr>
          <w:rFonts w:ascii="Calibri" w:hAnsi="Calibri" w:eastAsia="Calibri"/>
          <w:i w:val="0"/>
          <w:color w:val="17232B"/>
          <w:sz w:val="22"/>
        </w:rPr>
        <w:t xml:space="preserve"> for remote agent tasks; </w:t>
      </w:r>
      <w:r>
        <w:rPr>
          <w:rFonts w:ascii="Calibri" w:hAnsi="Calibri" w:eastAsia="Calibri"/>
          <w:b/>
          <w:i w:val="0"/>
          <w:color w:val="17232B"/>
          <w:sz w:val="22"/>
        </w:rPr>
        <w:t>MCP</w:t>
      </w:r>
      <w:r>
        <w:rPr>
          <w:rFonts w:ascii="Calibri" w:hAnsi="Calibri" w:eastAsia="Calibri"/>
          <w:i w:val="0"/>
          <w:color w:val="17232B"/>
          <w:sz w:val="22"/>
        </w:rPr>
        <w:t xml:space="preserve"> for tools and resources; </w:t>
      </w:r>
      <w:r>
        <w:rPr>
          <w:rFonts w:ascii="Calibri" w:hAnsi="Calibri" w:eastAsia="Calibri"/>
          <w:b/>
          <w:i w:val="0"/>
          <w:color w:val="17232B"/>
          <w:sz w:val="22"/>
        </w:rPr>
        <w:t>AsyncAPI/CloudEvents</w:t>
      </w:r>
      <w:r>
        <w:rPr>
          <w:rFonts w:ascii="Calibri" w:hAnsi="Calibri" w:eastAsia="Calibri"/>
          <w:i w:val="0"/>
          <w:color w:val="17232B"/>
          <w:sz w:val="22"/>
        </w:rPr>
        <w:t xml:space="preserve"> for CellBus events; </w:t>
      </w:r>
      <w:r>
        <w:rPr>
          <w:rFonts w:ascii="Calibri" w:hAnsi="Calibri" w:eastAsia="Calibri"/>
          <w:b/>
          <w:i w:val="0"/>
          <w:color w:val="17232B"/>
          <w:sz w:val="22"/>
        </w:rPr>
        <w:t>OAuth, Rich Authorization Requests, SPIFFE, and optionally W3C Verifiable Credentials</w:t>
      </w:r>
      <w:r>
        <w:rPr>
          <w:rFonts w:ascii="Calibri" w:hAnsi="Calibri" w:eastAsia="Calibri"/>
          <w:i w:val="0"/>
          <w:color w:val="17232B"/>
          <w:sz w:val="22"/>
        </w:rPr>
        <w:t xml:space="preserve"> for identity and authority; </w:t>
      </w:r>
      <w:r>
        <w:rPr>
          <w:rFonts w:ascii="Calibri" w:hAnsi="Calibri" w:eastAsia="Calibri"/>
          <w:b/>
          <w:i w:val="0"/>
          <w:color w:val="17232B"/>
          <w:sz w:val="22"/>
        </w:rPr>
        <w:t>OpenTelemetry, W3C Trace Context, W3C PROV, and in-toto</w:t>
      </w:r>
      <w:r>
        <w:rPr>
          <w:rFonts w:ascii="Calibri" w:hAnsi="Calibri" w:eastAsia="Calibri"/>
          <w:i w:val="0"/>
          <w:color w:val="17232B"/>
          <w:sz w:val="22"/>
        </w:rPr>
        <w:t xml:space="preserve"> for telemetry and attestations; and </w:t>
      </w:r>
      <w:r>
        <w:rPr>
          <w:rFonts w:ascii="Calibri" w:hAnsi="Calibri" w:eastAsia="Calibri"/>
          <w:b/>
          <w:i w:val="0"/>
          <w:color w:val="17232B"/>
          <w:sz w:val="22"/>
        </w:rPr>
        <w:t>Agent Control Standard-compatible hooks</w:t>
      </w:r>
      <w:r>
        <w:rPr>
          <w:rFonts w:ascii="Calibri" w:hAnsi="Calibri" w:eastAsia="Calibri"/>
          <w:i w:val="0"/>
          <w:color w:val="17232B"/>
          <w:sz w:val="22"/>
        </w:rPr>
        <w:t xml:space="preserve"> for local enforcement.[1–24]</w:t>
      </w:r>
    </w:p>
    <w:p>
      <w:r>
        <w:rPr>
          <w:rFonts w:ascii="Calibri" w:hAnsi="Calibri" w:eastAsia="Calibri"/>
          <w:i w:val="0"/>
          <w:color w:val="17232B"/>
          <w:sz w:val="22"/>
        </w:rPr>
        <w:t>The strategic principle is simple:</w:t>
      </w:r>
    </w:p>
    <w:tbl>
      <w:tblPr>
        <w:tblW w:type="dxa" w:w="9360"/>
        <w:jc w:val="left"/>
        <w:tblLayout w:type="fixed"/>
        <w:tblLook w:firstColumn="1" w:firstRow="1" w:lastColumn="0" w:lastRow="0" w:noHBand="0" w:noVBand="1" w:val="04A0"/>
        <w:tblInd w:w="120" w:type="dxa"/>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blGrid>
        <w:gridCol w:w="9360"/>
      </w:tblGrid>
      <w:tr>
        <w:tc>
          <w:tcPr>
            <w:tcW w:type="dxa" w:w="9360"/>
            <w:tcMar>
              <w:top w:w="160" w:type="dxa"/>
              <w:start w:w="220" w:type="dxa"/>
              <w:bottom w:w="160" w:type="dxa"/>
              <w:end w:w="220" w:type="dxa"/>
            </w:tcMar>
            <w:shd w:fill="17232B"/>
          </w:tcPr>
          <w:p>
            <w:pPr>
              <w:spacing w:after="0"/>
              <w:jc w:val="center"/>
            </w:pPr>
            <w:r>
              <w:rPr>
                <w:rFonts w:ascii="Calibri" w:hAnsi="Calibri" w:eastAsia="Calibri"/>
                <w:b/>
                <w:i w:val="0"/>
                <w:color w:val="FFFFFF"/>
                <w:sz w:val="28"/>
              </w:rPr>
              <w:t>Standardize the boundary contract, not the intelligence inside the boundary.</w:t>
            </w:r>
          </w:p>
        </w:tc>
      </w:tr>
    </w:tbl>
    <w:p>
      <w:pPr>
        <w:spacing w:after="40"/>
      </w:pPr>
    </w:p>
    <w:p>
      <w:r>
        <w:rPr>
          <w:rFonts w:ascii="Calibri" w:hAnsi="Calibri" w:eastAsia="Calibri"/>
          <w:i w:val="0"/>
          <w:color w:val="17232B"/>
          <w:sz w:val="22"/>
        </w:rPr>
        <w:t>Do not standardize prompts, chain-of-thought, model choice, internal memory layout, planning algorithms, or a single local policy language. Those are implementation details, sensitive data, or rapidly changing competitive surfaces. Standardize observable commitments and verifiable outcomes.</w:t>
      </w:r>
    </w:p>
    <w:p>
      <w:pPr>
        <w:pStyle w:val="Heading2"/>
        <w:keepNext/>
        <w:keepLines/>
      </w:pPr>
      <w:r>
        <w:t>Decision</w:t>
      </w:r>
    </w:p>
    <w:p>
      <w:r>
        <w:rPr>
          <w:rFonts w:ascii="Calibri" w:hAnsi="Calibri" w:eastAsia="Calibri"/>
          <w:i w:val="0"/>
          <w:color w:val="17232B"/>
          <w:sz w:val="22"/>
        </w:rPr>
        <w:t xml:space="preserve">Proceed with a 90-day internal </w:t>
      </w:r>
      <w:r>
        <w:rPr>
          <w:rFonts w:ascii="Calibri" w:hAnsi="Calibri" w:eastAsia="Calibri"/>
          <w:b/>
          <w:i w:val="0"/>
          <w:color w:val="17232B"/>
          <w:sz w:val="22"/>
        </w:rPr>
        <w:t>v0.1 proof</w:t>
      </w:r>
      <w:r>
        <w:rPr>
          <w:rFonts w:ascii="Calibri" w:hAnsi="Calibri" w:eastAsia="Calibri"/>
          <w:i w:val="0"/>
          <w:color w:val="17232B"/>
          <w:sz w:val="22"/>
        </w:rPr>
        <w:t>, provided that it:</w:t>
      </w:r>
    </w:p>
    <w:p>
      <w:pPr>
        <w:keepLines/>
        <w:numPr>
          <w:ilvl w:val="0"/>
          <w:numId w:val="12"/>
        </w:numPr>
        <w:spacing w:after="160" w:line="280" w:lineRule="auto"/>
        <w:ind w:left="720" w:hanging="360"/>
      </w:pPr>
      <w:r>
        <w:rPr>
          <w:rFonts w:ascii="Calibri" w:hAnsi="Calibri" w:eastAsia="Calibri"/>
          <w:i w:val="0"/>
          <w:color w:val="17232B"/>
          <w:sz w:val="22"/>
        </w:rPr>
        <w:t>uses no new mandatory transport;</w:t>
      </w:r>
    </w:p>
    <w:p>
      <w:pPr>
        <w:keepLines/>
        <w:numPr>
          <w:ilvl w:val="0"/>
          <w:numId w:val="12"/>
        </w:numPr>
        <w:spacing w:after="160" w:line="280" w:lineRule="auto"/>
        <w:ind w:left="720" w:hanging="360"/>
      </w:pPr>
      <w:r>
        <w:rPr>
          <w:rFonts w:ascii="Calibri" w:hAnsi="Calibri" w:eastAsia="Calibri"/>
          <w:i w:val="0"/>
          <w:color w:val="17232B"/>
          <w:sz w:val="22"/>
        </w:rPr>
        <w:t>ships as A2A/MCP/CellBus adapters plus schemas and conformance tests;</w:t>
      </w:r>
    </w:p>
    <w:p>
      <w:pPr>
        <w:keepLines/>
        <w:numPr>
          <w:ilvl w:val="0"/>
          <w:numId w:val="12"/>
        </w:numPr>
        <w:spacing w:after="160" w:line="280" w:lineRule="auto"/>
        <w:ind w:left="720" w:hanging="360"/>
      </w:pPr>
      <w:r>
        <w:rPr>
          <w:rFonts w:ascii="Calibri" w:hAnsi="Calibri" w:eastAsia="Calibri"/>
          <w:i w:val="0"/>
          <w:color w:val="17232B"/>
          <w:sz w:val="22"/>
        </w:rPr>
        <w:t>proves authority attenuation across every delegation hop;</w:t>
      </w:r>
    </w:p>
    <w:p>
      <w:pPr>
        <w:keepLines/>
        <w:numPr>
          <w:ilvl w:val="0"/>
          <w:numId w:val="12"/>
        </w:numPr>
        <w:spacing w:after="160" w:line="280" w:lineRule="auto"/>
        <w:ind w:left="720" w:hanging="360"/>
      </w:pPr>
      <w:r>
        <w:rPr>
          <w:rFonts w:ascii="Calibri" w:hAnsi="Calibri" w:eastAsia="Calibri"/>
          <w:i w:val="0"/>
          <w:color w:val="17232B"/>
          <w:sz w:val="22"/>
        </w:rPr>
        <w:t>reconstructs at least 95% of pilot task histories from receipts without exposing private reasoning;</w:t>
      </w:r>
    </w:p>
    <w:p>
      <w:pPr>
        <w:keepLines/>
        <w:numPr>
          <w:ilvl w:val="0"/>
          <w:numId w:val="12"/>
        </w:numPr>
        <w:spacing w:after="160" w:line="280" w:lineRule="auto"/>
        <w:ind w:left="720" w:hanging="360"/>
      </w:pPr>
      <w:r>
        <w:rPr>
          <w:rFonts w:ascii="Calibri" w:hAnsi="Calibri" w:eastAsia="Calibri"/>
          <w:i w:val="0"/>
          <w:color w:val="17232B"/>
          <w:sz w:val="22"/>
        </w:rPr>
        <w:t>keeps p95 protocol overhead below 10% in the pilot; and</w:t>
      </w:r>
    </w:p>
    <w:p>
      <w:pPr>
        <w:keepLines/>
        <w:numPr>
          <w:ilvl w:val="0"/>
          <w:numId w:val="12"/>
        </w:numPr>
        <w:spacing w:after="160" w:line="280" w:lineRule="auto"/>
        <w:ind w:left="720" w:hanging="360"/>
      </w:pPr>
      <w:r>
        <w:rPr>
          <w:rFonts w:ascii="Calibri" w:hAnsi="Calibri" w:eastAsia="Calibri"/>
          <w:i w:val="0"/>
          <w:color w:val="17232B"/>
          <w:sz w:val="22"/>
        </w:rPr>
        <w:t>remains easy to remove if the ecosystem standardizes the same layer first.</w:t>
      </w:r>
    </w:p>
    <w:p>
      <w:r>
        <w:rPr>
          <w:rFonts w:ascii="Calibri" w:hAnsi="Calibri" w:eastAsia="Calibri"/>
          <w:i w:val="0"/>
          <w:color w:val="17232B"/>
          <w:sz w:val="22"/>
        </w:rPr>
        <w:t xml:space="preserve">Do </w:t>
      </w:r>
      <w:r>
        <w:rPr>
          <w:rFonts w:ascii="Calibri" w:hAnsi="Calibri" w:eastAsia="Calibri"/>
          <w:b/>
          <w:i w:val="0"/>
          <w:color w:val="17232B"/>
          <w:sz w:val="22"/>
        </w:rPr>
        <w:t>not</w:t>
      </w:r>
      <w:r>
        <w:rPr>
          <w:rFonts w:ascii="Calibri" w:hAnsi="Calibri" w:eastAsia="Calibri"/>
          <w:i w:val="0"/>
          <w:color w:val="17232B"/>
          <w:sz w:val="22"/>
        </w:rPr>
        <w:t xml:space="preserve"> present v0.1 as an industry standard. Present it as an open profile and implementation experiment. Seek standards-body alignment only after measured interoperability and safety results.</w:t>
      </w:r>
    </w:p>
    <w:p>
      <w:pPr>
        <w:pStyle w:val="Heading1"/>
        <w:keepNext/>
        <w:keepLines/>
      </w:pPr>
      <w:r>
        <w:t>What “agentic protocol” should mean</w:t>
      </w:r>
    </w:p>
    <w:p>
      <w:r>
        <w:rPr>
          <w:rFonts w:ascii="Calibri" w:hAnsi="Calibri" w:eastAsia="Calibri"/>
          <w:i w:val="0"/>
          <w:color w:val="17232B"/>
          <w:sz w:val="22"/>
        </w:rPr>
        <w:t xml:space="preserve">The word </w:t>
      </w:r>
      <w:r>
        <w:rPr>
          <w:rFonts w:ascii="Calibri" w:hAnsi="Calibri" w:eastAsia="Calibri"/>
          <w:i/>
          <w:color w:val="17232B"/>
          <w:sz w:val="22"/>
        </w:rPr>
        <w:t>protocol</w:t>
      </w:r>
      <w:r>
        <w:rPr>
          <w:rFonts w:ascii="Calibri" w:hAnsi="Calibri" w:eastAsia="Calibri"/>
          <w:i w:val="0"/>
          <w:color w:val="17232B"/>
          <w:sz w:val="22"/>
        </w:rPr>
        <w:t xml:space="preserve"> is being used for several distinct things. Collapsing them creates an unimplementable specification. CELL OS should separate six planes: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232"/>
        <w:gridCol w:w="3672"/>
        <w:gridCol w:w="3456"/>
      </w:tblGrid>
      <w:tr>
        <w:trPr>
          <w:tblHeader w:val="true"/>
          <w:cantSplit/>
        </w:trPr>
        <w:tc>
          <w:tcPr>
            <w:tcW w:type="dxa" w:w="2232"/>
            <w:tcMar>
              <w:top w:w="80" w:type="dxa"/>
              <w:start w:w="120" w:type="dxa"/>
              <w:bottom w:w="80" w:type="dxa"/>
              <w:end w:w="120" w:type="dxa"/>
            </w:tcMar>
            <w:shd w:fill="17232B"/>
          </w:tcPr>
          <w:p>
            <w:pPr>
              <w:spacing w:after="0"/>
            </w:pPr>
            <w:r>
              <w:rPr>
                <w:rFonts w:ascii="Calibri" w:hAnsi="Calibri" w:eastAsia="Calibri"/>
                <w:i w:val="0"/>
                <w:color w:val="FFFFFF"/>
                <w:sz w:val="18"/>
              </w:rPr>
              <w:t>Plane</w:t>
            </w:r>
          </w:p>
        </w:tc>
        <w:tc>
          <w:tcPr>
            <w:tcW w:type="dxa" w:w="3672"/>
            <w:tcMar>
              <w:top w:w="80" w:type="dxa"/>
              <w:start w:w="120" w:type="dxa"/>
              <w:bottom w:w="80" w:type="dxa"/>
              <w:end w:w="120" w:type="dxa"/>
            </w:tcMar>
            <w:shd w:fill="17232B"/>
          </w:tcPr>
          <w:p>
            <w:pPr>
              <w:spacing w:after="0"/>
            </w:pPr>
            <w:r>
              <w:rPr>
                <w:rFonts w:ascii="Calibri" w:hAnsi="Calibri" w:eastAsia="Calibri"/>
                <w:i w:val="0"/>
                <w:color w:val="FFFFFF"/>
                <w:sz w:val="18"/>
              </w:rPr>
              <w:t>Question answered</w:t>
            </w:r>
          </w:p>
        </w:tc>
        <w:tc>
          <w:tcPr>
            <w:tcW w:type="dxa" w:w="3456"/>
            <w:tcMar>
              <w:top w:w="80" w:type="dxa"/>
              <w:start w:w="120" w:type="dxa"/>
              <w:bottom w:w="80" w:type="dxa"/>
              <w:end w:w="120" w:type="dxa"/>
            </w:tcMar>
            <w:shd w:fill="17232B"/>
          </w:tcPr>
          <w:p>
            <w:pPr>
              <w:spacing w:after="0"/>
            </w:pPr>
            <w:r>
              <w:rPr>
                <w:rFonts w:ascii="Calibri" w:hAnsi="Calibri" w:eastAsia="Calibri"/>
                <w:i w:val="0"/>
                <w:color w:val="FFFFFF"/>
                <w:sz w:val="18"/>
              </w:rPr>
              <w:t>Recommended basis</w:t>
            </w:r>
          </w:p>
        </w:tc>
      </w:tr>
      <w:tr>
        <w:trPr>
          <w:cantSplit/>
        </w:trPr>
        <w:tc>
          <w:tcPr>
            <w:tcW w:type="dxa" w:w="2232"/>
            <w:shd w:fill="FFFFFF"/>
            <w:vAlign w:val="top"/>
          </w:tcPr>
          <w:p>
            <w:pPr>
              <w:spacing w:after="0"/>
            </w:pPr>
            <w:r>
              <w:rPr>
                <w:rFonts w:ascii="Calibri" w:hAnsi="Calibri" w:eastAsia="Calibri"/>
                <w:i w:val="0"/>
                <w:color w:val="17232B"/>
                <w:sz w:val="17"/>
              </w:rPr>
              <w:t>Discovery</w:t>
            </w:r>
          </w:p>
        </w:tc>
        <w:tc>
          <w:tcPr>
            <w:tcW w:type="dxa" w:w="3672"/>
            <w:shd w:fill="FFFFFF"/>
            <w:vAlign w:val="top"/>
          </w:tcPr>
          <w:p>
            <w:pPr>
              <w:spacing w:after="0"/>
            </w:pPr>
            <w:r>
              <w:rPr>
                <w:rFonts w:ascii="Calibri" w:hAnsi="Calibri" w:eastAsia="Calibri"/>
                <w:i w:val="0"/>
                <w:color w:val="17232B"/>
                <w:sz w:val="17"/>
              </w:rPr>
              <w:t>What is this agent and what can it do?</w:t>
            </w:r>
          </w:p>
        </w:tc>
        <w:tc>
          <w:tcPr>
            <w:tcW w:type="dxa" w:w="3456"/>
            <w:shd w:fill="FFFFFF"/>
            <w:vAlign w:val="top"/>
          </w:tcPr>
          <w:p>
            <w:pPr>
              <w:spacing w:after="0"/>
            </w:pPr>
            <w:r>
              <w:rPr>
                <w:rFonts w:ascii="Calibri" w:hAnsi="Calibri" w:eastAsia="Calibri"/>
                <w:i w:val="0"/>
                <w:color w:val="17232B"/>
                <w:sz w:val="17"/>
              </w:rPr>
              <w:t>A2A Agent Card; OASF mapping where useful</w:t>
            </w:r>
          </w:p>
        </w:tc>
      </w:tr>
      <w:tr>
        <w:trPr>
          <w:cantSplit/>
        </w:trPr>
        <w:tc>
          <w:tcPr>
            <w:tcW w:type="dxa" w:w="2232"/>
            <w:shd w:fill="F8FAFB"/>
            <w:vAlign w:val="top"/>
          </w:tcPr>
          <w:p>
            <w:pPr>
              <w:spacing w:after="0"/>
            </w:pPr>
            <w:r>
              <w:rPr>
                <w:rFonts w:ascii="Calibri" w:hAnsi="Calibri" w:eastAsia="Calibri"/>
                <w:i w:val="0"/>
                <w:color w:val="17232B"/>
                <w:sz w:val="17"/>
              </w:rPr>
              <w:t>Interaction</w:t>
            </w:r>
          </w:p>
        </w:tc>
        <w:tc>
          <w:tcPr>
            <w:tcW w:type="dxa" w:w="3672"/>
            <w:shd w:fill="F8FAFB"/>
            <w:vAlign w:val="top"/>
          </w:tcPr>
          <w:p>
            <w:pPr>
              <w:spacing w:after="0"/>
            </w:pPr>
            <w:r>
              <w:rPr>
                <w:rFonts w:ascii="Calibri" w:hAnsi="Calibri" w:eastAsia="Calibri"/>
                <w:i w:val="0"/>
                <w:color w:val="17232B"/>
                <w:sz w:val="17"/>
              </w:rPr>
              <w:t>How do agents exchange tasks and artifacts?</w:t>
            </w:r>
          </w:p>
        </w:tc>
        <w:tc>
          <w:tcPr>
            <w:tcW w:type="dxa" w:w="3456"/>
            <w:shd w:fill="F8FAFB"/>
            <w:vAlign w:val="top"/>
          </w:tcPr>
          <w:p>
            <w:pPr>
              <w:spacing w:after="0"/>
            </w:pPr>
            <w:r>
              <w:rPr>
                <w:rFonts w:ascii="Calibri" w:hAnsi="Calibri" w:eastAsia="Calibri"/>
                <w:i w:val="0"/>
                <w:color w:val="17232B"/>
                <w:sz w:val="17"/>
              </w:rPr>
              <w:t>A2A v1.0</w:t>
            </w:r>
          </w:p>
        </w:tc>
      </w:tr>
      <w:tr>
        <w:trPr>
          <w:cantSplit/>
        </w:trPr>
        <w:tc>
          <w:tcPr>
            <w:tcW w:type="dxa" w:w="2232"/>
            <w:shd w:fill="FFFFFF"/>
            <w:vAlign w:val="top"/>
          </w:tcPr>
          <w:p>
            <w:pPr>
              <w:spacing w:after="0"/>
            </w:pPr>
            <w:r>
              <w:rPr>
                <w:rFonts w:ascii="Calibri" w:hAnsi="Calibri" w:eastAsia="Calibri"/>
                <w:i w:val="0"/>
                <w:color w:val="17232B"/>
                <w:sz w:val="17"/>
              </w:rPr>
              <w:t>Tool access</w:t>
            </w:r>
          </w:p>
        </w:tc>
        <w:tc>
          <w:tcPr>
            <w:tcW w:type="dxa" w:w="3672"/>
            <w:shd w:fill="FFFFFF"/>
            <w:vAlign w:val="top"/>
          </w:tcPr>
          <w:p>
            <w:pPr>
              <w:spacing w:after="0"/>
            </w:pPr>
            <w:r>
              <w:rPr>
                <w:rFonts w:ascii="Calibri" w:hAnsi="Calibri" w:eastAsia="Calibri"/>
                <w:i w:val="0"/>
                <w:color w:val="17232B"/>
                <w:sz w:val="17"/>
              </w:rPr>
              <w:t>How does an operative use external capabilities and context?</w:t>
            </w:r>
          </w:p>
        </w:tc>
        <w:tc>
          <w:tcPr>
            <w:tcW w:type="dxa" w:w="3456"/>
            <w:shd w:fill="FFFFFF"/>
            <w:vAlign w:val="top"/>
          </w:tcPr>
          <w:p>
            <w:pPr>
              <w:spacing w:after="0"/>
            </w:pPr>
            <w:r>
              <w:rPr>
                <w:rFonts w:ascii="Calibri" w:hAnsi="Calibri" w:eastAsia="Calibri"/>
                <w:i w:val="0"/>
                <w:color w:val="17232B"/>
                <w:sz w:val="17"/>
              </w:rPr>
              <w:t>MCP 2026-07-28</w:t>
            </w:r>
          </w:p>
        </w:tc>
      </w:tr>
      <w:tr>
        <w:trPr>
          <w:cantSplit/>
        </w:trPr>
        <w:tc>
          <w:tcPr>
            <w:tcW w:type="dxa" w:w="2232"/>
            <w:shd w:fill="F8FAFB"/>
            <w:vAlign w:val="top"/>
          </w:tcPr>
          <w:p>
            <w:pPr>
              <w:spacing w:after="0"/>
            </w:pPr>
            <w:r>
              <w:rPr>
                <w:rFonts w:ascii="Calibri" w:hAnsi="Calibri" w:eastAsia="Calibri"/>
                <w:i w:val="0"/>
                <w:color w:val="17232B"/>
                <w:sz w:val="17"/>
              </w:rPr>
              <w:t>Messaging</w:t>
            </w:r>
          </w:p>
        </w:tc>
        <w:tc>
          <w:tcPr>
            <w:tcW w:type="dxa" w:w="3672"/>
            <w:shd w:fill="F8FAFB"/>
            <w:vAlign w:val="top"/>
          </w:tcPr>
          <w:p>
            <w:pPr>
              <w:spacing w:after="0"/>
            </w:pPr>
            <w:r>
              <w:rPr>
                <w:rFonts w:ascii="Calibri" w:hAnsi="Calibri" w:eastAsia="Calibri"/>
                <w:i w:val="0"/>
                <w:color w:val="17232B"/>
                <w:sz w:val="17"/>
              </w:rPr>
              <w:t>How are internal events described and transported?</w:t>
            </w:r>
          </w:p>
        </w:tc>
        <w:tc>
          <w:tcPr>
            <w:tcW w:type="dxa" w:w="3456"/>
            <w:shd w:fill="F8FAFB"/>
            <w:vAlign w:val="top"/>
          </w:tcPr>
          <w:p>
            <w:pPr>
              <w:spacing w:after="0"/>
            </w:pPr>
            <w:r>
              <w:rPr>
                <w:rFonts w:ascii="Calibri" w:hAnsi="Calibri" w:eastAsia="Calibri"/>
                <w:i w:val="0"/>
                <w:color w:val="17232B"/>
                <w:sz w:val="17"/>
              </w:rPr>
              <w:t>CellBus vocabulary over CloudEvents/AsyncAPI</w:t>
            </w:r>
          </w:p>
        </w:tc>
      </w:tr>
      <w:tr>
        <w:trPr>
          <w:cantSplit/>
        </w:trPr>
        <w:tc>
          <w:tcPr>
            <w:tcW w:type="dxa" w:w="2232"/>
            <w:shd w:fill="FFFFFF"/>
            <w:vAlign w:val="top"/>
          </w:tcPr>
          <w:p>
            <w:pPr>
              <w:spacing w:after="0"/>
            </w:pPr>
            <w:r>
              <w:rPr>
                <w:rFonts w:ascii="Calibri" w:hAnsi="Calibri" w:eastAsia="Calibri"/>
                <w:i w:val="0"/>
                <w:color w:val="17232B"/>
                <w:sz w:val="17"/>
              </w:rPr>
              <w:t>Governance</w:t>
            </w:r>
          </w:p>
        </w:tc>
        <w:tc>
          <w:tcPr>
            <w:tcW w:type="dxa" w:w="3672"/>
            <w:shd w:fill="FFFFFF"/>
            <w:vAlign w:val="top"/>
          </w:tcPr>
          <w:p>
            <w:pPr>
              <w:spacing w:after="0"/>
            </w:pPr>
            <w:r>
              <w:rPr>
                <w:rFonts w:ascii="Calibri" w:hAnsi="Calibri" w:eastAsia="Calibri"/>
                <w:i w:val="0"/>
                <w:color w:val="17232B"/>
                <w:sz w:val="17"/>
              </w:rPr>
              <w:t>What mission and authority bind this action?</w:t>
            </w:r>
          </w:p>
        </w:tc>
        <w:tc>
          <w:tcPr>
            <w:tcW w:type="dxa" w:w="3456"/>
            <w:shd w:fill="FFFFFF"/>
            <w:vAlign w:val="top"/>
          </w:tcPr>
          <w:p>
            <w:pPr>
              <w:spacing w:after="0"/>
            </w:pPr>
            <w:r>
              <w:rPr>
                <w:rFonts w:ascii="Calibri" w:hAnsi="Calibri" w:eastAsia="Calibri"/>
                <w:i w:val="0"/>
                <w:color w:val="17232B"/>
                <w:sz w:val="17"/>
              </w:rPr>
              <w:t>New CELL//AP MAP envelope, enforced locally</w:t>
            </w:r>
          </w:p>
        </w:tc>
      </w:tr>
      <w:tr>
        <w:trPr>
          <w:cantSplit/>
        </w:trPr>
        <w:tc>
          <w:tcPr>
            <w:tcW w:type="dxa" w:w="2232"/>
            <w:shd w:fill="F8FAFB"/>
            <w:vAlign w:val="top"/>
          </w:tcPr>
          <w:p>
            <w:pPr>
              <w:spacing w:after="0"/>
            </w:pPr>
            <w:r>
              <w:rPr>
                <w:rFonts w:ascii="Calibri" w:hAnsi="Calibri" w:eastAsia="Calibri"/>
                <w:i w:val="0"/>
                <w:color w:val="17232B"/>
                <w:sz w:val="17"/>
              </w:rPr>
              <w:t>Assurance</w:t>
            </w:r>
          </w:p>
        </w:tc>
        <w:tc>
          <w:tcPr>
            <w:tcW w:type="dxa" w:w="3672"/>
            <w:shd w:fill="F8FAFB"/>
            <w:vAlign w:val="top"/>
          </w:tcPr>
          <w:p>
            <w:pPr>
              <w:spacing w:after="0"/>
            </w:pPr>
            <w:r>
              <w:rPr>
                <w:rFonts w:ascii="Calibri" w:hAnsi="Calibri" w:eastAsia="Calibri"/>
                <w:i w:val="0"/>
                <w:color w:val="17232B"/>
                <w:sz w:val="17"/>
              </w:rPr>
              <w:t>What evidence proves what happened?</w:t>
            </w:r>
          </w:p>
        </w:tc>
        <w:tc>
          <w:tcPr>
            <w:tcW w:type="dxa" w:w="3456"/>
            <w:shd w:fill="F8FAFB"/>
            <w:vAlign w:val="top"/>
          </w:tcPr>
          <w:p>
            <w:pPr>
              <w:spacing w:after="0"/>
            </w:pPr>
            <w:r>
              <w:rPr>
                <w:rFonts w:ascii="Calibri" w:hAnsi="Calibri" w:eastAsia="Calibri"/>
                <w:i w:val="0"/>
                <w:color w:val="17232B"/>
                <w:sz w:val="17"/>
              </w:rPr>
              <w:t>Receipts mapped to OpenTelemetry, Trace Context, PROV, and in-toto</w:t>
            </w:r>
          </w:p>
        </w:tc>
      </w:tr>
    </w:tbl>
    <w:p>
      <w:pPr>
        <w:pStyle w:val="TableCitation"/>
      </w:pPr>
      <w:r>
        <w:t>Source: synthesis of cited specifications; assessments are the author’s analysis.</w:t>
      </w:r>
    </w:p>
    <w:p>
      <w:r>
        <w:rPr>
          <w:rFonts w:ascii="Calibri" w:hAnsi="Calibri" w:eastAsia="Calibri"/>
          <w:i w:val="0"/>
          <w:color w:val="17232B"/>
          <w:sz w:val="22"/>
        </w:rPr>
        <w:t xml:space="preserve">Under this model, </w:t>
      </w:r>
      <w:r>
        <w:rPr>
          <w:rFonts w:ascii="Calibri" w:hAnsi="Calibri" w:eastAsia="Calibri"/>
          <w:b/>
          <w:i w:val="0"/>
          <w:color w:val="17232B"/>
          <w:sz w:val="22"/>
        </w:rPr>
        <w:t>CELL//AP is a profile and semantic contract</w:t>
      </w:r>
      <w:r>
        <w:rPr>
          <w:rFonts w:ascii="Calibri" w:hAnsi="Calibri" w:eastAsia="Calibri"/>
          <w:i w:val="0"/>
          <w:color w:val="17232B"/>
          <w:sz w:val="22"/>
        </w:rPr>
        <w:t>, not a competing network stack. “Profile” means a precise selection of existing standards plus a small set of missing schemas, rules, and conformance requirements.</w:t>
      </w:r>
    </w:p>
    <w:p>
      <w:pPr>
        <w:pStyle w:val="Heading2"/>
        <w:keepNext/>
        <w:keepLines/>
      </w:pPr>
      <w:r>
        <w:t>The boundary of standardization</w:t>
      </w:r>
    </w:p>
    <w:p>
      <w:r>
        <w:rPr>
          <w:rFonts w:ascii="Calibri" w:hAnsi="Calibri" w:eastAsia="Calibri"/>
          <w:b/>
          <w:i w:val="0"/>
          <w:color w:val="17232B"/>
          <w:sz w:val="22"/>
        </w:rPr>
        <w:t>Standardize:</w:t>
      </w:r>
    </w:p>
    <w:p>
      <w:pPr>
        <w:keepLines/>
        <w:numPr>
          <w:ilvl w:val="0"/>
          <w:numId w:val="10"/>
        </w:numPr>
        <w:spacing w:after="160" w:line="280" w:lineRule="auto"/>
        <w:ind w:left="720" w:hanging="360"/>
      </w:pPr>
      <w:r>
        <w:rPr>
          <w:rFonts w:ascii="Calibri" w:hAnsi="Calibri" w:eastAsia="Calibri"/>
          <w:i w:val="0"/>
          <w:color w:val="17232B"/>
          <w:sz w:val="22"/>
        </w:rPr>
        <w:t>identifiers, versions, schemas, capability claims, and compatibility rules;</w:t>
      </w:r>
    </w:p>
    <w:p>
      <w:pPr>
        <w:keepLines/>
        <w:numPr>
          <w:ilvl w:val="0"/>
          <w:numId w:val="10"/>
        </w:numPr>
        <w:spacing w:after="160" w:line="280" w:lineRule="auto"/>
        <w:ind w:left="720" w:hanging="360"/>
      </w:pPr>
      <w:r>
        <w:rPr>
          <w:rFonts w:ascii="Calibri" w:hAnsi="Calibri" w:eastAsia="Calibri"/>
          <w:i w:val="0"/>
          <w:color w:val="17232B"/>
          <w:sz w:val="22"/>
        </w:rPr>
        <w:t>mission contracts and task lifecycle transitions;</w:t>
      </w:r>
    </w:p>
    <w:p>
      <w:pPr>
        <w:keepLines/>
        <w:numPr>
          <w:ilvl w:val="0"/>
          <w:numId w:val="10"/>
        </w:numPr>
        <w:spacing w:after="160" w:line="280" w:lineRule="auto"/>
        <w:ind w:left="720" w:hanging="360"/>
      </w:pPr>
      <w:r>
        <w:rPr>
          <w:rFonts w:ascii="Calibri" w:hAnsi="Calibri" w:eastAsia="Calibri"/>
          <w:i w:val="0"/>
          <w:color w:val="17232B"/>
          <w:sz w:val="22"/>
        </w:rPr>
        <w:t>authority grants, attenuation, approvals, expiry, and revocation;</w:t>
      </w:r>
    </w:p>
    <w:p>
      <w:pPr>
        <w:keepLines/>
        <w:numPr>
          <w:ilvl w:val="0"/>
          <w:numId w:val="10"/>
        </w:numPr>
        <w:spacing w:after="160" w:line="280" w:lineRule="auto"/>
        <w:ind w:left="720" w:hanging="360"/>
      </w:pPr>
      <w:r>
        <w:rPr>
          <w:rFonts w:ascii="Calibri" w:hAnsi="Calibri" w:eastAsia="Calibri"/>
          <w:i w:val="0"/>
          <w:color w:val="17232B"/>
          <w:sz w:val="22"/>
        </w:rPr>
        <w:t>claims, evidence references, receipts, and verification status;</w:t>
      </w:r>
    </w:p>
    <w:p>
      <w:pPr>
        <w:keepLines/>
        <w:numPr>
          <w:ilvl w:val="0"/>
          <w:numId w:val="10"/>
        </w:numPr>
        <w:spacing w:after="160" w:line="280" w:lineRule="auto"/>
        <w:ind w:left="720" w:hanging="360"/>
      </w:pPr>
      <w:r>
        <w:rPr>
          <w:rFonts w:ascii="Calibri" w:hAnsi="Calibri" w:eastAsia="Calibri"/>
          <w:i w:val="0"/>
          <w:color w:val="17232B"/>
          <w:sz w:val="22"/>
        </w:rPr>
        <w:t>correlation, idempotency, cancellation, retry, checkpoint, and handoff semantics;</w:t>
      </w:r>
    </w:p>
    <w:p>
      <w:pPr>
        <w:keepLines/>
        <w:numPr>
          <w:ilvl w:val="0"/>
          <w:numId w:val="10"/>
        </w:numPr>
        <w:spacing w:after="160" w:line="280" w:lineRule="auto"/>
        <w:ind w:left="720" w:hanging="360"/>
      </w:pPr>
      <w:r>
        <w:rPr>
          <w:rFonts w:ascii="Calibri" w:hAnsi="Calibri" w:eastAsia="Calibri"/>
          <w:i w:val="0"/>
          <w:color w:val="17232B"/>
          <w:sz w:val="22"/>
        </w:rPr>
        <w:t>minimum security, privacy, and audit behavior; and</w:t>
      </w:r>
    </w:p>
    <w:p>
      <w:pPr>
        <w:keepLines/>
        <w:numPr>
          <w:ilvl w:val="0"/>
          <w:numId w:val="10"/>
        </w:numPr>
        <w:spacing w:after="160" w:line="280" w:lineRule="auto"/>
        <w:ind w:left="720" w:hanging="360"/>
      </w:pPr>
      <w:r>
        <w:rPr>
          <w:rFonts w:ascii="Calibri" w:hAnsi="Calibri" w:eastAsia="Calibri"/>
          <w:i w:val="0"/>
          <w:color w:val="17232B"/>
          <w:sz w:val="22"/>
        </w:rPr>
        <w:t>conformance levels and test vectors.</w:t>
      </w:r>
    </w:p>
    <w:p>
      <w:r>
        <w:rPr>
          <w:rFonts w:ascii="Calibri" w:hAnsi="Calibri" w:eastAsia="Calibri"/>
          <w:b/>
          <w:i w:val="0"/>
          <w:color w:val="17232B"/>
          <w:sz w:val="22"/>
        </w:rPr>
        <w:t>Do not standardize:</w:t>
      </w:r>
    </w:p>
    <w:p>
      <w:pPr>
        <w:keepLines/>
        <w:numPr>
          <w:ilvl w:val="0"/>
          <w:numId w:val="10"/>
        </w:numPr>
        <w:spacing w:after="160" w:line="280" w:lineRule="auto"/>
        <w:ind w:left="720" w:hanging="360"/>
      </w:pPr>
      <w:r>
        <w:rPr>
          <w:rFonts w:ascii="Calibri" w:hAnsi="Calibri" w:eastAsia="Calibri"/>
          <w:i w:val="0"/>
          <w:color w:val="17232B"/>
          <w:sz w:val="22"/>
        </w:rPr>
        <w:t>hidden reasoning or chain-of-thought;</w:t>
      </w:r>
    </w:p>
    <w:p>
      <w:pPr>
        <w:keepLines/>
        <w:numPr>
          <w:ilvl w:val="0"/>
          <w:numId w:val="10"/>
        </w:numPr>
        <w:spacing w:after="160" w:line="280" w:lineRule="auto"/>
        <w:ind w:left="720" w:hanging="360"/>
      </w:pPr>
      <w:r>
        <w:rPr>
          <w:rFonts w:ascii="Calibri" w:hAnsi="Calibri" w:eastAsia="Calibri"/>
          <w:i w:val="0"/>
          <w:color w:val="17232B"/>
          <w:sz w:val="22"/>
        </w:rPr>
        <w:t>model weights, provider, prompting technique, or planner implementation;</w:t>
      </w:r>
    </w:p>
    <w:p>
      <w:pPr>
        <w:keepLines/>
        <w:numPr>
          <w:ilvl w:val="0"/>
          <w:numId w:val="10"/>
        </w:numPr>
        <w:spacing w:after="160" w:line="280" w:lineRule="auto"/>
        <w:ind w:left="720" w:hanging="360"/>
      </w:pPr>
      <w:r>
        <w:rPr>
          <w:rFonts w:ascii="Calibri" w:hAnsi="Calibri" w:eastAsia="Calibri"/>
          <w:i w:val="0"/>
          <w:color w:val="17232B"/>
          <w:sz w:val="22"/>
        </w:rPr>
        <w:t>full internal memory or private workspace state;</w:t>
      </w:r>
    </w:p>
    <w:p>
      <w:pPr>
        <w:keepLines/>
        <w:numPr>
          <w:ilvl w:val="0"/>
          <w:numId w:val="10"/>
        </w:numPr>
        <w:spacing w:after="160" w:line="280" w:lineRule="auto"/>
        <w:ind w:left="720" w:hanging="360"/>
      </w:pPr>
      <w:r>
        <w:rPr>
          <w:rFonts w:ascii="Calibri" w:hAnsi="Calibri" w:eastAsia="Calibri"/>
          <w:i w:val="0"/>
          <w:color w:val="17232B"/>
          <w:sz w:val="22"/>
        </w:rPr>
        <w:t>one universal policy language;</w:t>
      </w:r>
    </w:p>
    <w:p>
      <w:pPr>
        <w:keepLines/>
        <w:numPr>
          <w:ilvl w:val="0"/>
          <w:numId w:val="10"/>
        </w:numPr>
        <w:spacing w:after="160" w:line="280" w:lineRule="auto"/>
        <w:ind w:left="720" w:hanging="360"/>
      </w:pPr>
      <w:r>
        <w:rPr>
          <w:rFonts w:ascii="Calibri" w:hAnsi="Calibri" w:eastAsia="Calibri"/>
          <w:i w:val="0"/>
          <w:color w:val="17232B"/>
          <w:sz w:val="22"/>
        </w:rPr>
        <w:t>one transport, database, orchestration engine, or identity provider; or</w:t>
      </w:r>
    </w:p>
    <w:p>
      <w:pPr>
        <w:keepLines/>
        <w:numPr>
          <w:ilvl w:val="0"/>
          <w:numId w:val="10"/>
        </w:numPr>
        <w:spacing w:after="160" w:line="280" w:lineRule="auto"/>
        <w:ind w:left="720" w:hanging="360"/>
      </w:pPr>
      <w:r>
        <w:rPr>
          <w:rFonts w:ascii="Calibri" w:hAnsi="Calibri" w:eastAsia="Calibri"/>
          <w:i w:val="0"/>
          <w:color w:val="17232B"/>
          <w:sz w:val="22"/>
        </w:rPr>
        <w:t>domain decisions that legally or ethically require an accountable human.</w:t>
      </w:r>
    </w:p>
    <w:p>
      <w:r>
        <w:rPr>
          <w:rFonts w:ascii="Calibri" w:hAnsi="Calibri" w:eastAsia="Calibri"/>
          <w:i w:val="0"/>
          <w:color w:val="17232B"/>
          <w:sz w:val="22"/>
        </w:rPr>
        <w:t>This boundary preserves agent opacity—the design assumption in A2A—while providing enough external structure for safe delegation and audit.[4]</w:t>
      </w:r>
    </w:p>
    <w:p>
      <w:pPr>
        <w:pStyle w:val="Heading1"/>
        <w:keepNext/>
        <w:keepLines/>
      </w:pPr>
      <w:r>
        <w:t>Why now: the ecosystem is converging, but the accountability layer is not</w:t>
      </w:r>
    </w:p>
    <w:p>
      <w:r>
        <w:rPr>
          <w:rFonts w:ascii="Calibri" w:hAnsi="Calibri" w:eastAsia="Calibri"/>
          <w:i w:val="0"/>
          <w:color w:val="17232B"/>
          <w:sz w:val="22"/>
        </w:rPr>
        <w:t>The standards landscape has moved rapidly. MCP’s current 2026-07-28 release is stateless and self-describing, with discovery, extensions, tasks, and hardened authorization. A2A v1.0 shipped in March 2026 as a production-ready standard with signed Agent Cards, multi-tenancy, multiple protocol bindings, version negotiation, and a stable task lifecycle.[1–4] NIST launched an AI Agent Standards Initiative and is actively studying agent identity, authorization, security, and evaluation.[5–6] IETF drafts now describe multi-hop delegation, authority checkpoints, revocation, persistent sessions, discovery, and audit needs.[7–9]</w:t>
      </w:r>
    </w:p>
    <w:p>
      <w:r>
        <w:rPr>
          <w:rFonts w:ascii="Calibri" w:hAnsi="Calibri" w:eastAsia="Calibri"/>
          <w:i w:val="0"/>
          <w:color w:val="17232B"/>
          <w:sz w:val="22"/>
        </w:rPr>
        <w:t>This is evidence of both opportunity and risk:</w:t>
      </w:r>
    </w:p>
    <w:p>
      <w:pPr>
        <w:keepLines/>
        <w:numPr>
          <w:ilvl w:val="0"/>
          <w:numId w:val="10"/>
        </w:numPr>
        <w:spacing w:after="160" w:line="280" w:lineRule="auto"/>
        <w:ind w:left="720" w:hanging="360"/>
      </w:pPr>
      <w:r>
        <w:rPr>
          <w:rFonts w:ascii="Calibri" w:hAnsi="Calibri" w:eastAsia="Calibri"/>
          <w:b/>
          <w:i w:val="0"/>
          <w:color w:val="17232B"/>
          <w:sz w:val="22"/>
        </w:rPr>
        <w:t>Opportunity:</w:t>
      </w:r>
      <w:r>
        <w:rPr>
          <w:rFonts w:ascii="Calibri" w:hAnsi="Calibri" w:eastAsia="Calibri"/>
          <w:i w:val="0"/>
          <w:color w:val="17232B"/>
          <w:sz w:val="22"/>
        </w:rPr>
        <w:t xml:space="preserve"> foundational pieces are becoming reusable; CELL OS does not need to invent discovery, OAuth, workload identity, tracing, or tool invocation.</w:t>
      </w:r>
    </w:p>
    <w:p>
      <w:pPr>
        <w:keepLines/>
        <w:numPr>
          <w:ilvl w:val="0"/>
          <w:numId w:val="10"/>
        </w:numPr>
        <w:spacing w:after="160" w:line="280" w:lineRule="auto"/>
        <w:ind w:left="720" w:hanging="360"/>
      </w:pPr>
      <w:r>
        <w:rPr>
          <w:rFonts w:ascii="Calibri" w:hAnsi="Calibri" w:eastAsia="Calibri"/>
          <w:b/>
          <w:i w:val="0"/>
          <w:color w:val="17232B"/>
          <w:sz w:val="22"/>
        </w:rPr>
        <w:t>Risk:</w:t>
      </w:r>
      <w:r>
        <w:rPr>
          <w:rFonts w:ascii="Calibri" w:hAnsi="Calibri" w:eastAsia="Calibri"/>
          <w:i w:val="0"/>
          <w:color w:val="17232B"/>
          <w:sz w:val="22"/>
        </w:rPr>
        <w:t xml:space="preserve"> the landscape is still moving. Two key IETF documents cited here are Internet-Drafts, not standards; the Agent Control Standard was only in public preview as of 1 September 2026; agent-specific OpenTelemetry conventions are still developing.[7–9,22,24]</w:t>
      </w:r>
    </w:p>
    <w:p>
      <w:r>
        <w:rPr>
          <w:rFonts w:ascii="Calibri" w:hAnsi="Calibri" w:eastAsia="Calibri"/>
          <w:i w:val="0"/>
          <w:color w:val="17232B"/>
          <w:sz w:val="22"/>
        </w:rPr>
        <w:t xml:space="preserve">The right move is therefore </w:t>
      </w:r>
      <w:r>
        <w:rPr>
          <w:rFonts w:ascii="Calibri" w:hAnsi="Calibri" w:eastAsia="Calibri"/>
          <w:b/>
          <w:i w:val="0"/>
          <w:color w:val="17232B"/>
          <w:sz w:val="22"/>
        </w:rPr>
        <w:t>minimum novelty with maximum composability</w:t>
      </w:r>
      <w:r>
        <w:rPr>
          <w:rFonts w:ascii="Calibri" w:hAnsi="Calibri" w:eastAsia="Calibri"/>
          <w:i w:val="0"/>
          <w:color w:val="17232B"/>
          <w:sz w:val="22"/>
        </w:rPr>
        <w:t>.</w:t>
      </w:r>
    </w:p>
    <w:p>
      <w:pPr>
        <w:pStyle w:val="Heading1"/>
        <w:keepNext/>
        <w:keepLines/>
      </w:pPr>
      <w:r>
        <w:t>Standards landscape and fit</w:t>
      </w:r>
    </w:p>
    <w:p>
      <w:pPr>
        <w:pStyle w:val="Heading2"/>
        <w:keepNext/>
        <w:keepLines/>
      </w:pPr>
      <w:r>
        <w:t>Comparative matrix</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1800"/>
        <w:gridCol w:w="2376"/>
        <w:gridCol w:w="1800"/>
        <w:gridCol w:w="1800"/>
        <w:gridCol w:w="1584"/>
      </w:tblGrid>
      <w:tr>
        <w:trPr>
          <w:tblHeader w:val="true"/>
          <w:cantSplit/>
        </w:trPr>
        <w:tc>
          <w:tcPr>
            <w:tcW w:type="dxa" w:w="1800"/>
            <w:tcMar>
              <w:top w:w="80" w:type="dxa"/>
              <w:start w:w="120" w:type="dxa"/>
              <w:bottom w:w="80" w:type="dxa"/>
              <w:end w:w="120" w:type="dxa"/>
            </w:tcMar>
            <w:shd w:fill="17232B"/>
          </w:tcPr>
          <w:p>
            <w:pPr>
              <w:spacing w:after="0"/>
            </w:pPr>
            <w:r>
              <w:rPr>
                <w:rFonts w:ascii="Calibri" w:hAnsi="Calibri" w:eastAsia="Calibri"/>
                <w:i w:val="0"/>
                <w:color w:val="FFFFFF"/>
                <w:sz w:val="18"/>
              </w:rPr>
              <w:t>Standard or initiative</w:t>
            </w:r>
          </w:p>
        </w:tc>
        <w:tc>
          <w:tcPr>
            <w:tcW w:type="dxa" w:w="2376"/>
            <w:tcMar>
              <w:top w:w="80" w:type="dxa"/>
              <w:start w:w="120" w:type="dxa"/>
              <w:bottom w:w="80" w:type="dxa"/>
              <w:end w:w="120" w:type="dxa"/>
            </w:tcMar>
            <w:shd w:fill="17232B"/>
          </w:tcPr>
          <w:p>
            <w:pPr>
              <w:spacing w:after="0"/>
            </w:pPr>
            <w:r>
              <w:rPr>
                <w:rFonts w:ascii="Calibri" w:hAnsi="Calibri" w:eastAsia="Calibri"/>
                <w:i w:val="0"/>
                <w:color w:val="FFFFFF"/>
                <w:sz w:val="18"/>
              </w:rPr>
              <w:t>Strongest contribution</w:t>
            </w:r>
          </w:p>
        </w:tc>
        <w:tc>
          <w:tcPr>
            <w:tcW w:type="dxa" w:w="1800"/>
            <w:tcMar>
              <w:top w:w="80" w:type="dxa"/>
              <w:start w:w="120" w:type="dxa"/>
              <w:bottom w:w="80" w:type="dxa"/>
              <w:end w:w="120" w:type="dxa"/>
            </w:tcMar>
            <w:shd w:fill="17232B"/>
          </w:tcPr>
          <w:p>
            <w:pPr>
              <w:spacing w:after="0"/>
            </w:pPr>
            <w:r>
              <w:rPr>
                <w:rFonts w:ascii="Calibri" w:hAnsi="Calibri" w:eastAsia="Calibri"/>
                <w:i w:val="0"/>
                <w:color w:val="FFFFFF"/>
                <w:sz w:val="18"/>
              </w:rPr>
              <w:t>What it does not fully solve for CELL OS</w:t>
            </w:r>
          </w:p>
        </w:tc>
        <w:tc>
          <w:tcPr>
            <w:tcW w:type="dxa" w:w="1800"/>
            <w:tcMar>
              <w:top w:w="80" w:type="dxa"/>
              <w:start w:w="120" w:type="dxa"/>
              <w:bottom w:w="80" w:type="dxa"/>
              <w:end w:w="120" w:type="dxa"/>
            </w:tcMar>
            <w:shd w:fill="17232B"/>
          </w:tcPr>
          <w:p>
            <w:pPr>
              <w:spacing w:after="0"/>
            </w:pPr>
            <w:r>
              <w:rPr>
                <w:rFonts w:ascii="Calibri" w:hAnsi="Calibri" w:eastAsia="Calibri"/>
                <w:i w:val="0"/>
                <w:color w:val="FFFFFF"/>
                <w:sz w:val="18"/>
              </w:rPr>
              <w:t>Maturity on 4 Sep 2026</w:t>
            </w:r>
          </w:p>
        </w:tc>
        <w:tc>
          <w:tcPr>
            <w:tcW w:type="dxa" w:w="1584"/>
            <w:tcMar>
              <w:top w:w="80" w:type="dxa"/>
              <w:start w:w="120" w:type="dxa"/>
              <w:bottom w:w="80" w:type="dxa"/>
              <w:end w:w="120" w:type="dxa"/>
            </w:tcMar>
            <w:shd w:fill="17232B"/>
          </w:tcPr>
          <w:p>
            <w:pPr>
              <w:spacing w:after="0"/>
            </w:pPr>
            <w:r>
              <w:rPr>
                <w:rFonts w:ascii="Calibri" w:hAnsi="Calibri" w:eastAsia="Calibri"/>
                <w:i w:val="0"/>
                <w:color w:val="FFFFFF"/>
                <w:sz w:val="18"/>
              </w:rPr>
              <w:t>Recommendation</w:t>
            </w:r>
          </w:p>
        </w:tc>
      </w:tr>
      <w:tr>
        <w:trPr>
          <w:cantSplit/>
        </w:trPr>
        <w:tc>
          <w:tcPr>
            <w:tcW w:type="dxa" w:w="1800"/>
            <w:shd w:fill="FFFFFF"/>
            <w:vAlign w:val="top"/>
          </w:tcPr>
          <w:p>
            <w:pPr>
              <w:spacing w:after="0"/>
            </w:pPr>
            <w:r>
              <w:rPr>
                <w:rFonts w:ascii="Calibri" w:hAnsi="Calibri" w:eastAsia="Calibri"/>
                <w:i w:val="0"/>
                <w:color w:val="17232B"/>
                <w:sz w:val="17"/>
              </w:rPr>
              <w:t>MCP 2026-07-28</w:t>
            </w:r>
          </w:p>
        </w:tc>
        <w:tc>
          <w:tcPr>
            <w:tcW w:type="dxa" w:w="2376"/>
            <w:shd w:fill="FFFFFF"/>
            <w:vAlign w:val="top"/>
          </w:tcPr>
          <w:p>
            <w:pPr>
              <w:spacing w:after="0"/>
            </w:pPr>
            <w:r>
              <w:rPr>
                <w:rFonts w:ascii="Calibri" w:hAnsi="Calibri" w:eastAsia="Calibri"/>
                <w:i w:val="0"/>
                <w:color w:val="17232B"/>
                <w:sz w:val="17"/>
              </w:rPr>
              <w:t>Tool/resource access, schemas, discovery, authorization, async task extension</w:t>
            </w:r>
          </w:p>
        </w:tc>
        <w:tc>
          <w:tcPr>
            <w:tcW w:type="dxa" w:w="1800"/>
            <w:shd w:fill="FFFFFF"/>
            <w:vAlign w:val="top"/>
          </w:tcPr>
          <w:p>
            <w:pPr>
              <w:spacing w:after="0"/>
            </w:pPr>
            <w:r>
              <w:rPr>
                <w:rFonts w:ascii="Calibri" w:hAnsi="Calibri" w:eastAsia="Calibri"/>
                <w:i w:val="0"/>
                <w:color w:val="17232B"/>
                <w:sz w:val="17"/>
              </w:rPr>
              <w:t>Cross-agent mission semantics, delegated authority chains, evidence contracts, organization lifecycle</w:t>
            </w:r>
          </w:p>
        </w:tc>
        <w:tc>
          <w:tcPr>
            <w:tcW w:type="dxa" w:w="1800"/>
            <w:shd w:fill="FFFFFF"/>
            <w:vAlign w:val="top"/>
          </w:tcPr>
          <w:p>
            <w:pPr>
              <w:spacing w:after="0"/>
            </w:pPr>
            <w:r>
              <w:rPr>
                <w:rFonts w:ascii="Calibri" w:hAnsi="Calibri" w:eastAsia="Calibri"/>
                <w:i w:val="0"/>
                <w:color w:val="17232B"/>
                <w:sz w:val="17"/>
              </w:rPr>
              <w:t>Current released specification; broad ecosystem</w:t>
            </w:r>
          </w:p>
        </w:tc>
        <w:tc>
          <w:tcPr>
            <w:tcW w:type="dxa" w:w="1584"/>
            <w:shd w:fill="FFFFFF"/>
            <w:vAlign w:val="top"/>
          </w:tcPr>
          <w:p>
            <w:pPr>
              <w:spacing w:after="0"/>
            </w:pPr>
            <w:r>
              <w:rPr>
                <w:rFonts w:ascii="Calibri" w:hAnsi="Calibri" w:eastAsia="Calibri"/>
                <w:i w:val="0"/>
                <w:color w:val="17232B"/>
                <w:sz w:val="17"/>
              </w:rPr>
              <w:t>Adopt for capability access; add MAP references via namespaced metadata</w:t>
            </w:r>
          </w:p>
        </w:tc>
      </w:tr>
      <w:tr>
        <w:trPr>
          <w:cantSplit/>
        </w:trPr>
        <w:tc>
          <w:tcPr>
            <w:tcW w:type="dxa" w:w="1800"/>
            <w:shd w:fill="F8FAFB"/>
            <w:vAlign w:val="top"/>
          </w:tcPr>
          <w:p>
            <w:pPr>
              <w:spacing w:after="0"/>
            </w:pPr>
            <w:r>
              <w:rPr>
                <w:rFonts w:ascii="Calibri" w:hAnsi="Calibri" w:eastAsia="Calibri"/>
                <w:i w:val="0"/>
                <w:color w:val="17232B"/>
                <w:sz w:val="17"/>
              </w:rPr>
              <w:t>A2A v1.0</w:t>
            </w:r>
          </w:p>
        </w:tc>
        <w:tc>
          <w:tcPr>
            <w:tcW w:type="dxa" w:w="2376"/>
            <w:shd w:fill="F8FAFB"/>
            <w:vAlign w:val="top"/>
          </w:tcPr>
          <w:p>
            <w:pPr>
              <w:spacing w:after="0"/>
            </w:pPr>
            <w:r>
              <w:rPr>
                <w:rFonts w:ascii="Calibri" w:hAnsi="Calibri" w:eastAsia="Calibri"/>
                <w:i w:val="0"/>
                <w:color w:val="17232B"/>
                <w:sz w:val="17"/>
              </w:rPr>
              <w:t>Agent discovery, signed Agent Cards, task lifecycle, messages/artifacts, async and multi-protocol interaction</w:t>
            </w:r>
          </w:p>
        </w:tc>
        <w:tc>
          <w:tcPr>
            <w:tcW w:type="dxa" w:w="1800"/>
            <w:shd w:fill="F8FAFB"/>
            <w:vAlign w:val="top"/>
          </w:tcPr>
          <w:p>
            <w:pPr>
              <w:spacing w:after="0"/>
            </w:pPr>
            <w:r>
              <w:rPr>
                <w:rFonts w:ascii="Calibri" w:hAnsi="Calibri" w:eastAsia="Calibri"/>
                <w:i w:val="0"/>
                <w:color w:val="17232B"/>
                <w:sz w:val="17"/>
              </w:rPr>
              <w:t>Authorization scope and revocation semantics are explicitly left to implementations; limited mission/evidence model</w:t>
            </w:r>
          </w:p>
        </w:tc>
        <w:tc>
          <w:tcPr>
            <w:tcW w:type="dxa" w:w="1800"/>
            <w:shd w:fill="F8FAFB"/>
            <w:vAlign w:val="top"/>
          </w:tcPr>
          <w:p>
            <w:pPr>
              <w:spacing w:after="0"/>
            </w:pPr>
            <w:r>
              <w:rPr>
                <w:rFonts w:ascii="Calibri" w:hAnsi="Calibri" w:eastAsia="Calibri"/>
                <w:i w:val="0"/>
                <w:color w:val="17232B"/>
                <w:sz w:val="17"/>
              </w:rPr>
              <w:t>Stable production release</w:t>
            </w:r>
          </w:p>
        </w:tc>
        <w:tc>
          <w:tcPr>
            <w:tcW w:type="dxa" w:w="1584"/>
            <w:shd w:fill="F8FAFB"/>
            <w:vAlign w:val="top"/>
          </w:tcPr>
          <w:p>
            <w:pPr>
              <w:spacing w:after="0"/>
            </w:pPr>
            <w:r>
              <w:rPr>
                <w:rFonts w:ascii="Calibri" w:hAnsi="Calibri" w:eastAsia="Calibri"/>
                <w:i w:val="0"/>
                <w:color w:val="17232B"/>
                <w:sz w:val="17"/>
              </w:rPr>
              <w:t>Adopt as the remote agent carrier; define CELL//AP as negotiated extensions</w:t>
            </w:r>
          </w:p>
        </w:tc>
      </w:tr>
      <w:tr>
        <w:trPr>
          <w:cantSplit/>
        </w:trPr>
        <w:tc>
          <w:tcPr>
            <w:tcW w:type="dxa" w:w="1800"/>
            <w:shd w:fill="FFFFFF"/>
            <w:vAlign w:val="top"/>
          </w:tcPr>
          <w:p>
            <w:pPr>
              <w:spacing w:after="0"/>
            </w:pPr>
            <w:r>
              <w:rPr>
                <w:rFonts w:ascii="Calibri" w:hAnsi="Calibri" w:eastAsia="Calibri"/>
                <w:i w:val="0"/>
                <w:color w:val="17232B"/>
                <w:sz w:val="17"/>
              </w:rPr>
              <w:t>OASF + Agent Directory Service</w:t>
            </w:r>
          </w:p>
        </w:tc>
        <w:tc>
          <w:tcPr>
            <w:tcW w:type="dxa" w:w="2376"/>
            <w:shd w:fill="FFFFFF"/>
            <w:vAlign w:val="top"/>
          </w:tcPr>
          <w:p>
            <w:pPr>
              <w:spacing w:after="0"/>
            </w:pPr>
            <w:r>
              <w:rPr>
                <w:rFonts w:ascii="Calibri" w:hAnsi="Calibri" w:eastAsia="Calibri"/>
                <w:i w:val="0"/>
                <w:color w:val="17232B"/>
                <w:sz w:val="17"/>
              </w:rPr>
              <w:t>Rich capability taxonomy, records, relationships, federated discovery, verifiable claims</w:t>
            </w:r>
          </w:p>
        </w:tc>
        <w:tc>
          <w:tcPr>
            <w:tcW w:type="dxa" w:w="1800"/>
            <w:shd w:fill="FFFFFF"/>
            <w:vAlign w:val="top"/>
          </w:tcPr>
          <w:p>
            <w:pPr>
              <w:spacing w:after="0"/>
            </w:pPr>
            <w:r>
              <w:rPr>
                <w:rFonts w:ascii="Calibri" w:hAnsi="Calibri" w:eastAsia="Calibri"/>
                <w:i w:val="0"/>
                <w:color w:val="17232B"/>
                <w:sz w:val="17"/>
              </w:rPr>
              <w:t>Execution, lifecycle, approvals, receipts; DHT/DID complexity if made mandatory</w:t>
            </w:r>
          </w:p>
        </w:tc>
        <w:tc>
          <w:tcPr>
            <w:tcW w:type="dxa" w:w="1800"/>
            <w:shd w:fill="FFFFFF"/>
            <w:vAlign w:val="top"/>
          </w:tcPr>
          <w:p>
            <w:pPr>
              <w:spacing w:after="0"/>
            </w:pPr>
            <w:r>
              <w:rPr>
                <w:rFonts w:ascii="Calibri" w:hAnsi="Calibri" w:eastAsia="Calibri"/>
                <w:i w:val="0"/>
                <w:color w:val="17232B"/>
                <w:sz w:val="17"/>
              </w:rPr>
              <w:t>Emerging, under active development</w:t>
            </w:r>
          </w:p>
        </w:tc>
        <w:tc>
          <w:tcPr>
            <w:tcW w:type="dxa" w:w="1584"/>
            <w:shd w:fill="FFFFFF"/>
            <w:vAlign w:val="top"/>
          </w:tcPr>
          <w:p>
            <w:pPr>
              <w:spacing w:after="0"/>
            </w:pPr>
            <w:r>
              <w:rPr>
                <w:rFonts w:ascii="Calibri" w:hAnsi="Calibri" w:eastAsia="Calibri"/>
                <w:i w:val="0"/>
                <w:color w:val="17232B"/>
                <w:sz w:val="17"/>
              </w:rPr>
              <w:t>Use as optional discovery mapping; do not require the directory stack in Core</w:t>
            </w:r>
          </w:p>
        </w:tc>
      </w:tr>
      <w:tr>
        <w:trPr>
          <w:cantSplit/>
        </w:trPr>
        <w:tc>
          <w:tcPr>
            <w:tcW w:type="dxa" w:w="1800"/>
            <w:shd w:fill="F8FAFB"/>
            <w:vAlign w:val="top"/>
          </w:tcPr>
          <w:p>
            <w:pPr>
              <w:spacing w:after="0"/>
            </w:pPr>
            <w:r>
              <w:rPr>
                <w:rFonts w:ascii="Calibri" w:hAnsi="Calibri" w:eastAsia="Calibri"/>
                <w:i w:val="0"/>
                <w:color w:val="17232B"/>
                <w:sz w:val="17"/>
              </w:rPr>
              <w:t>OAuth/RAR + SPIFFE + W3C VC</w:t>
            </w:r>
          </w:p>
        </w:tc>
        <w:tc>
          <w:tcPr>
            <w:tcW w:type="dxa" w:w="2376"/>
            <w:shd w:fill="F8FAFB"/>
            <w:vAlign w:val="top"/>
          </w:tcPr>
          <w:p>
            <w:pPr>
              <w:spacing w:after="0"/>
            </w:pPr>
            <w:r>
              <w:rPr>
                <w:rFonts w:ascii="Calibri" w:hAnsi="Calibri" w:eastAsia="Calibri"/>
                <w:i w:val="0"/>
                <w:color w:val="17232B"/>
                <w:sz w:val="17"/>
              </w:rPr>
              <w:t>User consent, fine-grained authorization, workload identity, federation, verifiable claims</w:t>
            </w:r>
          </w:p>
        </w:tc>
        <w:tc>
          <w:tcPr>
            <w:tcW w:type="dxa" w:w="1800"/>
            <w:shd w:fill="F8FAFB"/>
            <w:vAlign w:val="top"/>
          </w:tcPr>
          <w:p>
            <w:pPr>
              <w:spacing w:after="0"/>
            </w:pPr>
            <w:r>
              <w:rPr>
                <w:rFonts w:ascii="Calibri" w:hAnsi="Calibri" w:eastAsia="Calibri"/>
                <w:i w:val="0"/>
                <w:color w:val="17232B"/>
                <w:sz w:val="17"/>
              </w:rPr>
              <w:t>Mission graph and agent-specific attenuation semantics</w:t>
            </w:r>
          </w:p>
        </w:tc>
        <w:tc>
          <w:tcPr>
            <w:tcW w:type="dxa" w:w="1800"/>
            <w:shd w:fill="F8FAFB"/>
            <w:vAlign w:val="top"/>
          </w:tcPr>
          <w:p>
            <w:pPr>
              <w:spacing w:after="0"/>
            </w:pPr>
            <w:r>
              <w:rPr>
                <w:rFonts w:ascii="Calibri" w:hAnsi="Calibri" w:eastAsia="Calibri"/>
                <w:i w:val="0"/>
                <w:color w:val="17232B"/>
                <w:sz w:val="17"/>
              </w:rPr>
              <w:t>Established standards with differing deployment complexity</w:t>
            </w:r>
          </w:p>
        </w:tc>
        <w:tc>
          <w:tcPr>
            <w:tcW w:type="dxa" w:w="1584"/>
            <w:shd w:fill="F8FAFB"/>
            <w:vAlign w:val="top"/>
          </w:tcPr>
          <w:p>
            <w:pPr>
              <w:spacing w:after="0"/>
            </w:pPr>
            <w:r>
              <w:rPr>
                <w:rFonts w:ascii="Calibri" w:hAnsi="Calibri" w:eastAsia="Calibri"/>
                <w:i w:val="0"/>
                <w:color w:val="17232B"/>
                <w:sz w:val="17"/>
              </w:rPr>
              <w:t>Compose behind an identity/authority abstraction; avoid inventing credentials</w:t>
            </w:r>
          </w:p>
        </w:tc>
      </w:tr>
      <w:tr>
        <w:trPr>
          <w:cantSplit/>
        </w:trPr>
        <w:tc>
          <w:tcPr>
            <w:tcW w:type="dxa" w:w="1800"/>
            <w:shd w:fill="FFFFFF"/>
            <w:vAlign w:val="top"/>
          </w:tcPr>
          <w:p>
            <w:pPr>
              <w:spacing w:after="0"/>
            </w:pPr>
            <w:r>
              <w:rPr>
                <w:rFonts w:ascii="Calibri" w:hAnsi="Calibri" w:eastAsia="Calibri"/>
                <w:i w:val="0"/>
                <w:color w:val="17232B"/>
                <w:sz w:val="17"/>
              </w:rPr>
              <w:t>AsyncAPI + CloudEvents</w:t>
            </w:r>
          </w:p>
        </w:tc>
        <w:tc>
          <w:tcPr>
            <w:tcW w:type="dxa" w:w="2376"/>
            <w:shd w:fill="FFFFFF"/>
            <w:vAlign w:val="top"/>
          </w:tcPr>
          <w:p>
            <w:pPr>
              <w:spacing w:after="0"/>
            </w:pPr>
            <w:r>
              <w:rPr>
                <w:rFonts w:ascii="Calibri" w:hAnsi="Calibri" w:eastAsia="Calibri"/>
                <w:i w:val="0"/>
                <w:color w:val="17232B"/>
                <w:sz w:val="17"/>
              </w:rPr>
              <w:t>Machine-readable message-driven APIs and common event envelope</w:t>
            </w:r>
          </w:p>
        </w:tc>
        <w:tc>
          <w:tcPr>
            <w:tcW w:type="dxa" w:w="1800"/>
            <w:shd w:fill="FFFFFF"/>
            <w:vAlign w:val="top"/>
          </w:tcPr>
          <w:p>
            <w:pPr>
              <w:spacing w:after="0"/>
            </w:pPr>
            <w:r>
              <w:rPr>
                <w:rFonts w:ascii="Calibri" w:hAnsi="Calibri" w:eastAsia="Calibri"/>
                <w:i w:val="0"/>
                <w:color w:val="17232B"/>
                <w:sz w:val="17"/>
              </w:rPr>
              <w:t>Agent-specific state, authority, and evidence semantics</w:t>
            </w:r>
          </w:p>
        </w:tc>
        <w:tc>
          <w:tcPr>
            <w:tcW w:type="dxa" w:w="1800"/>
            <w:shd w:fill="FFFFFF"/>
            <w:vAlign w:val="top"/>
          </w:tcPr>
          <w:p>
            <w:pPr>
              <w:spacing w:after="0"/>
            </w:pPr>
            <w:r>
              <w:rPr>
                <w:rFonts w:ascii="Calibri" w:hAnsi="Calibri" w:eastAsia="Calibri"/>
                <w:i w:val="0"/>
                <w:color w:val="17232B"/>
                <w:sz w:val="17"/>
              </w:rPr>
              <w:t>Established ecosystem standards</w:t>
            </w:r>
          </w:p>
        </w:tc>
        <w:tc>
          <w:tcPr>
            <w:tcW w:type="dxa" w:w="1584"/>
            <w:shd w:fill="FFFFFF"/>
            <w:vAlign w:val="top"/>
          </w:tcPr>
          <w:p>
            <w:pPr>
              <w:spacing w:after="0"/>
            </w:pPr>
            <w:r>
              <w:rPr>
                <w:rFonts w:ascii="Calibri" w:hAnsi="Calibri" w:eastAsia="Calibri"/>
                <w:i w:val="0"/>
                <w:color w:val="17232B"/>
                <w:sz w:val="17"/>
              </w:rPr>
              <w:t>Use to describe and carry CellBus events</w:t>
            </w:r>
          </w:p>
        </w:tc>
      </w:tr>
      <w:tr>
        <w:trPr>
          <w:cantSplit/>
        </w:trPr>
        <w:tc>
          <w:tcPr>
            <w:tcW w:type="dxa" w:w="1800"/>
            <w:shd w:fill="F8FAFB"/>
            <w:vAlign w:val="top"/>
          </w:tcPr>
          <w:p>
            <w:pPr>
              <w:spacing w:after="0"/>
            </w:pPr>
            <w:r>
              <w:rPr>
                <w:rFonts w:ascii="Calibri" w:hAnsi="Calibri" w:eastAsia="Calibri"/>
                <w:i w:val="0"/>
                <w:color w:val="17232B"/>
                <w:sz w:val="17"/>
              </w:rPr>
              <w:t>OpenTelemetry + Trace Context + PROV + in-toto</w:t>
            </w:r>
          </w:p>
        </w:tc>
        <w:tc>
          <w:tcPr>
            <w:tcW w:type="dxa" w:w="2376"/>
            <w:shd w:fill="F8FAFB"/>
            <w:vAlign w:val="top"/>
          </w:tcPr>
          <w:p>
            <w:pPr>
              <w:spacing w:after="0"/>
            </w:pPr>
            <w:r>
              <w:rPr>
                <w:rFonts w:ascii="Calibri" w:hAnsi="Calibri" w:eastAsia="Calibri"/>
                <w:i w:val="0"/>
                <w:color w:val="17232B"/>
                <w:sz w:val="17"/>
              </w:rPr>
              <w:t>Correlation, telemetry vocabulary, lineage, signed attestations</w:t>
            </w:r>
          </w:p>
        </w:tc>
        <w:tc>
          <w:tcPr>
            <w:tcW w:type="dxa" w:w="1800"/>
            <w:shd w:fill="F8FAFB"/>
            <w:vAlign w:val="top"/>
          </w:tcPr>
          <w:p>
            <w:pPr>
              <w:spacing w:after="0"/>
            </w:pPr>
            <w:r>
              <w:rPr>
                <w:rFonts w:ascii="Calibri" w:hAnsi="Calibri" w:eastAsia="Calibri"/>
                <w:i w:val="0"/>
                <w:color w:val="17232B"/>
                <w:sz w:val="17"/>
              </w:rPr>
              <w:t>Normative mission state and runtime permission enforcement</w:t>
            </w:r>
          </w:p>
        </w:tc>
        <w:tc>
          <w:tcPr>
            <w:tcW w:type="dxa" w:w="1800"/>
            <w:shd w:fill="F8FAFB"/>
            <w:vAlign w:val="top"/>
          </w:tcPr>
          <w:p>
            <w:pPr>
              <w:spacing w:after="0"/>
            </w:pPr>
            <w:r>
              <w:rPr>
                <w:rFonts w:ascii="Calibri" w:hAnsi="Calibri" w:eastAsia="Calibri"/>
                <w:i w:val="0"/>
                <w:color w:val="17232B"/>
                <w:sz w:val="17"/>
              </w:rPr>
              <w:t>Mostly mature; agent-specific conventions evolving</w:t>
            </w:r>
          </w:p>
        </w:tc>
        <w:tc>
          <w:tcPr>
            <w:tcW w:type="dxa" w:w="1584"/>
            <w:shd w:fill="F8FAFB"/>
            <w:vAlign w:val="top"/>
          </w:tcPr>
          <w:p>
            <w:pPr>
              <w:spacing w:after="0"/>
            </w:pPr>
            <w:r>
              <w:rPr>
                <w:rFonts w:ascii="Calibri" w:hAnsi="Calibri" w:eastAsia="Calibri"/>
                <w:i w:val="0"/>
                <w:color w:val="17232B"/>
                <w:sz w:val="17"/>
              </w:rPr>
              <w:t>Map receipts to these models; do not create a parallel telemetry stack</w:t>
            </w:r>
          </w:p>
        </w:tc>
      </w:tr>
      <w:tr>
        <w:trPr>
          <w:cantSplit/>
        </w:trPr>
        <w:tc>
          <w:tcPr>
            <w:tcW w:type="dxa" w:w="1800"/>
            <w:shd w:fill="FFFFFF"/>
            <w:vAlign w:val="top"/>
          </w:tcPr>
          <w:p>
            <w:pPr>
              <w:spacing w:after="0"/>
            </w:pPr>
            <w:r>
              <w:rPr>
                <w:rFonts w:ascii="Calibri" w:hAnsi="Calibri" w:eastAsia="Calibri"/>
                <w:i w:val="0"/>
                <w:color w:val="17232B"/>
                <w:sz w:val="17"/>
              </w:rPr>
              <w:t>Agent Control Standard</w:t>
            </w:r>
          </w:p>
        </w:tc>
        <w:tc>
          <w:tcPr>
            <w:tcW w:type="dxa" w:w="2376"/>
            <w:shd w:fill="FFFFFF"/>
            <w:vAlign w:val="top"/>
          </w:tcPr>
          <w:p>
            <w:pPr>
              <w:spacing w:after="0"/>
            </w:pPr>
            <w:r>
              <w:rPr>
                <w:rFonts w:ascii="Calibri" w:hAnsi="Calibri" w:eastAsia="Calibri"/>
                <w:i w:val="0"/>
                <w:color w:val="17232B"/>
                <w:sz w:val="17"/>
              </w:rPr>
              <w:t>Runtime interception points and deterministic allow/deny/modify controls</w:t>
            </w:r>
          </w:p>
        </w:tc>
        <w:tc>
          <w:tcPr>
            <w:tcW w:type="dxa" w:w="1800"/>
            <w:shd w:fill="FFFFFF"/>
            <w:vAlign w:val="top"/>
          </w:tcPr>
          <w:p>
            <w:pPr>
              <w:spacing w:after="0"/>
            </w:pPr>
            <w:r>
              <w:rPr>
                <w:rFonts w:ascii="Calibri" w:hAnsi="Calibri" w:eastAsia="Calibri"/>
                <w:i w:val="0"/>
                <w:color w:val="17232B"/>
                <w:sz w:val="17"/>
              </w:rPr>
              <w:t>Cross-agent mission protocol; governance and compatibility still early</w:t>
            </w:r>
          </w:p>
        </w:tc>
        <w:tc>
          <w:tcPr>
            <w:tcW w:type="dxa" w:w="1800"/>
            <w:shd w:fill="FFFFFF"/>
            <w:vAlign w:val="top"/>
          </w:tcPr>
          <w:p>
            <w:pPr>
              <w:spacing w:after="0"/>
            </w:pPr>
            <w:r>
              <w:rPr>
                <w:rFonts w:ascii="Calibri" w:hAnsi="Calibri" w:eastAsia="Calibri"/>
                <w:i w:val="0"/>
                <w:color w:val="17232B"/>
                <w:sz w:val="17"/>
              </w:rPr>
              <w:t>Public preview, three days old at research cutoff</w:t>
            </w:r>
          </w:p>
        </w:tc>
        <w:tc>
          <w:tcPr>
            <w:tcW w:type="dxa" w:w="1584"/>
            <w:shd w:fill="FFFFFF"/>
            <w:vAlign w:val="top"/>
          </w:tcPr>
          <w:p>
            <w:pPr>
              <w:spacing w:after="0"/>
            </w:pPr>
            <w:r>
              <w:rPr>
                <w:rFonts w:ascii="Calibri" w:hAnsi="Calibri" w:eastAsia="Calibri"/>
                <w:i w:val="0"/>
                <w:color w:val="17232B"/>
                <w:sz w:val="17"/>
              </w:rPr>
              <w:t>Build a Warden adapter; do not make ACS a v0.1 dependency</w:t>
            </w:r>
          </w:p>
        </w:tc>
      </w:tr>
      <w:tr>
        <w:trPr>
          <w:cantSplit/>
        </w:trPr>
        <w:tc>
          <w:tcPr>
            <w:tcW w:type="dxa" w:w="1800"/>
            <w:shd w:fill="F8FAFB"/>
            <w:vAlign w:val="top"/>
          </w:tcPr>
          <w:p>
            <w:pPr>
              <w:spacing w:after="0"/>
            </w:pPr>
            <w:r>
              <w:rPr>
                <w:rFonts w:ascii="Calibri" w:hAnsi="Calibri" w:eastAsia="Calibri"/>
                <w:i w:val="0"/>
                <w:color w:val="17232B"/>
                <w:sz w:val="17"/>
              </w:rPr>
              <w:t>NIST/IETF agent initiatives</w:t>
            </w:r>
          </w:p>
        </w:tc>
        <w:tc>
          <w:tcPr>
            <w:tcW w:type="dxa" w:w="2376"/>
            <w:shd w:fill="F8FAFB"/>
            <w:vAlign w:val="top"/>
          </w:tcPr>
          <w:p>
            <w:pPr>
              <w:spacing w:after="0"/>
            </w:pPr>
            <w:r>
              <w:rPr>
                <w:rFonts w:ascii="Calibri" w:hAnsi="Calibri" w:eastAsia="Calibri"/>
                <w:i w:val="0"/>
                <w:color w:val="17232B"/>
                <w:sz w:val="17"/>
              </w:rPr>
              <w:t>Requirements, threat framing, identity/delegation architecture</w:t>
            </w:r>
          </w:p>
        </w:tc>
        <w:tc>
          <w:tcPr>
            <w:tcW w:type="dxa" w:w="1800"/>
            <w:shd w:fill="F8FAFB"/>
            <w:vAlign w:val="top"/>
          </w:tcPr>
          <w:p>
            <w:pPr>
              <w:spacing w:after="0"/>
            </w:pPr>
            <w:r>
              <w:rPr>
                <w:rFonts w:ascii="Calibri" w:hAnsi="Calibri" w:eastAsia="Calibri"/>
                <w:i w:val="0"/>
                <w:color w:val="17232B"/>
                <w:sz w:val="17"/>
              </w:rPr>
              <w:t>Deployable protocol implementation today</w:t>
            </w:r>
          </w:p>
        </w:tc>
        <w:tc>
          <w:tcPr>
            <w:tcW w:type="dxa" w:w="1800"/>
            <w:shd w:fill="F8FAFB"/>
            <w:vAlign w:val="top"/>
          </w:tcPr>
          <w:p>
            <w:pPr>
              <w:spacing w:after="0"/>
            </w:pPr>
            <w:r>
              <w:rPr>
                <w:rFonts w:ascii="Calibri" w:hAnsi="Calibri" w:eastAsia="Calibri"/>
                <w:i w:val="0"/>
                <w:color w:val="17232B"/>
                <w:sz w:val="17"/>
              </w:rPr>
              <w:t>Authoritative but much is exploratory or draft</w:t>
            </w:r>
          </w:p>
        </w:tc>
        <w:tc>
          <w:tcPr>
            <w:tcW w:type="dxa" w:w="1584"/>
            <w:shd w:fill="F8FAFB"/>
            <w:vAlign w:val="top"/>
          </w:tcPr>
          <w:p>
            <w:pPr>
              <w:spacing w:after="0"/>
            </w:pPr>
            <w:r>
              <w:rPr>
                <w:rFonts w:ascii="Calibri" w:hAnsi="Calibri" w:eastAsia="Calibri"/>
                <w:i w:val="0"/>
                <w:color w:val="17232B"/>
                <w:sz w:val="17"/>
              </w:rPr>
              <w:t>Track closely and align terminology; never call drafts settled standards</w:t>
            </w:r>
          </w:p>
        </w:tc>
      </w:tr>
      <w:tr>
        <w:trPr>
          <w:cantSplit/>
        </w:trPr>
        <w:tc>
          <w:tcPr>
            <w:tcW w:type="dxa" w:w="1800"/>
            <w:shd w:fill="FFFFFF"/>
            <w:vAlign w:val="top"/>
          </w:tcPr>
          <w:p>
            <w:pPr>
              <w:spacing w:after="0"/>
            </w:pPr>
            <w:r>
              <w:rPr>
                <w:rFonts w:ascii="Calibri" w:hAnsi="Calibri" w:eastAsia="Calibri"/>
                <w:i w:val="0"/>
                <w:color w:val="17232B"/>
                <w:sz w:val="17"/>
              </w:rPr>
              <w:t>AP2</w:t>
            </w:r>
          </w:p>
        </w:tc>
        <w:tc>
          <w:tcPr>
            <w:tcW w:type="dxa" w:w="2376"/>
            <w:shd w:fill="FFFFFF"/>
            <w:vAlign w:val="top"/>
          </w:tcPr>
          <w:p>
            <w:pPr>
              <w:spacing w:after="0"/>
            </w:pPr>
            <w:r>
              <w:rPr>
                <w:rFonts w:ascii="Calibri" w:hAnsi="Calibri" w:eastAsia="Calibri"/>
                <w:i w:val="0"/>
                <w:color w:val="17232B"/>
                <w:sz w:val="17"/>
              </w:rPr>
              <w:t>Signed intent and transaction mandates; evidence chain for agent commerce</w:t>
            </w:r>
          </w:p>
        </w:tc>
        <w:tc>
          <w:tcPr>
            <w:tcW w:type="dxa" w:w="1800"/>
            <w:shd w:fill="FFFFFF"/>
            <w:vAlign w:val="top"/>
          </w:tcPr>
          <w:p>
            <w:pPr>
              <w:spacing w:after="0"/>
            </w:pPr>
            <w:r>
              <w:rPr>
                <w:rFonts w:ascii="Calibri" w:hAnsi="Calibri" w:eastAsia="Calibri"/>
                <w:i w:val="0"/>
                <w:color w:val="17232B"/>
                <w:sz w:val="17"/>
              </w:rPr>
              <w:t>General-purpose missions outside commerce</w:t>
            </w:r>
          </w:p>
        </w:tc>
        <w:tc>
          <w:tcPr>
            <w:tcW w:type="dxa" w:w="1800"/>
            <w:shd w:fill="FFFFFF"/>
            <w:vAlign w:val="top"/>
          </w:tcPr>
          <w:p>
            <w:pPr>
              <w:spacing w:after="0"/>
            </w:pPr>
            <w:r>
              <w:rPr>
                <w:rFonts w:ascii="Calibri" w:hAnsi="Calibri" w:eastAsia="Calibri"/>
                <w:i w:val="0"/>
                <w:color w:val="17232B"/>
                <w:sz w:val="17"/>
              </w:rPr>
              <w:t>Open, domain-specific protocol</w:t>
            </w:r>
          </w:p>
        </w:tc>
        <w:tc>
          <w:tcPr>
            <w:tcW w:type="dxa" w:w="1584"/>
            <w:shd w:fill="FFFFFF"/>
            <w:vAlign w:val="top"/>
          </w:tcPr>
          <w:p>
            <w:pPr>
              <w:spacing w:after="0"/>
            </w:pPr>
            <w:r>
              <w:rPr>
                <w:rFonts w:ascii="Calibri" w:hAnsi="Calibri" w:eastAsia="Calibri"/>
                <w:i w:val="0"/>
                <w:color w:val="17232B"/>
                <w:sz w:val="17"/>
              </w:rPr>
              <w:t>Treat as a vertical extension and a valuable design precedent</w:t>
            </w:r>
          </w:p>
        </w:tc>
      </w:tr>
    </w:tbl>
    <w:p>
      <w:pPr>
        <w:pStyle w:val="TableCitation"/>
      </w:pPr>
      <w:r>
        <w:t>Source: synthesis of cited specifications; assessments are the author’s analysis.</w:t>
      </w:r>
    </w:p>
    <w:p>
      <w:pPr>
        <w:pStyle w:val="Heading2"/>
        <w:keepNext/>
        <w:keepLines/>
      </w:pPr>
      <w:r>
        <w:t>MCP: excellent capability plane, incomplete governance plane</w:t>
      </w:r>
    </w:p>
    <w:p>
      <w:r>
        <w:rPr>
          <w:rFonts w:ascii="Calibri" w:hAnsi="Calibri" w:eastAsia="Calibri"/>
          <w:i w:val="0"/>
          <w:color w:val="17232B"/>
          <w:sz w:val="22"/>
        </w:rPr>
        <w:t>MCP uses JSON-RPC between hosts, clients, and servers to expose tools, resources, and prompts. Its tool definitions include names and input schemas; the specification expects applications to preserve meaningful human oversight for tool actions, although it deliberately does not mandate a particular user interface.[1–2] The 2026-07-28 release emphasizes statelessness and request-level self-description, which improves resilience and horizontal scaling.</w:t>
      </w:r>
    </w:p>
    <w:p>
      <w:r>
        <w:rPr>
          <w:rFonts w:ascii="Calibri" w:hAnsi="Calibri" w:eastAsia="Calibri"/>
          <w:i w:val="0"/>
          <w:color w:val="17232B"/>
          <w:sz w:val="22"/>
        </w:rPr>
        <w:t xml:space="preserve">MCP should be the </w:t>
      </w:r>
      <w:r>
        <w:rPr>
          <w:rFonts w:ascii="Calibri" w:hAnsi="Calibri" w:eastAsia="Calibri"/>
          <w:b/>
          <w:i w:val="0"/>
          <w:color w:val="17232B"/>
          <w:sz w:val="22"/>
        </w:rPr>
        <w:t>capability plane</w:t>
      </w:r>
      <w:r>
        <w:rPr>
          <w:rFonts w:ascii="Calibri" w:hAnsi="Calibri" w:eastAsia="Calibri"/>
          <w:i w:val="0"/>
          <w:color w:val="17232B"/>
          <w:sz w:val="22"/>
        </w:rPr>
        <w:t xml:space="preserve"> of CELL OS. An operative can discover a tool, inspect its schema, and invoke it through a well-supported interface. But MCP should not become the mission system. A tool call does not by itself express why the action is permitted, how authority was delegated, what evidence is required, or how it contributes to an organization-level goal.</w:t>
      </w:r>
    </w:p>
    <w:p>
      <w:pPr>
        <w:pStyle w:val="Heading2"/>
        <w:keepNext/>
        <w:keepLines/>
      </w:pPr>
      <w:r>
        <w:t>A2A: the correct carrier for independent agents</w:t>
      </w:r>
    </w:p>
    <w:p>
      <w:r>
        <w:rPr>
          <w:rFonts w:ascii="Calibri" w:hAnsi="Calibri" w:eastAsia="Calibri"/>
          <w:i w:val="0"/>
          <w:color w:val="17232B"/>
          <w:sz w:val="22"/>
        </w:rPr>
        <w:t>A2A v1.0 provides Agent Cards, messages, artifacts, context IDs, and a stateful task model with states including submitted, working, completed, failed, canceled, input-required, rejected, and authentication-required. It supports HTTP+JSON, JSON-RPC, and gRPC bindings and provides an extension mechanism for negotiated, versioned additions.[3–4]</w:t>
      </w:r>
    </w:p>
    <w:p>
      <w:r>
        <w:rPr>
          <w:rFonts w:ascii="Calibri" w:hAnsi="Calibri" w:eastAsia="Calibri"/>
          <w:i w:val="0"/>
          <w:color w:val="17232B"/>
          <w:sz w:val="22"/>
        </w:rPr>
        <w:t xml:space="preserve">This is almost exactly the transport CELL OS needs across runtime and organizational boundaries. Importantly, A2A’s authorization section leaves scope representation, validity, and revocation semantics to the implementation or extensions. That is not a flaw; it is the opening for a focused MAP extension. CELL OS should not duplicate </w:t>
      </w:r>
      <w:r>
        <w:rPr>
          <w:rFonts w:ascii="Consolas" w:hAnsi="Consolas" w:eastAsia="Consolas"/>
          <w:b/>
          <w:color w:val="007783"/>
          <w:sz w:val="21"/>
          <w:shd w:fill="E9F7F8"/>
        </w:rPr>
        <w:t>Task</w:t>
      </w:r>
      <w:r>
        <w:rPr>
          <w:rFonts w:ascii="Calibri" w:hAnsi="Calibri" w:eastAsia="Calibri"/>
          <w:i w:val="0"/>
          <w:color w:val="17232B"/>
          <w:sz w:val="22"/>
        </w:rPr>
        <w:t xml:space="preserve">, </w:t>
      </w:r>
      <w:r>
        <w:rPr>
          <w:rFonts w:ascii="Consolas" w:hAnsi="Consolas" w:eastAsia="Consolas"/>
          <w:b/>
          <w:color w:val="007783"/>
          <w:sz w:val="21"/>
          <w:shd w:fill="E9F7F8"/>
        </w:rPr>
        <w:t>Message</w:t>
      </w:r>
      <w:r>
        <w:rPr>
          <w:rFonts w:ascii="Calibri" w:hAnsi="Calibri" w:eastAsia="Calibri"/>
          <w:i w:val="0"/>
          <w:color w:val="17232B"/>
          <w:sz w:val="22"/>
        </w:rPr>
        <w:t xml:space="preserve">, </w:t>
      </w:r>
      <w:r>
        <w:rPr>
          <w:rFonts w:ascii="Consolas" w:hAnsi="Consolas" w:eastAsia="Consolas"/>
          <w:b/>
          <w:color w:val="007783"/>
          <w:sz w:val="21"/>
          <w:shd w:fill="E9F7F8"/>
        </w:rPr>
        <w:t>Artifact</w:t>
      </w:r>
      <w:r>
        <w:rPr>
          <w:rFonts w:ascii="Calibri" w:hAnsi="Calibri" w:eastAsia="Calibri"/>
          <w:i w:val="0"/>
          <w:color w:val="17232B"/>
          <w:sz w:val="22"/>
        </w:rPr>
        <w:t>, Agent Cards, streaming, or push notifications.</w:t>
      </w:r>
    </w:p>
    <w:p>
      <w:pPr>
        <w:pStyle w:val="Heading2"/>
        <w:keepNext/>
        <w:keepLines/>
      </w:pPr>
      <w:r>
        <w:t>Identity and authorization: compose mature mechanisms</w:t>
      </w:r>
    </w:p>
    <w:p>
      <w:r>
        <w:rPr>
          <w:rFonts w:ascii="Calibri" w:hAnsi="Calibri" w:eastAsia="Calibri"/>
          <w:i w:val="0"/>
          <w:color w:val="17232B"/>
          <w:sz w:val="22"/>
        </w:rPr>
        <w:t>The NIST NCCoE concept paper asks the right agent-specific questions: whether an agent identity is fixed or ephemeral, how keys are issued and revoked, how least privilege is maintained, how an agent proves authority, how user intent survives delegation, and how tamper-resistant audit records support accountability.[6]</w:t>
      </w:r>
    </w:p>
    <w:p>
      <w:r>
        <w:rPr>
          <w:rFonts w:ascii="Calibri" w:hAnsi="Calibri" w:eastAsia="Calibri"/>
          <w:i w:val="0"/>
          <w:color w:val="17232B"/>
          <w:sz w:val="22"/>
        </w:rPr>
        <w:t>CELL//AP should distinguish four identities:</w:t>
      </w:r>
    </w:p>
    <w:p>
      <w:pPr>
        <w:keepLines/>
        <w:numPr>
          <w:ilvl w:val="0"/>
          <w:numId w:val="13"/>
        </w:numPr>
        <w:spacing w:after="160" w:line="280" w:lineRule="auto"/>
        <w:ind w:left="720" w:hanging="360"/>
      </w:pPr>
      <w:r>
        <w:rPr>
          <w:rFonts w:ascii="Calibri" w:hAnsi="Calibri" w:eastAsia="Calibri"/>
          <w:b/>
          <w:i w:val="0"/>
          <w:color w:val="17232B"/>
          <w:sz w:val="22"/>
        </w:rPr>
        <w:t>Principal identity:</w:t>
      </w:r>
      <w:r>
        <w:rPr>
          <w:rFonts w:ascii="Calibri" w:hAnsi="Calibri" w:eastAsia="Calibri"/>
          <w:i w:val="0"/>
          <w:color w:val="17232B"/>
          <w:sz w:val="22"/>
        </w:rPr>
        <w:t xml:space="preserve"> the human or organization accountable for the mission.</w:t>
      </w:r>
    </w:p>
    <w:p>
      <w:pPr>
        <w:keepLines/>
        <w:numPr>
          <w:ilvl w:val="0"/>
          <w:numId w:val="13"/>
        </w:numPr>
        <w:spacing w:after="160" w:line="280" w:lineRule="auto"/>
        <w:ind w:left="720" w:hanging="360"/>
      </w:pPr>
      <w:r>
        <w:rPr>
          <w:rFonts w:ascii="Calibri" w:hAnsi="Calibri" w:eastAsia="Calibri"/>
          <w:b/>
          <w:i w:val="0"/>
          <w:color w:val="17232B"/>
          <w:sz w:val="22"/>
        </w:rPr>
        <w:t>Operative image identity:</w:t>
      </w:r>
      <w:r>
        <w:rPr>
          <w:rFonts w:ascii="Calibri" w:hAnsi="Calibri" w:eastAsia="Calibri"/>
          <w:i w:val="0"/>
          <w:color w:val="17232B"/>
          <w:sz w:val="22"/>
        </w:rPr>
        <w:t xml:space="preserve"> the immutable, signed build of code, prompts, policies, skills, and dependencies.</w:t>
      </w:r>
    </w:p>
    <w:p>
      <w:pPr>
        <w:keepLines/>
        <w:numPr>
          <w:ilvl w:val="0"/>
          <w:numId w:val="13"/>
        </w:numPr>
        <w:spacing w:after="160" w:line="280" w:lineRule="auto"/>
        <w:ind w:left="720" w:hanging="360"/>
      </w:pPr>
      <w:r>
        <w:rPr>
          <w:rFonts w:ascii="Calibri" w:hAnsi="Calibri" w:eastAsia="Calibri"/>
          <w:b/>
          <w:i w:val="0"/>
          <w:color w:val="17232B"/>
          <w:sz w:val="22"/>
        </w:rPr>
        <w:t>Runtime workload identity:</w:t>
      </w:r>
      <w:r>
        <w:rPr>
          <w:rFonts w:ascii="Calibri" w:hAnsi="Calibri" w:eastAsia="Calibri"/>
          <w:i w:val="0"/>
          <w:color w:val="17232B"/>
          <w:sz w:val="22"/>
        </w:rPr>
        <w:t xml:space="preserve"> the running process or service instance.</w:t>
      </w:r>
    </w:p>
    <w:p>
      <w:pPr>
        <w:keepLines/>
        <w:numPr>
          <w:ilvl w:val="0"/>
          <w:numId w:val="13"/>
        </w:numPr>
        <w:spacing w:after="160" w:line="280" w:lineRule="auto"/>
        <w:ind w:left="720" w:hanging="360"/>
      </w:pPr>
      <w:r>
        <w:rPr>
          <w:rFonts w:ascii="Calibri" w:hAnsi="Calibri" w:eastAsia="Calibri"/>
          <w:b/>
          <w:i w:val="0"/>
          <w:color w:val="17232B"/>
          <w:sz w:val="22"/>
        </w:rPr>
        <w:t>Role identity:</w:t>
      </w:r>
      <w:r>
        <w:rPr>
          <w:rFonts w:ascii="Calibri" w:hAnsi="Calibri" w:eastAsia="Calibri"/>
          <w:i w:val="0"/>
          <w:color w:val="17232B"/>
          <w:sz w:val="22"/>
        </w:rPr>
        <w:t xml:space="preserve"> the operative’s named position in the Cell or Organization.</w:t>
      </w:r>
    </w:p>
    <w:p>
      <w:r>
        <w:rPr>
          <w:rFonts w:ascii="Calibri" w:hAnsi="Calibri" w:eastAsia="Calibri"/>
          <w:i w:val="0"/>
          <w:color w:val="17232B"/>
          <w:sz w:val="22"/>
        </w:rPr>
        <w:t>OAuth protects user- and service-facing APIs; RFC 9396 Rich Authorization Requests can carry structured, fine-grained authorization details.[17] SPIFFE can provide short-lived workload identities and federation across trust domains.[18] W3C Verifiable Credentials can express portable claims about roles or capabilities, with selective-disclosure representations where required.[19] CELL//AP should reference these credentials, not embed permanent secrets.</w:t>
      </w:r>
    </w:p>
    <w:p>
      <w:pPr>
        <w:pStyle w:val="Heading2"/>
        <w:keepNext/>
        <w:keepLines/>
      </w:pPr>
      <w:r>
        <w:t>Events, traces, and evidence: reuse the observability stack</w:t>
      </w:r>
    </w:p>
    <w:p>
      <w:r>
        <w:rPr>
          <w:rFonts w:ascii="Calibri" w:hAnsi="Calibri" w:eastAsia="Calibri"/>
          <w:i w:val="0"/>
          <w:color w:val="17232B"/>
          <w:sz w:val="22"/>
        </w:rPr>
        <w:t>AsyncAPI can describe message-driven interfaces without assuming a specific protocol or topology. CloudEvents supplies a common event envelope. W3C Trace Context propagates correlation identifiers; OpenTelemetry supplies spans, metrics, and semantic conventions; W3C PROV models entities, activities, and agents; in-toto binds signed attestations to immutable subjects.[14–16,20–23]</w:t>
      </w:r>
    </w:p>
    <w:p>
      <w:r>
        <w:rPr>
          <w:rFonts w:ascii="Calibri" w:hAnsi="Calibri" w:eastAsia="Calibri"/>
          <w:i w:val="0"/>
          <w:color w:val="17232B"/>
          <w:sz w:val="22"/>
        </w:rPr>
        <w:t xml:space="preserve">Together these form an evidence substrate. CELL//AP adds the missing normative statement: </w:t>
      </w:r>
      <w:r>
        <w:rPr>
          <w:rFonts w:ascii="Calibri" w:hAnsi="Calibri" w:eastAsia="Calibri"/>
          <w:b/>
          <w:i w:val="0"/>
          <w:color w:val="17232B"/>
          <w:sz w:val="22"/>
        </w:rPr>
        <w:t>which receipts must exist, who may issue them, what they attest to, and how they satisfy a Mission Contract</w:t>
      </w:r>
      <w:r>
        <w:rPr>
          <w:rFonts w:ascii="Calibri" w:hAnsi="Calibri" w:eastAsia="Calibri"/>
          <w:i w:val="0"/>
          <w:color w:val="17232B"/>
          <w:sz w:val="22"/>
        </w:rPr>
        <w:t>.</w:t>
      </w:r>
    </w:p>
    <w:p>
      <w:pPr>
        <w:pStyle w:val="Heading2"/>
        <w:keepNext/>
        <w:keepLines/>
      </w:pPr>
      <w:r>
        <w:t>Runtime control: align with ACS, but wait for maturity</w:t>
      </w:r>
    </w:p>
    <w:p>
      <w:r>
        <w:rPr>
          <w:rFonts w:ascii="Calibri" w:hAnsi="Calibri" w:eastAsia="Calibri"/>
          <w:i w:val="0"/>
          <w:color w:val="17232B"/>
          <w:sz w:val="22"/>
        </w:rPr>
        <w:t>The Agent Control Standard proposes interception points around input, output, tools, planning, memory, code execution, and subagents, with deterministic guardian decisions such as allow, deny, or modify. It also maps telemetry to OpenTelemetry and asset inventories to established software-bill-of-materials formats.[24]</w:t>
      </w:r>
    </w:p>
    <w:p>
      <w:r>
        <w:rPr>
          <w:rFonts w:ascii="Calibri" w:hAnsi="Calibri" w:eastAsia="Calibri"/>
          <w:i w:val="0"/>
          <w:color w:val="17232B"/>
          <w:sz w:val="22"/>
        </w:rPr>
        <w:t xml:space="preserve">That direction fits the CELL OS Warden and Authority Envelope. However, ACS was only a public preview at the research cutoff. The safe design is an adapter: MAP states </w:t>
      </w:r>
      <w:r>
        <w:rPr>
          <w:rFonts w:ascii="Calibri" w:hAnsi="Calibri" w:eastAsia="Calibri"/>
          <w:i/>
          <w:color w:val="17232B"/>
          <w:sz w:val="22"/>
        </w:rPr>
        <w:t>what authority applies</w:t>
      </w:r>
      <w:r>
        <w:rPr>
          <w:rFonts w:ascii="Calibri" w:hAnsi="Calibri" w:eastAsia="Calibri"/>
          <w:i w:val="0"/>
          <w:color w:val="17232B"/>
          <w:sz w:val="22"/>
        </w:rPr>
        <w:t xml:space="preserve">; the local Warden or ACS-compatible engine decides </w:t>
      </w:r>
      <w:r>
        <w:rPr>
          <w:rFonts w:ascii="Calibri" w:hAnsi="Calibri" w:eastAsia="Calibri"/>
          <w:i/>
          <w:color w:val="17232B"/>
          <w:sz w:val="22"/>
        </w:rPr>
        <w:t>how to enforce it</w:t>
      </w:r>
      <w:r>
        <w:rPr>
          <w:rFonts w:ascii="Calibri" w:hAnsi="Calibri" w:eastAsia="Calibri"/>
          <w:i w:val="0"/>
          <w:color w:val="17232B"/>
          <w:sz w:val="22"/>
        </w:rPr>
        <w:t>.</w:t>
      </w:r>
    </w:p>
    <w:p>
      <w:pPr>
        <w:pStyle w:val="Heading1"/>
        <w:keepNext/>
        <w:keepLines/>
      </w:pPr>
      <w:r>
        <w:t>The unresolved gap</w:t>
      </w:r>
    </w:p>
    <w:p>
      <w:r>
        <w:rPr>
          <w:rFonts w:ascii="Calibri" w:hAnsi="Calibri" w:eastAsia="Calibri"/>
          <w:i w:val="0"/>
          <w:color w:val="17232B"/>
          <w:sz w:val="22"/>
        </w:rPr>
        <w:t>The standards above cover individual layers, but no broadly adopted released specification simultaneously provides:</w:t>
      </w:r>
    </w:p>
    <w:p>
      <w:pPr>
        <w:keepLines/>
        <w:numPr>
          <w:ilvl w:val="0"/>
          <w:numId w:val="10"/>
        </w:numPr>
        <w:spacing w:after="160" w:line="280" w:lineRule="auto"/>
        <w:ind w:left="720" w:hanging="360"/>
      </w:pPr>
      <w:r>
        <w:rPr>
          <w:rFonts w:ascii="Calibri" w:hAnsi="Calibri" w:eastAsia="Calibri"/>
          <w:i w:val="0"/>
          <w:color w:val="17232B"/>
          <w:sz w:val="22"/>
        </w:rPr>
        <w:t>a portable mission contract with machine-testable success and evidence criteria;</w:t>
      </w:r>
    </w:p>
    <w:p>
      <w:pPr>
        <w:keepLines/>
        <w:numPr>
          <w:ilvl w:val="0"/>
          <w:numId w:val="10"/>
        </w:numPr>
        <w:spacing w:after="160" w:line="280" w:lineRule="auto"/>
        <w:ind w:left="720" w:hanging="360"/>
      </w:pPr>
      <w:r>
        <w:rPr>
          <w:rFonts w:ascii="Calibri" w:hAnsi="Calibri" w:eastAsia="Calibri"/>
          <w:i w:val="0"/>
          <w:color w:val="17232B"/>
          <w:sz w:val="22"/>
        </w:rPr>
        <w:t>an attenuating, revocable authority chain across multiple agents and organizations;</w:t>
      </w:r>
    </w:p>
    <w:p>
      <w:pPr>
        <w:keepLines/>
        <w:numPr>
          <w:ilvl w:val="0"/>
          <w:numId w:val="10"/>
        </w:numPr>
        <w:spacing w:after="160" w:line="280" w:lineRule="auto"/>
        <w:ind w:left="720" w:hanging="360"/>
      </w:pPr>
      <w:r>
        <w:rPr>
          <w:rFonts w:ascii="Calibri" w:hAnsi="Calibri" w:eastAsia="Calibri"/>
          <w:i w:val="0"/>
          <w:color w:val="17232B"/>
          <w:sz w:val="22"/>
        </w:rPr>
        <w:t>a typed claim/evidence/decision/receipt model aligned to task state;</w:t>
      </w:r>
    </w:p>
    <w:p>
      <w:pPr>
        <w:keepLines/>
        <w:numPr>
          <w:ilvl w:val="0"/>
          <w:numId w:val="10"/>
        </w:numPr>
        <w:spacing w:after="160" w:line="280" w:lineRule="auto"/>
        <w:ind w:left="720" w:hanging="360"/>
      </w:pPr>
      <w:r>
        <w:rPr>
          <w:rFonts w:ascii="Calibri" w:hAnsi="Calibri" w:eastAsia="Calibri"/>
          <w:i w:val="0"/>
          <w:color w:val="17232B"/>
          <w:sz w:val="22"/>
        </w:rPr>
        <w:t>a privacy-preserving record sufficient for audit and replay without exposing private reasoning;</w:t>
      </w:r>
    </w:p>
    <w:p>
      <w:pPr>
        <w:keepLines/>
        <w:numPr>
          <w:ilvl w:val="0"/>
          <w:numId w:val="10"/>
        </w:numPr>
        <w:spacing w:after="160" w:line="280" w:lineRule="auto"/>
        <w:ind w:left="720" w:hanging="360"/>
      </w:pPr>
      <w:r>
        <w:rPr>
          <w:rFonts w:ascii="Calibri" w:hAnsi="Calibri" w:eastAsia="Calibri"/>
          <w:i w:val="0"/>
          <w:color w:val="17232B"/>
          <w:sz w:val="22"/>
        </w:rPr>
        <w:t>organization-level work-graph lineage; and</w:t>
      </w:r>
    </w:p>
    <w:p>
      <w:pPr>
        <w:keepLines/>
        <w:numPr>
          <w:ilvl w:val="0"/>
          <w:numId w:val="10"/>
        </w:numPr>
        <w:spacing w:after="160" w:line="280" w:lineRule="auto"/>
        <w:ind w:left="720" w:hanging="360"/>
      </w:pPr>
      <w:r>
        <w:rPr>
          <w:rFonts w:ascii="Calibri" w:hAnsi="Calibri" w:eastAsia="Calibri"/>
          <w:i w:val="0"/>
          <w:color w:val="17232B"/>
          <w:sz w:val="22"/>
        </w:rPr>
        <w:t>conformance rules linking discovery, execution, runtime enforcement, and assurance.</w:t>
      </w:r>
    </w:p>
    <w:p>
      <w:r>
        <w:rPr>
          <w:rFonts w:ascii="Calibri" w:hAnsi="Calibri" w:eastAsia="Calibri"/>
          <w:i w:val="0"/>
          <w:color w:val="17232B"/>
          <w:sz w:val="22"/>
        </w:rPr>
        <w:t>IETF work recognizes this as a composition problem rather than a single-protocol problem. Its 2026 drafts call for multi-hop delegation, preserved origin identity, scope attenuation, revocation, authenticated capability advertisements, authorization checkpoints, asynchronous tasks, and provenance, while warning against duplicating existing identity mechanisms.[7–9] That is strong support for a profile approach.</w:t>
      </w:r>
    </w:p>
    <w:p>
      <w:pPr>
        <w:pStyle w:val="Heading1"/>
        <w:keepNext/>
        <w:keepLines/>
      </w:pPr>
      <w:r>
        <w:t>Proposed design: CELL//AP</w:t>
      </w:r>
    </w:p>
    <w:p>
      <w:pPr>
        <w:pStyle w:val="Heading2"/>
        <w:keepNext/>
        <w:keepLines/>
      </w:pPr>
      <w:r>
        <w:t>Design goals</w:t>
      </w:r>
    </w:p>
    <w:p>
      <w:r>
        <w:rPr>
          <w:rFonts w:ascii="Calibri" w:hAnsi="Calibri" w:eastAsia="Calibri"/>
          <w:i w:val="0"/>
          <w:color w:val="17232B"/>
          <w:sz w:val="22"/>
        </w:rPr>
        <w:t>CELL//AP should be:</w:t>
      </w:r>
    </w:p>
    <w:p>
      <w:pPr>
        <w:keepLines/>
        <w:numPr>
          <w:ilvl w:val="0"/>
          <w:numId w:val="10"/>
        </w:numPr>
        <w:spacing w:after="160" w:line="280" w:lineRule="auto"/>
        <w:ind w:left="720" w:hanging="360"/>
      </w:pPr>
      <w:r>
        <w:rPr>
          <w:rFonts w:ascii="Calibri" w:hAnsi="Calibri" w:eastAsia="Calibri"/>
          <w:b/>
          <w:i w:val="0"/>
          <w:color w:val="17232B"/>
          <w:sz w:val="22"/>
        </w:rPr>
        <w:t>transport-neutral:</w:t>
      </w:r>
      <w:r>
        <w:rPr>
          <w:rFonts w:ascii="Calibri" w:hAnsi="Calibri" w:eastAsia="Calibri"/>
          <w:i w:val="0"/>
          <w:color w:val="17232B"/>
          <w:sz w:val="22"/>
        </w:rPr>
        <w:t xml:space="preserve"> usable over A2A bindings and CellBus transports;</w:t>
      </w:r>
    </w:p>
    <w:p>
      <w:pPr>
        <w:keepLines/>
        <w:numPr>
          <w:ilvl w:val="0"/>
          <w:numId w:val="10"/>
        </w:numPr>
        <w:spacing w:after="160" w:line="280" w:lineRule="auto"/>
        <w:ind w:left="720" w:hanging="360"/>
      </w:pPr>
      <w:r>
        <w:rPr>
          <w:rFonts w:ascii="Calibri" w:hAnsi="Calibri" w:eastAsia="Calibri"/>
          <w:b/>
          <w:i w:val="0"/>
          <w:color w:val="17232B"/>
          <w:sz w:val="22"/>
        </w:rPr>
        <w:t>model-neutral:</w:t>
      </w:r>
      <w:r>
        <w:rPr>
          <w:rFonts w:ascii="Calibri" w:hAnsi="Calibri" w:eastAsia="Calibri"/>
          <w:i w:val="0"/>
          <w:color w:val="17232B"/>
          <w:sz w:val="22"/>
        </w:rPr>
        <w:t xml:space="preserve"> no assumption about model provider or planner;</w:t>
      </w:r>
    </w:p>
    <w:p>
      <w:pPr>
        <w:keepLines/>
        <w:numPr>
          <w:ilvl w:val="0"/>
          <w:numId w:val="10"/>
        </w:numPr>
        <w:spacing w:after="160" w:line="280" w:lineRule="auto"/>
        <w:ind w:left="720" w:hanging="360"/>
      </w:pPr>
      <w:r>
        <w:rPr>
          <w:rFonts w:ascii="Calibri" w:hAnsi="Calibri" w:eastAsia="Calibri"/>
          <w:b/>
          <w:i w:val="0"/>
          <w:color w:val="17232B"/>
          <w:sz w:val="22"/>
        </w:rPr>
        <w:t>least-authority by construction:</w:t>
      </w:r>
      <w:r>
        <w:rPr>
          <w:rFonts w:ascii="Calibri" w:hAnsi="Calibri" w:eastAsia="Calibri"/>
          <w:i w:val="0"/>
          <w:color w:val="17232B"/>
          <w:sz w:val="22"/>
        </w:rPr>
        <w:t xml:space="preserve"> every delegation can only narrow rights;</w:t>
      </w:r>
    </w:p>
    <w:p>
      <w:pPr>
        <w:keepLines/>
        <w:numPr>
          <w:ilvl w:val="0"/>
          <w:numId w:val="10"/>
        </w:numPr>
        <w:spacing w:after="160" w:line="280" w:lineRule="auto"/>
        <w:ind w:left="720" w:hanging="360"/>
      </w:pPr>
      <w:r>
        <w:rPr>
          <w:rFonts w:ascii="Calibri" w:hAnsi="Calibri" w:eastAsia="Calibri"/>
          <w:b/>
          <w:i w:val="0"/>
          <w:color w:val="17232B"/>
          <w:sz w:val="22"/>
        </w:rPr>
        <w:t>evidence-first:</w:t>
      </w:r>
      <w:r>
        <w:rPr>
          <w:rFonts w:ascii="Calibri" w:hAnsi="Calibri" w:eastAsia="Calibri"/>
          <w:i w:val="0"/>
          <w:color w:val="17232B"/>
          <w:sz w:val="22"/>
        </w:rPr>
        <w:t xml:space="preserve"> success is a verified condition, not a natural-language assertion;</w:t>
      </w:r>
    </w:p>
    <w:p>
      <w:pPr>
        <w:keepLines/>
        <w:numPr>
          <w:ilvl w:val="0"/>
          <w:numId w:val="10"/>
        </w:numPr>
        <w:spacing w:after="160" w:line="280" w:lineRule="auto"/>
        <w:ind w:left="720" w:hanging="360"/>
      </w:pPr>
      <w:r>
        <w:rPr>
          <w:rFonts w:ascii="Calibri" w:hAnsi="Calibri" w:eastAsia="Calibri"/>
          <w:b/>
          <w:i w:val="0"/>
          <w:color w:val="17232B"/>
          <w:sz w:val="22"/>
        </w:rPr>
        <w:t>privacy-preserving:</w:t>
      </w:r>
      <w:r>
        <w:rPr>
          <w:rFonts w:ascii="Calibri" w:hAnsi="Calibri" w:eastAsia="Calibri"/>
          <w:i w:val="0"/>
          <w:color w:val="17232B"/>
          <w:sz w:val="22"/>
        </w:rPr>
        <w:t xml:space="preserve"> references and selective disclosure by default;</w:t>
      </w:r>
    </w:p>
    <w:p>
      <w:pPr>
        <w:keepLines/>
        <w:numPr>
          <w:ilvl w:val="0"/>
          <w:numId w:val="10"/>
        </w:numPr>
        <w:spacing w:after="160" w:line="280" w:lineRule="auto"/>
        <w:ind w:left="720" w:hanging="360"/>
      </w:pPr>
      <w:r>
        <w:rPr>
          <w:rFonts w:ascii="Calibri" w:hAnsi="Calibri" w:eastAsia="Calibri"/>
          <w:b/>
          <w:i w:val="0"/>
          <w:color w:val="17232B"/>
          <w:sz w:val="22"/>
        </w:rPr>
        <w:t>incrementally adoptable:</w:t>
      </w:r>
      <w:r>
        <w:rPr>
          <w:rFonts w:ascii="Calibri" w:hAnsi="Calibri" w:eastAsia="Calibri"/>
          <w:i w:val="0"/>
          <w:color w:val="17232B"/>
          <w:sz w:val="22"/>
        </w:rPr>
        <w:t xml:space="preserve"> useful at Core level without federation or credentials;</w:t>
      </w:r>
    </w:p>
    <w:p>
      <w:pPr>
        <w:keepLines/>
        <w:numPr>
          <w:ilvl w:val="0"/>
          <w:numId w:val="10"/>
        </w:numPr>
        <w:spacing w:after="160" w:line="280" w:lineRule="auto"/>
        <w:ind w:left="720" w:hanging="360"/>
      </w:pPr>
      <w:r>
        <w:rPr>
          <w:rFonts w:ascii="Calibri" w:hAnsi="Calibri" w:eastAsia="Calibri"/>
          <w:b/>
          <w:i w:val="0"/>
          <w:color w:val="17232B"/>
          <w:sz w:val="22"/>
        </w:rPr>
        <w:t>replayable:</w:t>
      </w:r>
      <w:r>
        <w:rPr>
          <w:rFonts w:ascii="Calibri" w:hAnsi="Calibri" w:eastAsia="Calibri"/>
          <w:i w:val="0"/>
          <w:color w:val="17232B"/>
          <w:sz w:val="22"/>
        </w:rPr>
        <w:t xml:space="preserve"> state transitions and side effects are reconstructable from receipts;</w:t>
      </w:r>
    </w:p>
    <w:p>
      <w:pPr>
        <w:keepLines/>
        <w:numPr>
          <w:ilvl w:val="0"/>
          <w:numId w:val="10"/>
        </w:numPr>
        <w:spacing w:after="160" w:line="280" w:lineRule="auto"/>
        <w:ind w:left="720" w:hanging="360"/>
      </w:pPr>
      <w:r>
        <w:rPr>
          <w:rFonts w:ascii="Calibri" w:hAnsi="Calibri" w:eastAsia="Calibri"/>
          <w:b/>
          <w:i w:val="0"/>
          <w:color w:val="17232B"/>
          <w:sz w:val="22"/>
        </w:rPr>
        <w:t>extensible:</w:t>
      </w:r>
      <w:r>
        <w:rPr>
          <w:rFonts w:ascii="Calibri" w:hAnsi="Calibri" w:eastAsia="Calibri"/>
          <w:i w:val="0"/>
          <w:color w:val="17232B"/>
          <w:sz w:val="22"/>
        </w:rPr>
        <w:t xml:space="preserve"> domain packs add semantics without forking Core; and</w:t>
      </w:r>
    </w:p>
    <w:p>
      <w:pPr>
        <w:keepLines/>
        <w:numPr>
          <w:ilvl w:val="0"/>
          <w:numId w:val="10"/>
        </w:numPr>
        <w:spacing w:after="160" w:line="280" w:lineRule="auto"/>
        <w:ind w:left="720" w:hanging="360"/>
      </w:pPr>
      <w:r>
        <w:rPr>
          <w:rFonts w:ascii="Calibri" w:hAnsi="Calibri" w:eastAsia="Calibri"/>
          <w:b/>
          <w:i w:val="0"/>
          <w:color w:val="17232B"/>
          <w:sz w:val="22"/>
        </w:rPr>
        <w:t>testable:</w:t>
      </w:r>
      <w:r>
        <w:rPr>
          <w:rFonts w:ascii="Calibri" w:hAnsi="Calibri" w:eastAsia="Calibri"/>
          <w:i w:val="0"/>
          <w:color w:val="17232B"/>
          <w:sz w:val="22"/>
        </w:rPr>
        <w:t xml:space="preserve"> each normative rule has a conformance test or test vector.</w:t>
      </w:r>
    </w:p>
    <w:p>
      <w:pPr>
        <w:pStyle w:val="Heading2"/>
        <w:keepNext/>
        <w:keepLines/>
      </w:pPr>
      <w:r>
        <w:t>The MAP envelope</w:t>
      </w:r>
    </w:p>
    <w:p>
      <w:r>
        <w:rPr>
          <w:rFonts w:ascii="Calibri" w:hAnsi="Calibri" w:eastAsia="Calibri"/>
          <w:i w:val="0"/>
          <w:color w:val="17232B"/>
          <w:sz w:val="22"/>
        </w:rPr>
        <w:t>Every governed task, claim, decision, handoff, and side-effect request carries or references three linked objects.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232"/>
        <w:gridCol w:w="3672"/>
        <w:gridCol w:w="3456"/>
      </w:tblGrid>
      <w:tr>
        <w:trPr>
          <w:tblHeader w:val="true"/>
          <w:cantSplit/>
        </w:trPr>
        <w:tc>
          <w:tcPr>
            <w:tcW w:type="dxa" w:w="2232"/>
            <w:tcMar>
              <w:top w:w="80" w:type="dxa"/>
              <w:start w:w="120" w:type="dxa"/>
              <w:bottom w:w="80" w:type="dxa"/>
              <w:end w:w="120" w:type="dxa"/>
            </w:tcMar>
            <w:shd w:fill="17232B"/>
          </w:tcPr>
          <w:p>
            <w:pPr>
              <w:spacing w:after="0"/>
            </w:pPr>
            <w:r>
              <w:rPr>
                <w:rFonts w:ascii="Calibri" w:hAnsi="Calibri" w:eastAsia="Calibri"/>
                <w:i w:val="0"/>
                <w:color w:val="FFFFFF"/>
                <w:sz w:val="18"/>
              </w:rPr>
              <w:t>Object</w:t>
            </w:r>
          </w:p>
        </w:tc>
        <w:tc>
          <w:tcPr>
            <w:tcW w:type="dxa" w:w="3672"/>
            <w:tcMar>
              <w:top w:w="80" w:type="dxa"/>
              <w:start w:w="120" w:type="dxa"/>
              <w:bottom w:w="80" w:type="dxa"/>
              <w:end w:w="120" w:type="dxa"/>
            </w:tcMar>
            <w:shd w:fill="17232B"/>
          </w:tcPr>
          <w:p>
            <w:pPr>
              <w:spacing w:after="0"/>
            </w:pPr>
            <w:r>
              <w:rPr>
                <w:rFonts w:ascii="Calibri" w:hAnsi="Calibri" w:eastAsia="Calibri"/>
                <w:i w:val="0"/>
                <w:color w:val="FFFFFF"/>
                <w:sz w:val="18"/>
              </w:rPr>
              <w:t>Required minimum</w:t>
            </w:r>
          </w:p>
        </w:tc>
        <w:tc>
          <w:tcPr>
            <w:tcW w:type="dxa" w:w="3456"/>
            <w:tcMar>
              <w:top w:w="80" w:type="dxa"/>
              <w:start w:w="120" w:type="dxa"/>
              <w:bottom w:w="80" w:type="dxa"/>
              <w:end w:w="120" w:type="dxa"/>
            </w:tcMar>
            <w:shd w:fill="17232B"/>
          </w:tcPr>
          <w:p>
            <w:pPr>
              <w:spacing w:after="0"/>
            </w:pPr>
            <w:r>
              <w:rPr>
                <w:rFonts w:ascii="Calibri" w:hAnsi="Calibri" w:eastAsia="Calibri"/>
                <w:i w:val="0"/>
                <w:color w:val="FFFFFF"/>
                <w:sz w:val="18"/>
              </w:rPr>
              <w:t>Optional extensions</w:t>
            </w:r>
          </w:p>
        </w:tc>
      </w:tr>
      <w:tr>
        <w:trPr>
          <w:cantSplit/>
        </w:trPr>
        <w:tc>
          <w:tcPr>
            <w:tcW w:type="dxa" w:w="2232"/>
            <w:shd w:fill="FFFFFF"/>
            <w:vAlign w:val="top"/>
          </w:tcPr>
          <w:p>
            <w:pPr>
              <w:spacing w:after="0"/>
            </w:pPr>
            <w:r>
              <w:rPr>
                <w:rFonts w:ascii="Calibri" w:hAnsi="Calibri" w:eastAsia="Calibri"/>
                <w:i w:val="0"/>
                <w:color w:val="17232B"/>
                <w:sz w:val="17"/>
              </w:rPr>
              <w:t>Mission Contract</w:t>
            </w:r>
          </w:p>
        </w:tc>
        <w:tc>
          <w:tcPr>
            <w:tcW w:type="dxa" w:w="3672"/>
            <w:shd w:fill="FFFFFF"/>
            <w:vAlign w:val="top"/>
          </w:tcPr>
          <w:p>
            <w:pPr>
              <w:spacing w:after="0"/>
            </w:pPr>
            <w:r>
              <w:rPr>
                <w:rFonts w:ascii="Calibri" w:hAnsi="Calibri" w:eastAsia="Calibri"/>
                <w:i w:val="0"/>
                <w:color w:val="17232B"/>
                <w:sz w:val="17"/>
              </w:rPr>
              <w:t>mission ID, objective, success criteria, constraints, risk class, expiry, required evidence</w:t>
            </w:r>
          </w:p>
        </w:tc>
        <w:tc>
          <w:tcPr>
            <w:tcW w:type="dxa" w:w="3456"/>
            <w:shd w:fill="FFFFFF"/>
            <w:vAlign w:val="top"/>
          </w:tcPr>
          <w:p>
            <w:pPr>
              <w:spacing w:after="0"/>
            </w:pPr>
            <w:r>
              <w:rPr>
                <w:rFonts w:ascii="Calibri" w:hAnsi="Calibri" w:eastAsia="Calibri"/>
                <w:i w:val="0"/>
                <w:color w:val="17232B"/>
                <w:sz w:val="17"/>
              </w:rPr>
              <w:t>work graph, priority, service level, budget, data-residency rules, domain ontology</w:t>
            </w:r>
          </w:p>
        </w:tc>
      </w:tr>
      <w:tr>
        <w:trPr>
          <w:cantSplit/>
        </w:trPr>
        <w:tc>
          <w:tcPr>
            <w:tcW w:type="dxa" w:w="2232"/>
            <w:shd w:fill="F8FAFB"/>
            <w:vAlign w:val="top"/>
          </w:tcPr>
          <w:p>
            <w:pPr>
              <w:spacing w:after="0"/>
            </w:pPr>
            <w:r>
              <w:rPr>
                <w:rFonts w:ascii="Calibri" w:hAnsi="Calibri" w:eastAsia="Calibri"/>
                <w:i w:val="0"/>
                <w:color w:val="17232B"/>
                <w:sz w:val="17"/>
              </w:rPr>
              <w:t>Authority Envelope</w:t>
            </w:r>
          </w:p>
        </w:tc>
        <w:tc>
          <w:tcPr>
            <w:tcW w:type="dxa" w:w="3672"/>
            <w:shd w:fill="F8FAFB"/>
            <w:vAlign w:val="top"/>
          </w:tcPr>
          <w:p>
            <w:pPr>
              <w:spacing w:after="0"/>
            </w:pPr>
            <w:r>
              <w:rPr>
                <w:rFonts w:ascii="Calibri" w:hAnsi="Calibri" w:eastAsia="Calibri"/>
                <w:i w:val="0"/>
                <w:color w:val="17232B"/>
                <w:sz w:val="17"/>
              </w:rPr>
              <w:t>principal, subject, allowed actions/resources, explicit denials, validity window, delegation depth, approval conditions, revocation endpoint</w:t>
            </w:r>
          </w:p>
        </w:tc>
        <w:tc>
          <w:tcPr>
            <w:tcW w:type="dxa" w:w="3456"/>
            <w:shd w:fill="F8FAFB"/>
            <w:vAlign w:val="top"/>
          </w:tcPr>
          <w:p>
            <w:pPr>
              <w:spacing w:after="0"/>
            </w:pPr>
            <w:r>
              <w:rPr>
                <w:rFonts w:ascii="Calibri" w:hAnsi="Calibri" w:eastAsia="Calibri"/>
                <w:i w:val="0"/>
                <w:color w:val="17232B"/>
                <w:sz w:val="17"/>
              </w:rPr>
              <w:t>geography, monetary limit, data classification, purpose limitation, emergency mode</w:t>
            </w:r>
          </w:p>
        </w:tc>
      </w:tr>
      <w:tr>
        <w:trPr>
          <w:cantSplit/>
        </w:trPr>
        <w:tc>
          <w:tcPr>
            <w:tcW w:type="dxa" w:w="2232"/>
            <w:shd w:fill="FFFFFF"/>
            <w:vAlign w:val="top"/>
          </w:tcPr>
          <w:p>
            <w:pPr>
              <w:spacing w:after="0"/>
            </w:pPr>
            <w:r>
              <w:rPr>
                <w:rFonts w:ascii="Calibri" w:hAnsi="Calibri" w:eastAsia="Calibri"/>
                <w:i w:val="0"/>
                <w:color w:val="17232B"/>
                <w:sz w:val="17"/>
              </w:rPr>
              <w:t>Provenance Record</w:t>
            </w:r>
          </w:p>
        </w:tc>
        <w:tc>
          <w:tcPr>
            <w:tcW w:type="dxa" w:w="3672"/>
            <w:shd w:fill="FFFFFF"/>
            <w:vAlign w:val="top"/>
          </w:tcPr>
          <w:p>
            <w:pPr>
              <w:spacing w:after="0"/>
            </w:pPr>
            <w:r>
              <w:rPr>
                <w:rFonts w:ascii="Calibri" w:hAnsi="Calibri" w:eastAsia="Calibri"/>
                <w:i w:val="0"/>
                <w:color w:val="17232B"/>
                <w:sz w:val="17"/>
              </w:rPr>
              <w:t>event/task IDs, parent link, trace context, issuer, time, input/output digests, receipt type, verification status</w:t>
            </w:r>
          </w:p>
        </w:tc>
        <w:tc>
          <w:tcPr>
            <w:tcW w:type="dxa" w:w="3456"/>
            <w:shd w:fill="FFFFFF"/>
            <w:vAlign w:val="top"/>
          </w:tcPr>
          <w:p>
            <w:pPr>
              <w:spacing w:after="0"/>
            </w:pPr>
            <w:r>
              <w:rPr>
                <w:rFonts w:ascii="Calibri" w:hAnsi="Calibri" w:eastAsia="Calibri"/>
                <w:i w:val="0"/>
                <w:color w:val="17232B"/>
                <w:sz w:val="17"/>
              </w:rPr>
              <w:t>PROV graph, in-toto predicate, selective-disclosure proof, evaluation scores</w:t>
            </w:r>
          </w:p>
        </w:tc>
      </w:tr>
    </w:tbl>
    <w:p>
      <w:pPr>
        <w:pStyle w:val="TableCitation"/>
      </w:pPr>
      <w:r>
        <w:t>Source: synthesis of cited specifications; assessments are the author’s analysis.</w:t>
      </w:r>
    </w:p>
    <w:p>
      <w:r>
        <w:rPr>
          <w:rFonts w:ascii="Calibri" w:hAnsi="Calibri" w:eastAsia="Calibri"/>
          <w:i w:val="0"/>
          <w:color w:val="17232B"/>
          <w:sz w:val="22"/>
        </w:rPr>
        <w:t>An illustrative task message:</w:t>
      </w:r>
    </w:p>
    <w:tbl>
      <w:tblPr>
        <w:tblW w:type="dxa" w:w="9360"/>
        <w:jc w:val="left"/>
        <w:tblLayout w:type="fixed"/>
        <w:tblLook w:firstColumn="1" w:firstRow="1" w:lastColumn="0" w:lastRow="0" w:noHBand="0" w:noVBand="1" w:val="04A0"/>
        <w:tblInd w:w="120" w:type="dxa"/>
        <w:tblBorders>
          <w:top w:val="single" w:sz="4" w:space="0" w:color="24343E"/>
          <w:left w:val="single" w:sz="4" w:space="0" w:color="24343E"/>
          <w:bottom w:val="single" w:sz="4" w:space="0" w:color="24343E"/>
          <w:right w:val="single" w:sz="4" w:space="0" w:color="24343E"/>
          <w:insideH w:val="single" w:sz="4" w:space="0" w:color="24343E"/>
          <w:insideV w:val="single" w:sz="4" w:space="0" w:color="24343E"/>
        </w:tblBorders>
      </w:tblPr>
      <w:tblGrid>
        <w:gridCol w:w="9360"/>
      </w:tblGrid>
      <w:tr>
        <w:trPr>
          <w:cantSplit/>
        </w:trPr>
        <w:tc>
          <w:tcPr>
            <w:tcW w:type="dxa" w:w="9360"/>
            <w:tcMar>
              <w:top w:w="130" w:type="dxa"/>
              <w:start w:w="170" w:type="dxa"/>
              <w:bottom w:w="130" w:type="dxa"/>
              <w:end w:w="170" w:type="dxa"/>
            </w:tcMar>
            <w:shd w:fill="17232B"/>
          </w:tcPr>
          <w:p>
            <w:pPr>
              <w:spacing w:after="0" w:line="228" w:lineRule="auto"/>
            </w:pPr>
            <w:r>
              <w:rPr>
                <w:rFonts w:ascii="Consolas" w:hAnsi="Consolas" w:eastAsia="Consolas"/>
                <w:color w:val="FFFFFF"/>
                <w:sz w:val="14"/>
              </w:rPr>
              <w:t>{</w:t>
              <w:br/>
              <w:t xml:space="preserve">  "specversion": "cell-ap/0.1",</w:t>
              <w:br/>
              <w:t xml:space="preserve">  "type": "TASK",</w:t>
              <w:br/>
              <w:t xml:space="preserve">  "id": "evt-01J...",</w:t>
              <w:br/>
              <w:t xml:space="preserve">  "source": "spiffe://acme.example/cells/release/operative/tester",</w:t>
              <w:br/>
              <w:t xml:space="preserve">  "time": "2026-09-04T10:15:00Z",</w:t>
              <w:br/>
              <w:t xml:space="preserve">  "mission": {</w:t>
              <w:br/>
              <w:t xml:space="preserve">    "id": "mission-release-184",</w:t>
              <w:br/>
              <w:t xml:space="preserve">    "objective": "Verify release candidate against acceptance suite",</w:t>
              <w:br/>
              <w:t xml:space="preserve">    "success": ["tests.pass", "security.receipt.valid"],</w:t>
              <w:br/>
              <w:t xml:space="preserve">    "risk_class": "R2",</w:t>
              <w:br/>
              <w:t xml:space="preserve">    "expires_at": "2026-09-04T12:00:00Z"</w:t>
              <w:br/>
              <w:t xml:space="preserve">  },</w:t>
              <w:br/>
              <w:t xml:space="preserve">  "authority": {</w:t>
              <w:br/>
              <w:t xml:space="preserve">    "principal": "org:acme/release-board",</w:t>
              <w:br/>
              <w:t xml:space="preserve">    "allow": ["artifact.read", "sandbox.execute", "receipt.issue"],</w:t>
              <w:br/>
              <w:t xml:space="preserve">    "deny": ["production.deploy", "source.modify"],</w:t>
              <w:br/>
              <w:t xml:space="preserve">    "delegation_depth_remaining": 0,</w:t>
              <w:br/>
              <w:t xml:space="preserve">    "approval_if": ["external_network", "cost_over:20USD"]</w:t>
              <w:br/>
              <w:t xml:space="preserve">  },</w:t>
              <w:br/>
              <w:t xml:space="preserve">  "provenance": {</w:t>
              <w:br/>
              <w:t xml:space="preserve">    "traceparent": "00-4bf92f...-00f067...-01",</w:t>
              <w:br/>
              <w:t xml:space="preserve">    "input_digests": ["sha256:9e1..."],</w:t>
              <w:br/>
              <w:t xml:space="preserve">    "required_receipts": ["test", "security"],</w:t>
              <w:br/>
              <w:t xml:space="preserve">    "schema": "urn:cell-os:ap:task:0.1"</w:t>
              <w:br/>
              <w:t xml:space="preserve">  },</w:t>
              <w:br/>
              <w:t xml:space="preserve">  "payload": {"artifact_ref": "urn:cell-image:release-candidate@sha256:9e1..."}</w:t>
              <w:br/>
              <w:t>}</w:t>
            </w:r>
          </w:p>
        </w:tc>
      </w:tr>
    </w:tbl>
    <w:p>
      <w:r>
        <w:rPr>
          <w:rFonts w:ascii="Calibri" w:hAnsi="Calibri" w:eastAsia="Calibri"/>
          <w:i w:val="0"/>
          <w:color w:val="17232B"/>
          <w:sz w:val="22"/>
        </w:rPr>
        <w:t>The example is deliberately declarative. It gives the receiving operative enough information to validate the job and its boundaries without dictating how the operative reasons.</w:t>
      </w:r>
    </w:p>
    <w:p>
      <w:pPr>
        <w:pStyle w:val="Heading2"/>
        <w:keepNext/>
        <w:keepLines/>
      </w:pPr>
      <w:r>
        <w:t>Canonical event vocabulary</w:t>
      </w:r>
    </w:p>
    <w:p>
      <w:r>
        <w:rPr>
          <w:rFonts w:ascii="Calibri" w:hAnsi="Calibri" w:eastAsia="Calibri"/>
          <w:i w:val="0"/>
          <w:color w:val="17232B"/>
          <w:sz w:val="22"/>
        </w:rPr>
        <w:t>The existing CellBus vocabulary maps cleanly into CELL//AP:</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232"/>
        <w:gridCol w:w="3672"/>
        <w:gridCol w:w="3456"/>
      </w:tblGrid>
      <w:tr>
        <w:trPr>
          <w:tblHeader w:val="true"/>
          <w:cantSplit/>
        </w:trPr>
        <w:tc>
          <w:tcPr>
            <w:tcW w:type="dxa" w:w="2232"/>
            <w:tcMar>
              <w:top w:w="80" w:type="dxa"/>
              <w:start w:w="120" w:type="dxa"/>
              <w:bottom w:w="80" w:type="dxa"/>
              <w:end w:w="120" w:type="dxa"/>
            </w:tcMar>
            <w:shd w:fill="17232B"/>
          </w:tcPr>
          <w:p>
            <w:pPr>
              <w:spacing w:after="0"/>
            </w:pPr>
            <w:r>
              <w:rPr>
                <w:rFonts w:ascii="Calibri" w:hAnsi="Calibri" w:eastAsia="Calibri"/>
                <w:i w:val="0"/>
                <w:color w:val="FFFFFF"/>
                <w:sz w:val="18"/>
              </w:rPr>
              <w:t>Event class</w:t>
            </w:r>
          </w:p>
        </w:tc>
        <w:tc>
          <w:tcPr>
            <w:tcW w:type="dxa" w:w="3672"/>
            <w:tcMar>
              <w:top w:w="80" w:type="dxa"/>
              <w:start w:w="120" w:type="dxa"/>
              <w:bottom w:w="80" w:type="dxa"/>
              <w:end w:w="120" w:type="dxa"/>
            </w:tcMar>
            <w:shd w:fill="17232B"/>
          </w:tcPr>
          <w:p>
            <w:pPr>
              <w:spacing w:after="0"/>
            </w:pPr>
            <w:r>
              <w:rPr>
                <w:rFonts w:ascii="Calibri" w:hAnsi="Calibri" w:eastAsia="Calibri"/>
                <w:i w:val="0"/>
                <w:color w:val="FFFFFF"/>
                <w:sz w:val="18"/>
              </w:rPr>
              <w:t>Purpose</w:t>
            </w:r>
          </w:p>
        </w:tc>
        <w:tc>
          <w:tcPr>
            <w:tcW w:type="dxa" w:w="3456"/>
            <w:tcMar>
              <w:top w:w="80" w:type="dxa"/>
              <w:start w:w="120" w:type="dxa"/>
              <w:bottom w:w="80" w:type="dxa"/>
              <w:end w:w="120" w:type="dxa"/>
            </w:tcMar>
            <w:shd w:fill="17232B"/>
          </w:tcPr>
          <w:p>
            <w:pPr>
              <w:spacing w:after="0"/>
            </w:pPr>
            <w:r>
              <w:rPr>
                <w:rFonts w:ascii="Calibri" w:hAnsi="Calibri" w:eastAsia="Calibri"/>
                <w:i w:val="0"/>
                <w:color w:val="FFFFFF"/>
                <w:sz w:val="18"/>
              </w:rPr>
              <w:t>Typical required receipt</w:t>
            </w:r>
          </w:p>
        </w:tc>
      </w:tr>
      <w:tr>
        <w:trPr>
          <w:cantSplit/>
        </w:trPr>
        <w:tc>
          <w:tcPr>
            <w:tcW w:type="dxa" w:w="2232"/>
            <w:shd w:fill="FFFFFF"/>
            <w:vAlign w:val="top"/>
          </w:tcPr>
          <w:p>
            <w:pPr>
              <w:spacing w:after="0"/>
            </w:pPr>
            <w:r>
              <w:rPr>
                <w:rFonts w:ascii="Calibri" w:hAnsi="Calibri" w:eastAsia="Calibri"/>
                <w:i w:val="0"/>
                <w:color w:val="17232B"/>
                <w:sz w:val="17"/>
              </w:rPr>
              <w:t>TASK</w:t>
            </w:r>
          </w:p>
        </w:tc>
        <w:tc>
          <w:tcPr>
            <w:tcW w:type="dxa" w:w="3672"/>
            <w:shd w:fill="FFFFFF"/>
            <w:vAlign w:val="top"/>
          </w:tcPr>
          <w:p>
            <w:pPr>
              <w:spacing w:after="0"/>
            </w:pPr>
            <w:r>
              <w:rPr>
                <w:rFonts w:ascii="Calibri" w:hAnsi="Calibri" w:eastAsia="Calibri"/>
                <w:i w:val="0"/>
                <w:color w:val="17232B"/>
                <w:sz w:val="17"/>
              </w:rPr>
              <w:t>Assign bounded work</w:t>
            </w:r>
          </w:p>
        </w:tc>
        <w:tc>
          <w:tcPr>
            <w:tcW w:type="dxa" w:w="3456"/>
            <w:shd w:fill="FFFFFF"/>
            <w:vAlign w:val="top"/>
          </w:tcPr>
          <w:p>
            <w:pPr>
              <w:spacing w:after="0"/>
            </w:pPr>
            <w:r>
              <w:rPr>
                <w:rFonts w:ascii="Calibri" w:hAnsi="Calibri" w:eastAsia="Calibri"/>
                <w:i w:val="0"/>
                <w:color w:val="17232B"/>
                <w:sz w:val="17"/>
              </w:rPr>
              <w:t>acceptance or rejection receipt</w:t>
            </w:r>
          </w:p>
        </w:tc>
      </w:tr>
      <w:tr>
        <w:trPr>
          <w:cantSplit/>
        </w:trPr>
        <w:tc>
          <w:tcPr>
            <w:tcW w:type="dxa" w:w="2232"/>
            <w:shd w:fill="F8FAFB"/>
            <w:vAlign w:val="top"/>
          </w:tcPr>
          <w:p>
            <w:pPr>
              <w:spacing w:after="0"/>
            </w:pPr>
            <w:r>
              <w:rPr>
                <w:rFonts w:ascii="Calibri" w:hAnsi="Calibri" w:eastAsia="Calibri"/>
                <w:i w:val="0"/>
                <w:color w:val="17232B"/>
                <w:sz w:val="17"/>
              </w:rPr>
              <w:t>CLAIM</w:t>
            </w:r>
          </w:p>
        </w:tc>
        <w:tc>
          <w:tcPr>
            <w:tcW w:type="dxa" w:w="3672"/>
            <w:shd w:fill="F8FAFB"/>
            <w:vAlign w:val="top"/>
          </w:tcPr>
          <w:p>
            <w:pPr>
              <w:spacing w:after="0"/>
            </w:pPr>
            <w:r>
              <w:rPr>
                <w:rFonts w:ascii="Calibri" w:hAnsi="Calibri" w:eastAsia="Calibri"/>
                <w:i w:val="0"/>
                <w:color w:val="17232B"/>
                <w:sz w:val="17"/>
              </w:rPr>
              <w:t>Assert a fact or result</w:t>
            </w:r>
          </w:p>
        </w:tc>
        <w:tc>
          <w:tcPr>
            <w:tcW w:type="dxa" w:w="3456"/>
            <w:shd w:fill="F8FAFB"/>
            <w:vAlign w:val="top"/>
          </w:tcPr>
          <w:p>
            <w:pPr>
              <w:spacing w:after="0"/>
            </w:pPr>
            <w:r>
              <w:rPr>
                <w:rFonts w:ascii="Calibri" w:hAnsi="Calibri" w:eastAsia="Calibri"/>
                <w:i w:val="0"/>
                <w:color w:val="17232B"/>
                <w:sz w:val="17"/>
              </w:rPr>
              <w:t>evidence or verifier receipt</w:t>
            </w:r>
          </w:p>
        </w:tc>
      </w:tr>
      <w:tr>
        <w:trPr>
          <w:cantSplit/>
        </w:trPr>
        <w:tc>
          <w:tcPr>
            <w:tcW w:type="dxa" w:w="2232"/>
            <w:shd w:fill="FFFFFF"/>
            <w:vAlign w:val="top"/>
          </w:tcPr>
          <w:p>
            <w:pPr>
              <w:spacing w:after="0"/>
            </w:pPr>
            <w:r>
              <w:rPr>
                <w:rFonts w:ascii="Calibri" w:hAnsi="Calibri" w:eastAsia="Calibri"/>
                <w:i w:val="0"/>
                <w:color w:val="17232B"/>
                <w:sz w:val="17"/>
              </w:rPr>
              <w:t>EVIDENCE</w:t>
            </w:r>
          </w:p>
        </w:tc>
        <w:tc>
          <w:tcPr>
            <w:tcW w:type="dxa" w:w="3672"/>
            <w:shd w:fill="FFFFFF"/>
            <w:vAlign w:val="top"/>
          </w:tcPr>
          <w:p>
            <w:pPr>
              <w:spacing w:after="0"/>
            </w:pPr>
            <w:r>
              <w:rPr>
                <w:rFonts w:ascii="Calibri" w:hAnsi="Calibri" w:eastAsia="Calibri"/>
                <w:i w:val="0"/>
                <w:color w:val="17232B"/>
                <w:sz w:val="17"/>
              </w:rPr>
              <w:t>Attach or reference support</w:t>
            </w:r>
          </w:p>
        </w:tc>
        <w:tc>
          <w:tcPr>
            <w:tcW w:type="dxa" w:w="3456"/>
            <w:shd w:fill="FFFFFF"/>
            <w:vAlign w:val="top"/>
          </w:tcPr>
          <w:p>
            <w:pPr>
              <w:spacing w:after="0"/>
            </w:pPr>
            <w:r>
              <w:rPr>
                <w:rFonts w:ascii="Calibri" w:hAnsi="Calibri" w:eastAsia="Calibri"/>
                <w:i w:val="0"/>
                <w:color w:val="17232B"/>
                <w:sz w:val="17"/>
              </w:rPr>
              <w:t>integrity and access receipt</w:t>
            </w:r>
          </w:p>
        </w:tc>
      </w:tr>
      <w:tr>
        <w:trPr>
          <w:cantSplit/>
        </w:trPr>
        <w:tc>
          <w:tcPr>
            <w:tcW w:type="dxa" w:w="2232"/>
            <w:shd w:fill="F8FAFB"/>
            <w:vAlign w:val="top"/>
          </w:tcPr>
          <w:p>
            <w:pPr>
              <w:spacing w:after="0"/>
            </w:pPr>
            <w:r>
              <w:rPr>
                <w:rFonts w:ascii="Calibri" w:hAnsi="Calibri" w:eastAsia="Calibri"/>
                <w:i w:val="0"/>
                <w:color w:val="17232B"/>
                <w:sz w:val="17"/>
              </w:rPr>
              <w:t>DECISION</w:t>
            </w:r>
          </w:p>
        </w:tc>
        <w:tc>
          <w:tcPr>
            <w:tcW w:type="dxa" w:w="3672"/>
            <w:shd w:fill="F8FAFB"/>
            <w:vAlign w:val="top"/>
          </w:tcPr>
          <w:p>
            <w:pPr>
              <w:spacing w:after="0"/>
            </w:pPr>
            <w:r>
              <w:rPr>
                <w:rFonts w:ascii="Calibri" w:hAnsi="Calibri" w:eastAsia="Calibri"/>
                <w:i w:val="0"/>
                <w:color w:val="17232B"/>
                <w:sz w:val="17"/>
              </w:rPr>
              <w:t>Record a selected course</w:t>
            </w:r>
          </w:p>
        </w:tc>
        <w:tc>
          <w:tcPr>
            <w:tcW w:type="dxa" w:w="3456"/>
            <w:shd w:fill="F8FAFB"/>
            <w:vAlign w:val="top"/>
          </w:tcPr>
          <w:p>
            <w:pPr>
              <w:spacing w:after="0"/>
            </w:pPr>
            <w:r>
              <w:rPr>
                <w:rFonts w:ascii="Calibri" w:hAnsi="Calibri" w:eastAsia="Calibri"/>
                <w:i w:val="0"/>
                <w:color w:val="17232B"/>
                <w:sz w:val="17"/>
              </w:rPr>
              <w:t>policy/version and approver receipt</w:t>
            </w:r>
          </w:p>
        </w:tc>
      </w:tr>
      <w:tr>
        <w:trPr>
          <w:cantSplit/>
        </w:trPr>
        <w:tc>
          <w:tcPr>
            <w:tcW w:type="dxa" w:w="2232"/>
            <w:shd w:fill="FFFFFF"/>
            <w:vAlign w:val="top"/>
          </w:tcPr>
          <w:p>
            <w:pPr>
              <w:spacing w:after="0"/>
            </w:pPr>
            <w:r>
              <w:rPr>
                <w:rFonts w:ascii="Calibri" w:hAnsi="Calibri" w:eastAsia="Calibri"/>
                <w:i w:val="0"/>
                <w:color w:val="17232B"/>
                <w:sz w:val="17"/>
              </w:rPr>
              <w:t>HANDOFF</w:t>
            </w:r>
          </w:p>
        </w:tc>
        <w:tc>
          <w:tcPr>
            <w:tcW w:type="dxa" w:w="3672"/>
            <w:shd w:fill="FFFFFF"/>
            <w:vAlign w:val="top"/>
          </w:tcPr>
          <w:p>
            <w:pPr>
              <w:spacing w:after="0"/>
            </w:pPr>
            <w:r>
              <w:rPr>
                <w:rFonts w:ascii="Calibri" w:hAnsi="Calibri" w:eastAsia="Calibri"/>
                <w:i w:val="0"/>
                <w:color w:val="17232B"/>
                <w:sz w:val="17"/>
              </w:rPr>
              <w:t>Transfer responsibility and state</w:t>
            </w:r>
          </w:p>
        </w:tc>
        <w:tc>
          <w:tcPr>
            <w:tcW w:type="dxa" w:w="3456"/>
            <w:shd w:fill="FFFFFF"/>
            <w:vAlign w:val="top"/>
          </w:tcPr>
          <w:p>
            <w:pPr>
              <w:spacing w:after="0"/>
            </w:pPr>
            <w:r>
              <w:rPr>
                <w:rFonts w:ascii="Calibri" w:hAnsi="Calibri" w:eastAsia="Calibri"/>
                <w:i w:val="0"/>
                <w:color w:val="17232B"/>
                <w:sz w:val="17"/>
              </w:rPr>
              <w:t>recipient acceptance receipt</w:t>
            </w:r>
          </w:p>
        </w:tc>
      </w:tr>
      <w:tr>
        <w:trPr>
          <w:cantSplit/>
        </w:trPr>
        <w:tc>
          <w:tcPr>
            <w:tcW w:type="dxa" w:w="2232"/>
            <w:shd w:fill="F8FAFB"/>
            <w:vAlign w:val="top"/>
          </w:tcPr>
          <w:p>
            <w:pPr>
              <w:spacing w:after="0"/>
            </w:pPr>
            <w:r>
              <w:rPr>
                <w:rFonts w:ascii="Calibri" w:hAnsi="Calibri" w:eastAsia="Calibri"/>
                <w:i w:val="0"/>
                <w:color w:val="17232B"/>
                <w:sz w:val="17"/>
              </w:rPr>
              <w:t>BLOCKER</w:t>
            </w:r>
          </w:p>
        </w:tc>
        <w:tc>
          <w:tcPr>
            <w:tcW w:type="dxa" w:w="3672"/>
            <w:shd w:fill="F8FAFB"/>
            <w:vAlign w:val="top"/>
          </w:tcPr>
          <w:p>
            <w:pPr>
              <w:spacing w:after="0"/>
            </w:pPr>
            <w:r>
              <w:rPr>
                <w:rFonts w:ascii="Calibri" w:hAnsi="Calibri" w:eastAsia="Calibri"/>
                <w:i w:val="0"/>
                <w:color w:val="17232B"/>
                <w:sz w:val="17"/>
              </w:rPr>
              <w:t>Declare inability to proceed</w:t>
            </w:r>
          </w:p>
        </w:tc>
        <w:tc>
          <w:tcPr>
            <w:tcW w:type="dxa" w:w="3456"/>
            <w:shd w:fill="F8FAFB"/>
            <w:vAlign w:val="top"/>
          </w:tcPr>
          <w:p>
            <w:pPr>
              <w:spacing w:after="0"/>
            </w:pPr>
            <w:r>
              <w:rPr>
                <w:rFonts w:ascii="Calibri" w:hAnsi="Calibri" w:eastAsia="Calibri"/>
                <w:i w:val="0"/>
                <w:color w:val="17232B"/>
                <w:sz w:val="17"/>
              </w:rPr>
              <w:t>reason and escalation route</w:t>
            </w:r>
          </w:p>
        </w:tc>
      </w:tr>
      <w:tr>
        <w:trPr>
          <w:cantSplit/>
        </w:trPr>
        <w:tc>
          <w:tcPr>
            <w:tcW w:type="dxa" w:w="2232"/>
            <w:shd w:fill="FFFFFF"/>
            <w:vAlign w:val="top"/>
          </w:tcPr>
          <w:p>
            <w:pPr>
              <w:spacing w:after="0"/>
            </w:pPr>
            <w:r>
              <w:rPr>
                <w:rFonts w:ascii="Calibri" w:hAnsi="Calibri" w:eastAsia="Calibri"/>
                <w:i w:val="0"/>
                <w:color w:val="17232B"/>
                <w:sz w:val="17"/>
              </w:rPr>
              <w:t>REQUEST</w:t>
            </w:r>
          </w:p>
        </w:tc>
        <w:tc>
          <w:tcPr>
            <w:tcW w:type="dxa" w:w="3672"/>
            <w:shd w:fill="FFFFFF"/>
            <w:vAlign w:val="top"/>
          </w:tcPr>
          <w:p>
            <w:pPr>
              <w:spacing w:after="0"/>
            </w:pPr>
            <w:r>
              <w:rPr>
                <w:rFonts w:ascii="Calibri" w:hAnsi="Calibri" w:eastAsia="Calibri"/>
                <w:i w:val="0"/>
                <w:color w:val="17232B"/>
                <w:sz w:val="17"/>
              </w:rPr>
              <w:t>Ask for data, action, or clarification</w:t>
            </w:r>
          </w:p>
        </w:tc>
        <w:tc>
          <w:tcPr>
            <w:tcW w:type="dxa" w:w="3456"/>
            <w:shd w:fill="FFFFFF"/>
            <w:vAlign w:val="top"/>
          </w:tcPr>
          <w:p>
            <w:pPr>
              <w:spacing w:after="0"/>
            </w:pPr>
            <w:r>
              <w:rPr>
                <w:rFonts w:ascii="Calibri" w:hAnsi="Calibri" w:eastAsia="Calibri"/>
                <w:i w:val="0"/>
                <w:color w:val="17232B"/>
                <w:sz w:val="17"/>
              </w:rPr>
              <w:t>response or expiry receipt</w:t>
            </w:r>
          </w:p>
        </w:tc>
      </w:tr>
      <w:tr>
        <w:trPr>
          <w:cantSplit/>
        </w:trPr>
        <w:tc>
          <w:tcPr>
            <w:tcW w:type="dxa" w:w="2232"/>
            <w:shd w:fill="F8FAFB"/>
            <w:vAlign w:val="top"/>
          </w:tcPr>
          <w:p>
            <w:pPr>
              <w:spacing w:after="0"/>
            </w:pPr>
            <w:r>
              <w:rPr>
                <w:rFonts w:ascii="Calibri" w:hAnsi="Calibri" w:eastAsia="Calibri"/>
                <w:i w:val="0"/>
                <w:color w:val="17232B"/>
                <w:sz w:val="17"/>
              </w:rPr>
              <w:t>CAPABILITY_REQUEST</w:t>
            </w:r>
          </w:p>
        </w:tc>
        <w:tc>
          <w:tcPr>
            <w:tcW w:type="dxa" w:w="3672"/>
            <w:shd w:fill="F8FAFB"/>
            <w:vAlign w:val="top"/>
          </w:tcPr>
          <w:p>
            <w:pPr>
              <w:spacing w:after="0"/>
            </w:pPr>
            <w:r>
              <w:rPr>
                <w:rFonts w:ascii="Calibri" w:hAnsi="Calibri" w:eastAsia="Calibri"/>
                <w:i w:val="0"/>
                <w:color w:val="17232B"/>
                <w:sz w:val="17"/>
              </w:rPr>
              <w:t>Seek an operative/tool matching constraints</w:t>
            </w:r>
          </w:p>
        </w:tc>
        <w:tc>
          <w:tcPr>
            <w:tcW w:type="dxa" w:w="3456"/>
            <w:shd w:fill="F8FAFB"/>
            <w:vAlign w:val="top"/>
          </w:tcPr>
          <w:p>
            <w:pPr>
              <w:spacing w:after="0"/>
            </w:pPr>
            <w:r>
              <w:rPr>
                <w:rFonts w:ascii="Calibri" w:hAnsi="Calibri" w:eastAsia="Calibri"/>
                <w:i w:val="0"/>
                <w:color w:val="17232B"/>
                <w:sz w:val="17"/>
              </w:rPr>
              <w:t>discovery proof</w:t>
            </w:r>
          </w:p>
        </w:tc>
      </w:tr>
      <w:tr>
        <w:trPr>
          <w:cantSplit/>
        </w:trPr>
        <w:tc>
          <w:tcPr>
            <w:tcW w:type="dxa" w:w="2232"/>
            <w:shd w:fill="FFFFFF"/>
            <w:vAlign w:val="top"/>
          </w:tcPr>
          <w:p>
            <w:pPr>
              <w:spacing w:after="0"/>
            </w:pPr>
            <w:r>
              <w:rPr>
                <w:rFonts w:ascii="Calibri" w:hAnsi="Calibri" w:eastAsia="Calibri"/>
                <w:i w:val="0"/>
                <w:color w:val="17232B"/>
                <w:sz w:val="17"/>
              </w:rPr>
              <w:t>STATE_DELTA</w:t>
            </w:r>
          </w:p>
        </w:tc>
        <w:tc>
          <w:tcPr>
            <w:tcW w:type="dxa" w:w="3672"/>
            <w:shd w:fill="FFFFFF"/>
            <w:vAlign w:val="top"/>
          </w:tcPr>
          <w:p>
            <w:pPr>
              <w:spacing w:after="0"/>
            </w:pPr>
            <w:r>
              <w:rPr>
                <w:rFonts w:ascii="Calibri" w:hAnsi="Calibri" w:eastAsia="Calibri"/>
                <w:i w:val="0"/>
                <w:color w:val="17232B"/>
                <w:sz w:val="17"/>
              </w:rPr>
              <w:t>Record a state transition</w:t>
            </w:r>
          </w:p>
        </w:tc>
        <w:tc>
          <w:tcPr>
            <w:tcW w:type="dxa" w:w="3456"/>
            <w:shd w:fill="FFFFFF"/>
            <w:vAlign w:val="top"/>
          </w:tcPr>
          <w:p>
            <w:pPr>
              <w:spacing w:after="0"/>
            </w:pPr>
            <w:r>
              <w:rPr>
                <w:rFonts w:ascii="Calibri" w:hAnsi="Calibri" w:eastAsia="Calibri"/>
                <w:i w:val="0"/>
                <w:color w:val="17232B"/>
                <w:sz w:val="17"/>
              </w:rPr>
              <w:t>prior-state hash and transition rule</w:t>
            </w:r>
          </w:p>
        </w:tc>
      </w:tr>
      <w:tr>
        <w:trPr>
          <w:cantSplit/>
        </w:trPr>
        <w:tc>
          <w:tcPr>
            <w:tcW w:type="dxa" w:w="2232"/>
            <w:shd w:fill="F8FAFB"/>
            <w:vAlign w:val="top"/>
          </w:tcPr>
          <w:p>
            <w:pPr>
              <w:spacing w:after="0"/>
            </w:pPr>
            <w:r>
              <w:rPr>
                <w:rFonts w:ascii="Calibri" w:hAnsi="Calibri" w:eastAsia="Calibri"/>
                <w:i w:val="0"/>
                <w:color w:val="17232B"/>
                <w:sz w:val="17"/>
              </w:rPr>
              <w:t>APPROVAL_REQUEST / APPROVAL_RESPONSE</w:t>
            </w:r>
          </w:p>
        </w:tc>
        <w:tc>
          <w:tcPr>
            <w:tcW w:type="dxa" w:w="3672"/>
            <w:shd w:fill="F8FAFB"/>
            <w:vAlign w:val="top"/>
          </w:tcPr>
          <w:p>
            <w:pPr>
              <w:spacing w:after="0"/>
            </w:pPr>
            <w:r>
              <w:rPr>
                <w:rFonts w:ascii="Calibri" w:hAnsi="Calibri" w:eastAsia="Calibri"/>
                <w:i w:val="0"/>
                <w:color w:val="17232B"/>
                <w:sz w:val="17"/>
              </w:rPr>
              <w:t>Establish an explicit checkpoint</w:t>
            </w:r>
          </w:p>
        </w:tc>
        <w:tc>
          <w:tcPr>
            <w:tcW w:type="dxa" w:w="3456"/>
            <w:shd w:fill="F8FAFB"/>
            <w:vAlign w:val="top"/>
          </w:tcPr>
          <w:p>
            <w:pPr>
              <w:spacing w:after="0"/>
            </w:pPr>
            <w:r>
              <w:rPr>
                <w:rFonts w:ascii="Calibri" w:hAnsi="Calibri" w:eastAsia="Calibri"/>
                <w:i w:val="0"/>
                <w:color w:val="17232B"/>
                <w:sz w:val="17"/>
              </w:rPr>
              <w:t>signed approver response</w:t>
            </w:r>
          </w:p>
        </w:tc>
      </w:tr>
      <w:tr>
        <w:trPr>
          <w:cantSplit/>
        </w:trPr>
        <w:tc>
          <w:tcPr>
            <w:tcW w:type="dxa" w:w="2232"/>
            <w:shd w:fill="FFFFFF"/>
            <w:vAlign w:val="top"/>
          </w:tcPr>
          <w:p>
            <w:pPr>
              <w:spacing w:after="0"/>
            </w:pPr>
            <w:r>
              <w:rPr>
                <w:rFonts w:ascii="Calibri" w:hAnsi="Calibri" w:eastAsia="Calibri"/>
                <w:i w:val="0"/>
                <w:color w:val="17232B"/>
                <w:sz w:val="17"/>
              </w:rPr>
              <w:t>ALERT / ESCALATION</w:t>
            </w:r>
          </w:p>
        </w:tc>
        <w:tc>
          <w:tcPr>
            <w:tcW w:type="dxa" w:w="3672"/>
            <w:shd w:fill="FFFFFF"/>
            <w:vAlign w:val="top"/>
          </w:tcPr>
          <w:p>
            <w:pPr>
              <w:spacing w:after="0"/>
            </w:pPr>
            <w:r>
              <w:rPr>
                <w:rFonts w:ascii="Calibri" w:hAnsi="Calibri" w:eastAsia="Calibri"/>
                <w:i w:val="0"/>
                <w:color w:val="17232B"/>
                <w:sz w:val="17"/>
              </w:rPr>
              <w:t>Raise risk, conflict, or policy exception</w:t>
            </w:r>
          </w:p>
        </w:tc>
        <w:tc>
          <w:tcPr>
            <w:tcW w:type="dxa" w:w="3456"/>
            <w:shd w:fill="FFFFFF"/>
            <w:vAlign w:val="top"/>
          </w:tcPr>
          <w:p>
            <w:pPr>
              <w:spacing w:after="0"/>
            </w:pPr>
            <w:r>
              <w:rPr>
                <w:rFonts w:ascii="Calibri" w:hAnsi="Calibri" w:eastAsia="Calibri"/>
                <w:i w:val="0"/>
                <w:color w:val="17232B"/>
                <w:sz w:val="17"/>
              </w:rPr>
              <w:t>acknowledgment and disposition</w:t>
            </w:r>
          </w:p>
        </w:tc>
      </w:tr>
      <w:tr>
        <w:trPr>
          <w:cantSplit/>
        </w:trPr>
        <w:tc>
          <w:tcPr>
            <w:tcW w:type="dxa" w:w="2232"/>
            <w:shd w:fill="F8FAFB"/>
            <w:vAlign w:val="top"/>
          </w:tcPr>
          <w:p>
            <w:pPr>
              <w:spacing w:after="0"/>
            </w:pPr>
            <w:r>
              <w:rPr>
                <w:rFonts w:ascii="Calibri" w:hAnsi="Calibri" w:eastAsia="Calibri"/>
                <w:i w:val="0"/>
                <w:color w:val="17232B"/>
                <w:sz w:val="17"/>
              </w:rPr>
              <w:t>REVOCATION</w:t>
            </w:r>
          </w:p>
        </w:tc>
        <w:tc>
          <w:tcPr>
            <w:tcW w:type="dxa" w:w="3672"/>
            <w:shd w:fill="F8FAFB"/>
            <w:vAlign w:val="top"/>
          </w:tcPr>
          <w:p>
            <w:pPr>
              <w:spacing w:after="0"/>
            </w:pPr>
            <w:r>
              <w:rPr>
                <w:rFonts w:ascii="Calibri" w:hAnsi="Calibri" w:eastAsia="Calibri"/>
                <w:i w:val="0"/>
                <w:color w:val="17232B"/>
                <w:sz w:val="17"/>
              </w:rPr>
              <w:t>Withdraw authority, identity, or capability</w:t>
            </w:r>
          </w:p>
        </w:tc>
        <w:tc>
          <w:tcPr>
            <w:tcW w:type="dxa" w:w="3456"/>
            <w:shd w:fill="F8FAFB"/>
            <w:vAlign w:val="top"/>
          </w:tcPr>
          <w:p>
            <w:pPr>
              <w:spacing w:after="0"/>
            </w:pPr>
            <w:r>
              <w:rPr>
                <w:rFonts w:ascii="Calibri" w:hAnsi="Calibri" w:eastAsia="Calibri"/>
                <w:i w:val="0"/>
                <w:color w:val="17232B"/>
                <w:sz w:val="17"/>
              </w:rPr>
              <w:t>propagation and enforcement receipt</w:t>
            </w:r>
          </w:p>
        </w:tc>
      </w:tr>
    </w:tbl>
    <w:p>
      <w:pPr>
        <w:pStyle w:val="TableCitation"/>
      </w:pPr>
      <w:r>
        <w:t>Source: synthesis of cited specifications; assessments are the author’s analysis.</w:t>
      </w:r>
    </w:p>
    <w:p>
      <w:r>
        <w:rPr>
          <w:rFonts w:ascii="Calibri" w:hAnsi="Calibri" w:eastAsia="Calibri"/>
          <w:i w:val="0"/>
          <w:color w:val="17232B"/>
          <w:sz w:val="22"/>
        </w:rPr>
        <w:t>All event types share correlation, idempotency, expiry, classification, and schema-version fields. Domain-specific events use namespaced extensions rather than adding unbounded Core verbs.</w:t>
      </w:r>
    </w:p>
    <w:p>
      <w:pPr>
        <w:pStyle w:val="Heading2"/>
        <w:keepNext/>
        <w:keepLines/>
      </w:pPr>
      <w:r>
        <w:t>Lifecycle</w:t>
      </w:r>
    </w:p>
    <w:p>
      <w:r>
        <w:rPr>
          <w:rFonts w:ascii="Calibri" w:hAnsi="Calibri" w:eastAsia="Calibri"/>
          <w:i w:val="0"/>
          <w:color w:val="17232B"/>
          <w:sz w:val="22"/>
        </w:rPr>
        <w:t>CELL//AP should use a strict state machine that maps to A2A states but adds governance detail:</w:t>
      </w:r>
    </w:p>
    <w:p>
      <w:r>
        <w:rPr>
          <w:rFonts w:ascii="Consolas" w:hAnsi="Consolas" w:eastAsia="Consolas"/>
          <w:b/>
          <w:color w:val="007783"/>
          <w:sz w:val="21"/>
          <w:shd w:fill="E9F7F8"/>
        </w:rPr>
        <w:t>DRAFT → OFFERED → ACCEPTED → ACTIVE → COMPLETED</w:t>
      </w:r>
    </w:p>
    <w:p>
      <w:r>
        <w:rPr>
          <w:rFonts w:ascii="Calibri" w:hAnsi="Calibri" w:eastAsia="Calibri"/>
          <w:i w:val="0"/>
          <w:color w:val="17232B"/>
          <w:sz w:val="22"/>
        </w:rPr>
        <w:t xml:space="preserve">From </w:t>
      </w:r>
      <w:r>
        <w:rPr>
          <w:rFonts w:ascii="Consolas" w:hAnsi="Consolas" w:eastAsia="Consolas"/>
          <w:b/>
          <w:color w:val="007783"/>
          <w:sz w:val="21"/>
          <w:shd w:fill="E9F7F8"/>
        </w:rPr>
        <w:t>ACTIVE</w:t>
      </w:r>
      <w:r>
        <w:rPr>
          <w:rFonts w:ascii="Calibri" w:hAnsi="Calibri" w:eastAsia="Calibri"/>
          <w:i w:val="0"/>
          <w:color w:val="17232B"/>
          <w:sz w:val="22"/>
        </w:rPr>
        <w:t xml:space="preserve">, a task may enter </w:t>
      </w:r>
      <w:r>
        <w:rPr>
          <w:rFonts w:ascii="Consolas" w:hAnsi="Consolas" w:eastAsia="Consolas"/>
          <w:b/>
          <w:color w:val="007783"/>
          <w:sz w:val="21"/>
          <w:shd w:fill="E9F7F8"/>
        </w:rPr>
        <w:t>WAITING_INPUT</w:t>
      </w:r>
      <w:r>
        <w:rPr>
          <w:rFonts w:ascii="Calibri" w:hAnsi="Calibri" w:eastAsia="Calibri"/>
          <w:i w:val="0"/>
          <w:color w:val="17232B"/>
          <w:sz w:val="22"/>
        </w:rPr>
        <w:t xml:space="preserve">, </w:t>
      </w:r>
      <w:r>
        <w:rPr>
          <w:rFonts w:ascii="Consolas" w:hAnsi="Consolas" w:eastAsia="Consolas"/>
          <w:b/>
          <w:color w:val="007783"/>
          <w:sz w:val="21"/>
          <w:shd w:fill="E9F7F8"/>
        </w:rPr>
        <w:t>WAITING_APPROVAL</w:t>
      </w:r>
      <w:r>
        <w:rPr>
          <w:rFonts w:ascii="Calibri" w:hAnsi="Calibri" w:eastAsia="Calibri"/>
          <w:i w:val="0"/>
          <w:color w:val="17232B"/>
          <w:sz w:val="22"/>
        </w:rPr>
        <w:t xml:space="preserve">, or </w:t>
      </w:r>
      <w:r>
        <w:rPr>
          <w:rFonts w:ascii="Consolas" w:hAnsi="Consolas" w:eastAsia="Consolas"/>
          <w:b/>
          <w:color w:val="007783"/>
          <w:sz w:val="21"/>
          <w:shd w:fill="E9F7F8"/>
        </w:rPr>
        <w:t>BLOCKED</w:t>
      </w:r>
      <w:r>
        <w:rPr>
          <w:rFonts w:ascii="Calibri" w:hAnsi="Calibri" w:eastAsia="Calibri"/>
          <w:i w:val="0"/>
          <w:color w:val="17232B"/>
          <w:sz w:val="22"/>
        </w:rPr>
        <w:t xml:space="preserve">, then return to </w:t>
      </w:r>
      <w:r>
        <w:rPr>
          <w:rFonts w:ascii="Consolas" w:hAnsi="Consolas" w:eastAsia="Consolas"/>
          <w:b/>
          <w:color w:val="007783"/>
          <w:sz w:val="21"/>
          <w:shd w:fill="E9F7F8"/>
        </w:rPr>
        <w:t>ACTIVE</w:t>
      </w:r>
      <w:r>
        <w:rPr>
          <w:rFonts w:ascii="Calibri" w:hAnsi="Calibri" w:eastAsia="Calibri"/>
          <w:i w:val="0"/>
          <w:color w:val="17232B"/>
          <w:sz w:val="22"/>
        </w:rPr>
        <w:t xml:space="preserve">. Terminal alternatives are </w:t>
      </w:r>
      <w:r>
        <w:rPr>
          <w:rFonts w:ascii="Consolas" w:hAnsi="Consolas" w:eastAsia="Consolas"/>
          <w:b/>
          <w:color w:val="007783"/>
          <w:sz w:val="21"/>
          <w:shd w:fill="E9F7F8"/>
        </w:rPr>
        <w:t>FAILED</w:t>
      </w:r>
      <w:r>
        <w:rPr>
          <w:rFonts w:ascii="Calibri" w:hAnsi="Calibri" w:eastAsia="Calibri"/>
          <w:i w:val="0"/>
          <w:color w:val="17232B"/>
          <w:sz w:val="22"/>
        </w:rPr>
        <w:t xml:space="preserve">, </w:t>
      </w:r>
      <w:r>
        <w:rPr>
          <w:rFonts w:ascii="Consolas" w:hAnsi="Consolas" w:eastAsia="Consolas"/>
          <w:b/>
          <w:color w:val="007783"/>
          <w:sz w:val="21"/>
          <w:shd w:fill="E9F7F8"/>
        </w:rPr>
        <w:t>CANCELED</w:t>
      </w:r>
      <w:r>
        <w:rPr>
          <w:rFonts w:ascii="Calibri" w:hAnsi="Calibri" w:eastAsia="Calibri"/>
          <w:i w:val="0"/>
          <w:color w:val="17232B"/>
          <w:sz w:val="22"/>
        </w:rPr>
        <w:t xml:space="preserve">, </w:t>
      </w:r>
      <w:r>
        <w:rPr>
          <w:rFonts w:ascii="Consolas" w:hAnsi="Consolas" w:eastAsia="Consolas"/>
          <w:b/>
          <w:color w:val="007783"/>
          <w:sz w:val="21"/>
          <w:shd w:fill="E9F7F8"/>
        </w:rPr>
        <w:t>REJECTED</w:t>
      </w:r>
      <w:r>
        <w:rPr>
          <w:rFonts w:ascii="Calibri" w:hAnsi="Calibri" w:eastAsia="Calibri"/>
          <w:i w:val="0"/>
          <w:color w:val="17232B"/>
          <w:sz w:val="22"/>
        </w:rPr>
        <w:t xml:space="preserve">, </w:t>
      </w:r>
      <w:r>
        <w:rPr>
          <w:rFonts w:ascii="Consolas" w:hAnsi="Consolas" w:eastAsia="Consolas"/>
          <w:b/>
          <w:color w:val="007783"/>
          <w:sz w:val="21"/>
          <w:shd w:fill="E9F7F8"/>
        </w:rPr>
        <w:t>EXPIRED</w:t>
      </w:r>
      <w:r>
        <w:rPr>
          <w:rFonts w:ascii="Calibri" w:hAnsi="Calibri" w:eastAsia="Calibri"/>
          <w:i w:val="0"/>
          <w:color w:val="17232B"/>
          <w:sz w:val="22"/>
        </w:rPr>
        <w:t xml:space="preserve">, and </w:t>
      </w:r>
      <w:r>
        <w:rPr>
          <w:rFonts w:ascii="Consolas" w:hAnsi="Consolas" w:eastAsia="Consolas"/>
          <w:b/>
          <w:color w:val="007783"/>
          <w:sz w:val="21"/>
          <w:shd w:fill="E9F7F8"/>
        </w:rPr>
        <w:t>REVOKED</w:t>
      </w:r>
      <w:r>
        <w:rPr>
          <w:rFonts w:ascii="Calibri" w:hAnsi="Calibri" w:eastAsia="Calibri"/>
          <w:i w:val="0"/>
          <w:color w:val="17232B"/>
          <w:sz w:val="22"/>
        </w:rPr>
        <w:t>.</w:t>
      </w:r>
    </w:p>
    <w:p>
      <w:r>
        <w:rPr>
          <w:rFonts w:ascii="Calibri" w:hAnsi="Calibri" w:eastAsia="Calibri"/>
          <w:i w:val="0"/>
          <w:color w:val="17232B"/>
          <w:sz w:val="22"/>
        </w:rPr>
        <w:t>Rules:</w:t>
      </w:r>
    </w:p>
    <w:p>
      <w:pPr>
        <w:keepLines/>
        <w:numPr>
          <w:ilvl w:val="0"/>
          <w:numId w:val="10"/>
        </w:numPr>
        <w:spacing w:after="160" w:line="280" w:lineRule="auto"/>
        <w:ind w:left="720" w:hanging="360"/>
      </w:pPr>
      <w:r>
        <w:rPr>
          <w:rFonts w:ascii="Calibri" w:hAnsi="Calibri" w:eastAsia="Calibri"/>
          <w:i w:val="0"/>
          <w:color w:val="17232B"/>
          <w:sz w:val="22"/>
        </w:rPr>
        <w:t xml:space="preserve">every transition is an immutable </w:t>
      </w:r>
      <w:r>
        <w:rPr>
          <w:rFonts w:ascii="Consolas" w:hAnsi="Consolas" w:eastAsia="Consolas"/>
          <w:b/>
          <w:color w:val="007783"/>
          <w:sz w:val="21"/>
          <w:shd w:fill="E9F7F8"/>
        </w:rPr>
        <w:t>STATE_DELTA</w:t>
      </w:r>
      <w:r>
        <w:rPr>
          <w:rFonts w:ascii="Calibri" w:hAnsi="Calibri" w:eastAsia="Calibri"/>
          <w:i w:val="0"/>
          <w:color w:val="17232B"/>
          <w:sz w:val="22"/>
        </w:rPr>
        <w:t xml:space="preserve"> receipt;</w:t>
      </w:r>
    </w:p>
    <w:p>
      <w:pPr>
        <w:keepLines/>
        <w:numPr>
          <w:ilvl w:val="0"/>
          <w:numId w:val="10"/>
        </w:numPr>
        <w:spacing w:after="160" w:line="280" w:lineRule="auto"/>
        <w:ind w:left="720" w:hanging="360"/>
      </w:pPr>
      <w:r>
        <w:rPr>
          <w:rFonts w:ascii="Calibri" w:hAnsi="Calibri" w:eastAsia="Calibri"/>
          <w:i w:val="0"/>
          <w:color w:val="17232B"/>
          <w:sz w:val="22"/>
        </w:rPr>
        <w:t>only named actors may trigger each transition;</w:t>
      </w:r>
    </w:p>
    <w:p>
      <w:pPr>
        <w:keepLines/>
        <w:numPr>
          <w:ilvl w:val="0"/>
          <w:numId w:val="10"/>
        </w:numPr>
        <w:spacing w:after="160" w:line="280" w:lineRule="auto"/>
        <w:ind w:left="720" w:hanging="360"/>
      </w:pPr>
      <w:r>
        <w:rPr>
          <w:rFonts w:ascii="Calibri" w:hAnsi="Calibri" w:eastAsia="Calibri"/>
          <w:i w:val="0"/>
          <w:color w:val="17232B"/>
          <w:sz w:val="22"/>
        </w:rPr>
        <w:t>cancellation and revocation are distinct—cancellation stops a task; revocation invalidates authority;</w:t>
      </w:r>
    </w:p>
    <w:p>
      <w:pPr>
        <w:keepLines/>
        <w:numPr>
          <w:ilvl w:val="0"/>
          <w:numId w:val="10"/>
        </w:numPr>
        <w:spacing w:after="160" w:line="280" w:lineRule="auto"/>
        <w:ind w:left="720" w:hanging="360"/>
      </w:pPr>
      <w:r>
        <w:rPr>
          <w:rFonts w:ascii="Calibri" w:hAnsi="Calibri" w:eastAsia="Calibri"/>
          <w:i w:val="0"/>
          <w:color w:val="17232B"/>
          <w:sz w:val="22"/>
        </w:rPr>
        <w:t>retries preserve the mission and task lineage but receive a new attempt ID;</w:t>
      </w:r>
    </w:p>
    <w:p>
      <w:pPr>
        <w:keepLines/>
        <w:numPr>
          <w:ilvl w:val="0"/>
          <w:numId w:val="10"/>
        </w:numPr>
        <w:spacing w:after="160" w:line="280" w:lineRule="auto"/>
        <w:ind w:left="720" w:hanging="360"/>
      </w:pPr>
      <w:r>
        <w:rPr>
          <w:rFonts w:ascii="Calibri" w:hAnsi="Calibri" w:eastAsia="Calibri"/>
          <w:i w:val="0"/>
          <w:color w:val="17232B"/>
          <w:sz w:val="22"/>
        </w:rPr>
        <w:t>duplicate messages are harmless through idempotency keys;</w:t>
      </w:r>
    </w:p>
    <w:p>
      <w:pPr>
        <w:keepLines/>
        <w:numPr>
          <w:ilvl w:val="0"/>
          <w:numId w:val="10"/>
        </w:numPr>
        <w:spacing w:after="160" w:line="280" w:lineRule="auto"/>
        <w:ind w:left="720" w:hanging="360"/>
      </w:pPr>
      <w:r>
        <w:rPr>
          <w:rFonts w:ascii="Calibri" w:hAnsi="Calibri" w:eastAsia="Calibri"/>
          <w:i w:val="0"/>
          <w:color w:val="17232B"/>
          <w:sz w:val="22"/>
        </w:rPr>
        <w:t>a handoff does not silently transfer authority; the recipient must accept a newly attenuated envelope; and</w:t>
      </w:r>
    </w:p>
    <w:p>
      <w:pPr>
        <w:keepLines/>
        <w:numPr>
          <w:ilvl w:val="0"/>
          <w:numId w:val="10"/>
        </w:numPr>
        <w:spacing w:after="160" w:line="280" w:lineRule="auto"/>
        <w:ind w:left="720" w:hanging="360"/>
      </w:pPr>
      <w:r>
        <w:rPr>
          <w:rFonts w:ascii="Calibri" w:hAnsi="Calibri" w:eastAsia="Calibri"/>
          <w:i w:val="0"/>
          <w:color w:val="17232B"/>
          <w:sz w:val="22"/>
        </w:rPr>
        <w:t>completed output is not accepted until required evidence receipts verify.</w:t>
      </w:r>
    </w:p>
    <w:p>
      <w:pPr>
        <w:pStyle w:val="Heading2"/>
        <w:keepNext/>
        <w:keepLines/>
      </w:pPr>
      <w:r>
        <w:t>Authority attenuation</w:t>
      </w:r>
    </w:p>
    <w:p>
      <w:r>
        <w:rPr>
          <w:rFonts w:ascii="Calibri" w:hAnsi="Calibri" w:eastAsia="Calibri"/>
          <w:i w:val="0"/>
          <w:color w:val="17232B"/>
          <w:sz w:val="22"/>
        </w:rPr>
        <w:t>The most important safety invariant is:</w:t>
      </w:r>
    </w:p>
    <w:tbl>
      <w:tblPr>
        <w:tblW w:type="dxa" w:w="9360"/>
        <w:jc w:val="left"/>
        <w:tblLayout w:type="fixed"/>
        <w:tblLook w:firstColumn="1" w:firstRow="1" w:lastColumn="0" w:lastRow="0" w:noHBand="0" w:noVBand="1" w:val="04A0"/>
        <w:tblInd w:w="120" w:type="dxa"/>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blGrid>
        <w:gridCol w:w="9360"/>
      </w:tblGrid>
      <w:tr>
        <w:tc>
          <w:tcPr>
            <w:tcW w:type="dxa" w:w="9360"/>
            <w:tcMar>
              <w:top w:w="160" w:type="dxa"/>
              <w:start w:w="220" w:type="dxa"/>
              <w:bottom w:w="160" w:type="dxa"/>
              <w:end w:w="220" w:type="dxa"/>
            </w:tcMar>
            <w:shd w:fill="17232B"/>
          </w:tcPr>
          <w:p>
            <w:pPr>
              <w:spacing w:after="0"/>
              <w:jc w:val="center"/>
            </w:pPr>
            <w:r>
              <w:rPr>
                <w:rFonts w:ascii="Calibri" w:hAnsi="Calibri" w:eastAsia="Calibri"/>
                <w:i w:val="0"/>
                <w:color w:val="FFFFFF"/>
                <w:sz w:val="28"/>
              </w:rPr>
              <w:t>A child authority envelope MUST be a subset of its parent; delegation can narrow authority but can never expand it.</w:t>
            </w:r>
          </w:p>
        </w:tc>
      </w:tr>
    </w:tbl>
    <w:p>
      <w:pPr>
        <w:spacing w:after="40"/>
      </w:pPr>
    </w:p>
    <w:p>
      <w:r>
        <w:rPr>
          <w:rFonts w:ascii="Calibri" w:hAnsi="Calibri" w:eastAsia="Calibri"/>
          <w:i w:val="0"/>
          <w:color w:val="17232B"/>
          <w:sz w:val="22"/>
        </w:rPr>
        <w:t>Conformance checks should cover:</w:t>
      </w:r>
    </w:p>
    <w:p>
      <w:pPr>
        <w:keepLines/>
        <w:numPr>
          <w:ilvl w:val="0"/>
          <w:numId w:val="10"/>
        </w:numPr>
        <w:spacing w:after="160" w:line="280" w:lineRule="auto"/>
        <w:ind w:left="720" w:hanging="360"/>
      </w:pPr>
      <w:r>
        <w:rPr>
          <w:rFonts w:ascii="Calibri" w:hAnsi="Calibri" w:eastAsia="Calibri"/>
          <w:i w:val="0"/>
          <w:color w:val="17232B"/>
          <w:sz w:val="22"/>
        </w:rPr>
        <w:t>action and resource sets are equal or narrower;</w:t>
      </w:r>
    </w:p>
    <w:p>
      <w:pPr>
        <w:keepLines/>
        <w:numPr>
          <w:ilvl w:val="0"/>
          <w:numId w:val="10"/>
        </w:numPr>
        <w:spacing w:after="160" w:line="280" w:lineRule="auto"/>
        <w:ind w:left="720" w:hanging="360"/>
      </w:pPr>
      <w:r>
        <w:rPr>
          <w:rFonts w:ascii="Calibri" w:hAnsi="Calibri" w:eastAsia="Calibri"/>
          <w:i w:val="0"/>
          <w:color w:val="17232B"/>
          <w:sz w:val="22"/>
        </w:rPr>
        <w:t>time window and geography are equal or narrower;</w:t>
      </w:r>
    </w:p>
    <w:p>
      <w:pPr>
        <w:keepLines/>
        <w:numPr>
          <w:ilvl w:val="0"/>
          <w:numId w:val="10"/>
        </w:numPr>
        <w:spacing w:after="160" w:line="280" w:lineRule="auto"/>
        <w:ind w:left="720" w:hanging="360"/>
      </w:pPr>
      <w:r>
        <w:rPr>
          <w:rFonts w:ascii="Calibri" w:hAnsi="Calibri" w:eastAsia="Calibri"/>
          <w:i w:val="0"/>
          <w:color w:val="17232B"/>
          <w:sz w:val="22"/>
        </w:rPr>
        <w:t>budget and data-access limits never increase;</w:t>
      </w:r>
    </w:p>
    <w:p>
      <w:pPr>
        <w:keepLines/>
        <w:numPr>
          <w:ilvl w:val="0"/>
          <w:numId w:val="10"/>
        </w:numPr>
        <w:spacing w:after="160" w:line="280" w:lineRule="auto"/>
        <w:ind w:left="720" w:hanging="360"/>
      </w:pPr>
      <w:r>
        <w:rPr>
          <w:rFonts w:ascii="Calibri" w:hAnsi="Calibri" w:eastAsia="Calibri"/>
          <w:i w:val="0"/>
          <w:color w:val="17232B"/>
          <w:sz w:val="22"/>
        </w:rPr>
        <w:t>delegation depth strictly decreases;</w:t>
      </w:r>
    </w:p>
    <w:p>
      <w:pPr>
        <w:keepLines/>
        <w:numPr>
          <w:ilvl w:val="0"/>
          <w:numId w:val="10"/>
        </w:numPr>
        <w:spacing w:after="160" w:line="280" w:lineRule="auto"/>
        <w:ind w:left="720" w:hanging="360"/>
      </w:pPr>
      <w:r>
        <w:rPr>
          <w:rFonts w:ascii="Calibri" w:hAnsi="Calibri" w:eastAsia="Calibri"/>
          <w:i w:val="0"/>
          <w:color w:val="17232B"/>
          <w:sz w:val="22"/>
        </w:rPr>
        <w:t>all new conditions are at least as restrictive;</w:t>
      </w:r>
    </w:p>
    <w:p>
      <w:pPr>
        <w:keepLines/>
        <w:numPr>
          <w:ilvl w:val="0"/>
          <w:numId w:val="10"/>
        </w:numPr>
        <w:spacing w:after="160" w:line="280" w:lineRule="auto"/>
        <w:ind w:left="720" w:hanging="360"/>
      </w:pPr>
      <w:r>
        <w:rPr>
          <w:rFonts w:ascii="Calibri" w:hAnsi="Calibri" w:eastAsia="Calibri"/>
          <w:i w:val="0"/>
          <w:color w:val="17232B"/>
          <w:sz w:val="22"/>
        </w:rPr>
        <w:t>explicit denials are inherited;</w:t>
      </w:r>
    </w:p>
    <w:p>
      <w:pPr>
        <w:keepLines/>
        <w:numPr>
          <w:ilvl w:val="0"/>
          <w:numId w:val="10"/>
        </w:numPr>
        <w:spacing w:after="160" w:line="280" w:lineRule="auto"/>
        <w:ind w:left="720" w:hanging="360"/>
      </w:pPr>
      <w:r>
        <w:rPr>
          <w:rFonts w:ascii="Calibri" w:hAnsi="Calibri" w:eastAsia="Calibri"/>
          <w:i w:val="0"/>
          <w:color w:val="17232B"/>
          <w:sz w:val="22"/>
        </w:rPr>
        <w:t>the origin principal remains visible through the chain; and</w:t>
      </w:r>
    </w:p>
    <w:p>
      <w:pPr>
        <w:keepLines/>
        <w:numPr>
          <w:ilvl w:val="0"/>
          <w:numId w:val="10"/>
        </w:numPr>
        <w:spacing w:after="160" w:line="280" w:lineRule="auto"/>
        <w:ind w:left="720" w:hanging="360"/>
      </w:pPr>
      <w:r>
        <w:rPr>
          <w:rFonts w:ascii="Calibri" w:hAnsi="Calibri" w:eastAsia="Calibri"/>
          <w:i w:val="0"/>
          <w:color w:val="17232B"/>
          <w:sz w:val="22"/>
        </w:rPr>
        <w:t>revocation propagates to all descendants within a declared maximum delay.</w:t>
      </w:r>
    </w:p>
    <w:p>
      <w:r>
        <w:rPr>
          <w:rFonts w:ascii="Calibri" w:hAnsi="Calibri" w:eastAsia="Calibri"/>
          <w:i w:val="0"/>
          <w:color w:val="17232B"/>
          <w:sz w:val="22"/>
        </w:rPr>
        <w:t>The protocol should define this comparison semantics. The local organization remains free to express policy in Cedar, Rego, NGAC, code, or another engine.</w:t>
      </w:r>
    </w:p>
    <w:p>
      <w:pPr>
        <w:pStyle w:val="Heading2"/>
        <w:keepNext/>
        <w:keepLines/>
      </w:pPr>
      <w:r>
        <w:t>Receipts, not reasoning traces</w:t>
      </w:r>
    </w:p>
    <w:p>
      <w:r>
        <w:rPr>
          <w:rFonts w:ascii="Calibri" w:hAnsi="Calibri" w:eastAsia="Calibri"/>
          <w:i w:val="0"/>
          <w:color w:val="17232B"/>
          <w:sz w:val="22"/>
        </w:rPr>
        <w:t>CELL//AP should prohibit any conformance requirement that depends on chain-of-thought. Instead, it standardizes concise, externally useful receipts:</w:t>
      </w:r>
    </w:p>
    <w:p>
      <w:pPr>
        <w:keepLines/>
        <w:numPr>
          <w:ilvl w:val="0"/>
          <w:numId w:val="10"/>
        </w:numPr>
        <w:spacing w:after="160" w:line="280" w:lineRule="auto"/>
        <w:ind w:left="720" w:hanging="360"/>
      </w:pPr>
      <w:r>
        <w:rPr>
          <w:rFonts w:ascii="Calibri" w:hAnsi="Calibri" w:eastAsia="Calibri"/>
          <w:b/>
          <w:i w:val="0"/>
          <w:color w:val="17232B"/>
          <w:sz w:val="22"/>
        </w:rPr>
        <w:t>Invocation Receipt:</w:t>
      </w:r>
      <w:r>
        <w:rPr>
          <w:rFonts w:ascii="Calibri" w:hAnsi="Calibri" w:eastAsia="Calibri"/>
          <w:i w:val="0"/>
          <w:color w:val="17232B"/>
          <w:sz w:val="22"/>
        </w:rPr>
        <w:t xml:space="preserve"> what was requested, by whom, under which mission and authority.</w:t>
      </w:r>
    </w:p>
    <w:p>
      <w:pPr>
        <w:keepLines/>
        <w:numPr>
          <w:ilvl w:val="0"/>
          <w:numId w:val="10"/>
        </w:numPr>
        <w:spacing w:after="160" w:line="280" w:lineRule="auto"/>
        <w:ind w:left="720" w:hanging="360"/>
      </w:pPr>
      <w:r>
        <w:rPr>
          <w:rFonts w:ascii="Calibri" w:hAnsi="Calibri" w:eastAsia="Calibri"/>
          <w:b/>
          <w:i w:val="0"/>
          <w:color w:val="17232B"/>
          <w:sz w:val="22"/>
        </w:rPr>
        <w:t>Tool Receipt:</w:t>
      </w:r>
      <w:r>
        <w:rPr>
          <w:rFonts w:ascii="Calibri" w:hAnsi="Calibri" w:eastAsia="Calibri"/>
          <w:i w:val="0"/>
          <w:color w:val="17232B"/>
          <w:sz w:val="22"/>
        </w:rPr>
        <w:t xml:space="preserve"> tool identity/version, validated inputs, outcome class, side-effect reference, and policy decision.</w:t>
      </w:r>
    </w:p>
    <w:p>
      <w:pPr>
        <w:keepLines/>
        <w:numPr>
          <w:ilvl w:val="0"/>
          <w:numId w:val="10"/>
        </w:numPr>
        <w:spacing w:after="160" w:line="280" w:lineRule="auto"/>
        <w:ind w:left="720" w:hanging="360"/>
      </w:pPr>
      <w:r>
        <w:rPr>
          <w:rFonts w:ascii="Calibri" w:hAnsi="Calibri" w:eastAsia="Calibri"/>
          <w:b/>
          <w:i w:val="0"/>
          <w:color w:val="17232B"/>
          <w:sz w:val="22"/>
        </w:rPr>
        <w:t>Evidence Receipt:</w:t>
      </w:r>
      <w:r>
        <w:rPr>
          <w:rFonts w:ascii="Calibri" w:hAnsi="Calibri" w:eastAsia="Calibri"/>
          <w:i w:val="0"/>
          <w:color w:val="17232B"/>
          <w:sz w:val="22"/>
        </w:rPr>
        <w:t xml:space="preserve"> subject, claim, source, digest, collection time, and verification method.</w:t>
      </w:r>
    </w:p>
    <w:p>
      <w:pPr>
        <w:keepLines/>
        <w:numPr>
          <w:ilvl w:val="0"/>
          <w:numId w:val="10"/>
        </w:numPr>
        <w:spacing w:after="160" w:line="280" w:lineRule="auto"/>
        <w:ind w:left="720" w:hanging="360"/>
      </w:pPr>
      <w:r>
        <w:rPr>
          <w:rFonts w:ascii="Calibri" w:hAnsi="Calibri" w:eastAsia="Calibri"/>
          <w:b/>
          <w:i w:val="0"/>
          <w:color w:val="17232B"/>
          <w:sz w:val="22"/>
        </w:rPr>
        <w:t>Decision Receipt:</w:t>
      </w:r>
      <w:r>
        <w:rPr>
          <w:rFonts w:ascii="Calibri" w:hAnsi="Calibri" w:eastAsia="Calibri"/>
          <w:i w:val="0"/>
          <w:color w:val="17232B"/>
          <w:sz w:val="22"/>
        </w:rPr>
        <w:t xml:space="preserve"> decision, applicable policy/version, alternatives considered as labels, approval state, and outcome—not private reasoning text.</w:t>
      </w:r>
    </w:p>
    <w:p>
      <w:pPr>
        <w:keepLines/>
        <w:numPr>
          <w:ilvl w:val="0"/>
          <w:numId w:val="10"/>
        </w:numPr>
        <w:spacing w:after="160" w:line="280" w:lineRule="auto"/>
        <w:ind w:left="720" w:hanging="360"/>
      </w:pPr>
      <w:r>
        <w:rPr>
          <w:rFonts w:ascii="Calibri" w:hAnsi="Calibri" w:eastAsia="Calibri"/>
          <w:b/>
          <w:i w:val="0"/>
          <w:color w:val="17232B"/>
          <w:sz w:val="22"/>
        </w:rPr>
        <w:t>Handoff Receipt:</w:t>
      </w:r>
      <w:r>
        <w:rPr>
          <w:rFonts w:ascii="Calibri" w:hAnsi="Calibri" w:eastAsia="Calibri"/>
          <w:i w:val="0"/>
          <w:color w:val="17232B"/>
          <w:sz w:val="22"/>
        </w:rPr>
        <w:t xml:space="preserve"> state digest, open obligations, recipient, accepted authority, and acceptance time.</w:t>
      </w:r>
    </w:p>
    <w:p>
      <w:pPr>
        <w:keepLines/>
        <w:numPr>
          <w:ilvl w:val="0"/>
          <w:numId w:val="10"/>
        </w:numPr>
        <w:spacing w:after="160" w:line="280" w:lineRule="auto"/>
        <w:ind w:left="720" w:hanging="360"/>
      </w:pPr>
      <w:r>
        <w:rPr>
          <w:rFonts w:ascii="Calibri" w:hAnsi="Calibri" w:eastAsia="Calibri"/>
          <w:b/>
          <w:i w:val="0"/>
          <w:color w:val="17232B"/>
          <w:sz w:val="22"/>
        </w:rPr>
        <w:t>Evaluation Receipt:</w:t>
      </w:r>
      <w:r>
        <w:rPr>
          <w:rFonts w:ascii="Calibri" w:hAnsi="Calibri" w:eastAsia="Calibri"/>
          <w:i w:val="0"/>
          <w:color w:val="17232B"/>
          <w:sz w:val="22"/>
        </w:rPr>
        <w:t xml:space="preserve"> test/evaluator version, input/output subject digests, metric results, thresholds, and pass/fail.</w:t>
      </w:r>
    </w:p>
    <w:p>
      <w:pPr>
        <w:keepLines/>
        <w:numPr>
          <w:ilvl w:val="0"/>
          <w:numId w:val="10"/>
        </w:numPr>
        <w:spacing w:after="160" w:line="280" w:lineRule="auto"/>
        <w:ind w:left="720" w:hanging="360"/>
      </w:pPr>
      <w:r>
        <w:rPr>
          <w:rFonts w:ascii="Calibri" w:hAnsi="Calibri" w:eastAsia="Calibri"/>
          <w:b/>
          <w:i w:val="0"/>
          <w:color w:val="17232B"/>
          <w:sz w:val="22"/>
        </w:rPr>
        <w:t>Revocation Receipt:</w:t>
      </w:r>
      <w:r>
        <w:rPr>
          <w:rFonts w:ascii="Calibri" w:hAnsi="Calibri" w:eastAsia="Calibri"/>
          <w:i w:val="0"/>
          <w:color w:val="17232B"/>
          <w:sz w:val="22"/>
        </w:rPr>
        <w:t xml:space="preserve"> target, authority, reason code, effective time, descendants notified, and enforcement status.</w:t>
      </w:r>
    </w:p>
    <w:p>
      <w:r>
        <w:rPr>
          <w:rFonts w:ascii="Calibri" w:hAnsi="Calibri" w:eastAsia="Calibri"/>
          <w:i w:val="0"/>
          <w:color w:val="17232B"/>
          <w:sz w:val="22"/>
        </w:rPr>
        <w:t>Receipts should be signed when crossing trust domains or controlling high-impact actions. Payloads can be redacted or stored separately; the receipt retains a digest and access reference. This supports selective disclosure, data minimization, and tamper evidence.</w:t>
      </w:r>
    </w:p>
    <w:p>
      <w:pPr>
        <w:pStyle w:val="Heading2"/>
        <w:keepNext/>
        <w:keepLines/>
      </w:pPr>
      <w:r>
        <w:t>Conformance profiles</w:t>
      </w:r>
    </w:p>
    <w:p>
      <w:r>
        <w:rPr>
          <w:rFonts w:ascii="Calibri" w:hAnsi="Calibri" w:eastAsia="Calibri"/>
          <w:i w:val="0"/>
          <w:color w:val="17232B"/>
          <w:sz w:val="22"/>
        </w:rPr>
        <w:t>One giant conformance target would fail adoption. Use cumulative profiles: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232"/>
        <w:gridCol w:w="3672"/>
        <w:gridCol w:w="3456"/>
      </w:tblGrid>
      <w:tr>
        <w:trPr>
          <w:tblHeader w:val="true"/>
          <w:cantSplit/>
        </w:trPr>
        <w:tc>
          <w:tcPr>
            <w:tcW w:type="dxa" w:w="2232"/>
            <w:tcMar>
              <w:top w:w="80" w:type="dxa"/>
              <w:start w:w="120" w:type="dxa"/>
              <w:bottom w:w="80" w:type="dxa"/>
              <w:end w:w="120" w:type="dxa"/>
            </w:tcMar>
            <w:shd w:fill="17232B"/>
          </w:tcPr>
          <w:p>
            <w:pPr>
              <w:spacing w:after="0"/>
            </w:pPr>
            <w:r>
              <w:rPr>
                <w:rFonts w:ascii="Calibri" w:hAnsi="Calibri" w:eastAsia="Calibri"/>
                <w:i w:val="0"/>
                <w:color w:val="FFFFFF"/>
                <w:sz w:val="18"/>
              </w:rPr>
              <w:t>Profile</w:t>
            </w:r>
          </w:p>
        </w:tc>
        <w:tc>
          <w:tcPr>
            <w:tcW w:type="dxa" w:w="3672"/>
            <w:tcMar>
              <w:top w:w="80" w:type="dxa"/>
              <w:start w:w="120" w:type="dxa"/>
              <w:bottom w:w="80" w:type="dxa"/>
              <w:end w:w="120" w:type="dxa"/>
            </w:tcMar>
            <w:shd w:fill="17232B"/>
          </w:tcPr>
          <w:p>
            <w:pPr>
              <w:spacing w:after="0"/>
            </w:pPr>
            <w:r>
              <w:rPr>
                <w:rFonts w:ascii="Calibri" w:hAnsi="Calibri" w:eastAsia="Calibri"/>
                <w:i w:val="0"/>
                <w:color w:val="FFFFFF"/>
                <w:sz w:val="18"/>
              </w:rPr>
              <w:t>Required behavior</w:t>
            </w:r>
          </w:p>
        </w:tc>
        <w:tc>
          <w:tcPr>
            <w:tcW w:type="dxa" w:w="3456"/>
            <w:tcMar>
              <w:top w:w="80" w:type="dxa"/>
              <w:start w:w="120" w:type="dxa"/>
              <w:bottom w:w="80" w:type="dxa"/>
              <w:end w:w="120" w:type="dxa"/>
            </w:tcMar>
            <w:shd w:fill="17232B"/>
          </w:tcPr>
          <w:p>
            <w:pPr>
              <w:spacing w:after="0"/>
            </w:pPr>
            <w:r>
              <w:rPr>
                <w:rFonts w:ascii="Calibri" w:hAnsi="Calibri" w:eastAsia="Calibri"/>
                <w:i w:val="0"/>
                <w:color w:val="FFFFFF"/>
                <w:sz w:val="18"/>
              </w:rPr>
              <w:t>Who needs it</w:t>
            </w:r>
          </w:p>
        </w:tc>
      </w:tr>
      <w:tr>
        <w:trPr>
          <w:cantSplit/>
        </w:trPr>
        <w:tc>
          <w:tcPr>
            <w:tcW w:type="dxa" w:w="2232"/>
            <w:shd w:fill="FFFFFF"/>
            <w:vAlign w:val="top"/>
          </w:tcPr>
          <w:p>
            <w:pPr>
              <w:spacing w:after="0"/>
            </w:pPr>
            <w:r>
              <w:rPr>
                <w:rFonts w:ascii="Calibri" w:hAnsi="Calibri" w:eastAsia="Calibri"/>
                <w:b/>
                <w:i w:val="0"/>
                <w:color w:val="17232B"/>
                <w:sz w:val="17"/>
              </w:rPr>
              <w:t>AP-Core</w:t>
            </w:r>
          </w:p>
        </w:tc>
        <w:tc>
          <w:tcPr>
            <w:tcW w:type="dxa" w:w="3672"/>
            <w:shd w:fill="FFFFFF"/>
            <w:vAlign w:val="top"/>
          </w:tcPr>
          <w:p>
            <w:pPr>
              <w:spacing w:after="0"/>
            </w:pPr>
            <w:r>
              <w:rPr>
                <w:rFonts w:ascii="Calibri" w:hAnsi="Calibri" w:eastAsia="Calibri"/>
                <w:i w:val="0"/>
                <w:color w:val="17232B"/>
                <w:sz w:val="17"/>
              </w:rPr>
              <w:t>envelope, identifiers, versions, schemas, idempotency, errors, lifecycle, trace linkage</w:t>
            </w:r>
          </w:p>
        </w:tc>
        <w:tc>
          <w:tcPr>
            <w:tcW w:type="dxa" w:w="3456"/>
            <w:shd w:fill="FFFFFF"/>
            <w:vAlign w:val="top"/>
          </w:tcPr>
          <w:p>
            <w:pPr>
              <w:spacing w:after="0"/>
            </w:pPr>
            <w:r>
              <w:rPr>
                <w:rFonts w:ascii="Calibri" w:hAnsi="Calibri" w:eastAsia="Calibri"/>
                <w:i w:val="0"/>
                <w:color w:val="17232B"/>
                <w:sz w:val="17"/>
              </w:rPr>
              <w:t>every implementation</w:t>
            </w:r>
          </w:p>
        </w:tc>
      </w:tr>
      <w:tr>
        <w:trPr>
          <w:cantSplit/>
        </w:trPr>
        <w:tc>
          <w:tcPr>
            <w:tcW w:type="dxa" w:w="2232"/>
            <w:shd w:fill="F8FAFB"/>
            <w:vAlign w:val="top"/>
          </w:tcPr>
          <w:p>
            <w:pPr>
              <w:spacing w:after="0"/>
            </w:pPr>
            <w:r>
              <w:rPr>
                <w:rFonts w:ascii="Calibri" w:hAnsi="Calibri" w:eastAsia="Calibri"/>
                <w:b/>
                <w:i w:val="0"/>
                <w:color w:val="17232B"/>
                <w:sz w:val="17"/>
              </w:rPr>
              <w:t>AP-Capability</w:t>
            </w:r>
          </w:p>
        </w:tc>
        <w:tc>
          <w:tcPr>
            <w:tcW w:type="dxa" w:w="3672"/>
            <w:shd w:fill="F8FAFB"/>
            <w:vAlign w:val="top"/>
          </w:tcPr>
          <w:p>
            <w:pPr>
              <w:spacing w:after="0"/>
            </w:pPr>
            <w:r>
              <w:rPr>
                <w:rFonts w:ascii="Calibri" w:hAnsi="Calibri" w:eastAsia="Calibri"/>
                <w:i w:val="0"/>
                <w:color w:val="17232B"/>
                <w:sz w:val="17"/>
              </w:rPr>
              <w:t>MCP mappings, capability claims, readiness, input/output schemas</w:t>
            </w:r>
          </w:p>
        </w:tc>
        <w:tc>
          <w:tcPr>
            <w:tcW w:type="dxa" w:w="3456"/>
            <w:shd w:fill="F8FAFB"/>
            <w:vAlign w:val="top"/>
          </w:tcPr>
          <w:p>
            <w:pPr>
              <w:spacing w:after="0"/>
            </w:pPr>
            <w:r>
              <w:rPr>
                <w:rFonts w:ascii="Calibri" w:hAnsi="Calibri" w:eastAsia="Calibri"/>
                <w:i w:val="0"/>
                <w:color w:val="17232B"/>
                <w:sz w:val="17"/>
              </w:rPr>
              <w:t>tool-using operatives</w:t>
            </w:r>
          </w:p>
        </w:tc>
      </w:tr>
      <w:tr>
        <w:trPr>
          <w:cantSplit/>
        </w:trPr>
        <w:tc>
          <w:tcPr>
            <w:tcW w:type="dxa" w:w="2232"/>
            <w:shd w:fill="FFFFFF"/>
            <w:vAlign w:val="top"/>
          </w:tcPr>
          <w:p>
            <w:pPr>
              <w:spacing w:after="0"/>
            </w:pPr>
            <w:r>
              <w:rPr>
                <w:rFonts w:ascii="Calibri" w:hAnsi="Calibri" w:eastAsia="Calibri"/>
                <w:b/>
                <w:i w:val="0"/>
                <w:color w:val="17232B"/>
                <w:sz w:val="17"/>
              </w:rPr>
              <w:t>AP-Collaboration</w:t>
            </w:r>
          </w:p>
        </w:tc>
        <w:tc>
          <w:tcPr>
            <w:tcW w:type="dxa" w:w="3672"/>
            <w:shd w:fill="FFFFFF"/>
            <w:vAlign w:val="top"/>
          </w:tcPr>
          <w:p>
            <w:pPr>
              <w:spacing w:after="0"/>
            </w:pPr>
            <w:r>
              <w:rPr>
                <w:rFonts w:ascii="Calibri" w:hAnsi="Calibri" w:eastAsia="Calibri"/>
                <w:i w:val="0"/>
                <w:color w:val="17232B"/>
                <w:sz w:val="17"/>
              </w:rPr>
              <w:t>A2A mappings, Agent Card extensions, task/handoff rules</w:t>
            </w:r>
          </w:p>
        </w:tc>
        <w:tc>
          <w:tcPr>
            <w:tcW w:type="dxa" w:w="3456"/>
            <w:shd w:fill="FFFFFF"/>
            <w:vAlign w:val="top"/>
          </w:tcPr>
          <w:p>
            <w:pPr>
              <w:spacing w:after="0"/>
            </w:pPr>
            <w:r>
              <w:rPr>
                <w:rFonts w:ascii="Calibri" w:hAnsi="Calibri" w:eastAsia="Calibri"/>
                <w:i w:val="0"/>
                <w:color w:val="17232B"/>
                <w:sz w:val="17"/>
              </w:rPr>
              <w:t>multi-agent and cross-runtime systems</w:t>
            </w:r>
          </w:p>
        </w:tc>
      </w:tr>
      <w:tr>
        <w:trPr>
          <w:cantSplit/>
        </w:trPr>
        <w:tc>
          <w:tcPr>
            <w:tcW w:type="dxa" w:w="2232"/>
            <w:shd w:fill="F8FAFB"/>
            <w:vAlign w:val="top"/>
          </w:tcPr>
          <w:p>
            <w:pPr>
              <w:spacing w:after="0"/>
            </w:pPr>
            <w:r>
              <w:rPr>
                <w:rFonts w:ascii="Calibri" w:hAnsi="Calibri" w:eastAsia="Calibri"/>
                <w:b/>
                <w:i w:val="0"/>
                <w:color w:val="17232B"/>
                <w:sz w:val="17"/>
              </w:rPr>
              <w:t>AP-Governed</w:t>
            </w:r>
          </w:p>
        </w:tc>
        <w:tc>
          <w:tcPr>
            <w:tcW w:type="dxa" w:w="3672"/>
            <w:shd w:fill="F8FAFB"/>
            <w:vAlign w:val="top"/>
          </w:tcPr>
          <w:p>
            <w:pPr>
              <w:spacing w:after="0"/>
            </w:pPr>
            <w:r>
              <w:rPr>
                <w:rFonts w:ascii="Calibri" w:hAnsi="Calibri" w:eastAsia="Calibri"/>
                <w:i w:val="0"/>
                <w:color w:val="17232B"/>
                <w:sz w:val="17"/>
              </w:rPr>
              <w:t>Mission Contract, Authority Envelope, checkpoints, revocation, Warden/ACS adapter</w:t>
            </w:r>
          </w:p>
        </w:tc>
        <w:tc>
          <w:tcPr>
            <w:tcW w:type="dxa" w:w="3456"/>
            <w:shd w:fill="F8FAFB"/>
            <w:vAlign w:val="top"/>
          </w:tcPr>
          <w:p>
            <w:pPr>
              <w:spacing w:after="0"/>
            </w:pPr>
            <w:r>
              <w:rPr>
                <w:rFonts w:ascii="Calibri" w:hAnsi="Calibri" w:eastAsia="Calibri"/>
                <w:i w:val="0"/>
                <w:color w:val="17232B"/>
                <w:sz w:val="17"/>
              </w:rPr>
              <w:t>side-effecting or sensitive systems</w:t>
            </w:r>
          </w:p>
        </w:tc>
      </w:tr>
      <w:tr>
        <w:trPr>
          <w:cantSplit/>
        </w:trPr>
        <w:tc>
          <w:tcPr>
            <w:tcW w:type="dxa" w:w="2232"/>
            <w:shd w:fill="FFFFFF"/>
            <w:vAlign w:val="top"/>
          </w:tcPr>
          <w:p>
            <w:pPr>
              <w:spacing w:after="0"/>
            </w:pPr>
            <w:r>
              <w:rPr>
                <w:rFonts w:ascii="Calibri" w:hAnsi="Calibri" w:eastAsia="Calibri"/>
                <w:b/>
                <w:i w:val="0"/>
                <w:color w:val="17232B"/>
                <w:sz w:val="17"/>
              </w:rPr>
              <w:t>AP-Assured</w:t>
            </w:r>
          </w:p>
        </w:tc>
        <w:tc>
          <w:tcPr>
            <w:tcW w:type="dxa" w:w="3672"/>
            <w:shd w:fill="FFFFFF"/>
            <w:vAlign w:val="top"/>
          </w:tcPr>
          <w:p>
            <w:pPr>
              <w:spacing w:after="0"/>
            </w:pPr>
            <w:r>
              <w:rPr>
                <w:rFonts w:ascii="Calibri" w:hAnsi="Calibri" w:eastAsia="Calibri"/>
                <w:i w:val="0"/>
                <w:color w:val="17232B"/>
                <w:sz w:val="17"/>
              </w:rPr>
              <w:t>claims, evidence, signed receipts, verifier roles, replay/export</w:t>
            </w:r>
          </w:p>
        </w:tc>
        <w:tc>
          <w:tcPr>
            <w:tcW w:type="dxa" w:w="3456"/>
            <w:shd w:fill="FFFFFF"/>
            <w:vAlign w:val="top"/>
          </w:tcPr>
          <w:p>
            <w:pPr>
              <w:spacing w:after="0"/>
            </w:pPr>
            <w:r>
              <w:rPr>
                <w:rFonts w:ascii="Calibri" w:hAnsi="Calibri" w:eastAsia="Calibri"/>
                <w:i w:val="0"/>
                <w:color w:val="17232B"/>
                <w:sz w:val="17"/>
              </w:rPr>
              <w:t>regulated and evidence-grade workflows</w:t>
            </w:r>
          </w:p>
        </w:tc>
      </w:tr>
      <w:tr>
        <w:trPr>
          <w:cantSplit/>
        </w:trPr>
        <w:tc>
          <w:tcPr>
            <w:tcW w:type="dxa" w:w="2232"/>
            <w:shd w:fill="F8FAFB"/>
            <w:vAlign w:val="top"/>
          </w:tcPr>
          <w:p>
            <w:pPr>
              <w:spacing w:after="0"/>
            </w:pPr>
            <w:r>
              <w:rPr>
                <w:rFonts w:ascii="Calibri" w:hAnsi="Calibri" w:eastAsia="Calibri"/>
                <w:b/>
                <w:i w:val="0"/>
                <w:color w:val="17232B"/>
                <w:sz w:val="17"/>
              </w:rPr>
              <w:t>AP-Federated</w:t>
            </w:r>
          </w:p>
        </w:tc>
        <w:tc>
          <w:tcPr>
            <w:tcW w:type="dxa" w:w="3672"/>
            <w:shd w:fill="F8FAFB"/>
            <w:vAlign w:val="top"/>
          </w:tcPr>
          <w:p>
            <w:pPr>
              <w:spacing w:after="0"/>
            </w:pPr>
            <w:r>
              <w:rPr>
                <w:rFonts w:ascii="Calibri" w:hAnsi="Calibri" w:eastAsia="Calibri"/>
                <w:i w:val="0"/>
                <w:color w:val="17232B"/>
                <w:sz w:val="17"/>
              </w:rPr>
              <w:t>cross-organization trust, credential exchange, sovereignty, retention, directory mapping</w:t>
            </w:r>
          </w:p>
        </w:tc>
        <w:tc>
          <w:tcPr>
            <w:tcW w:type="dxa" w:w="3456"/>
            <w:shd w:fill="F8FAFB"/>
            <w:vAlign w:val="top"/>
          </w:tcPr>
          <w:p>
            <w:pPr>
              <w:spacing w:after="0"/>
            </w:pPr>
            <w:r>
              <w:rPr>
                <w:rFonts w:ascii="Calibri" w:hAnsi="Calibri" w:eastAsia="Calibri"/>
                <w:i w:val="0"/>
                <w:color w:val="17232B"/>
                <w:sz w:val="17"/>
              </w:rPr>
              <w:t>partner networks and marketplaces</w:t>
            </w:r>
          </w:p>
        </w:tc>
      </w:tr>
    </w:tbl>
    <w:p>
      <w:pPr>
        <w:pStyle w:val="TableCitation"/>
      </w:pPr>
      <w:r>
        <w:t>Source: synthesis of cited specifications; assessments are the author’s analysis.</w:t>
      </w:r>
    </w:p>
    <w:p>
      <w:r>
        <w:rPr>
          <w:rFonts w:ascii="Calibri" w:hAnsi="Calibri" w:eastAsia="Calibri"/>
          <w:i w:val="0"/>
          <w:color w:val="17232B"/>
          <w:sz w:val="22"/>
        </w:rPr>
        <w:t>An implementation advertises exact profile versions in its Agent Card or well-known capability document. Unknown required extensions cause a clean rejection; unknown optional extensions are ignored and logged.</w:t>
      </w:r>
    </w:p>
    <w:p>
      <w:r>
        <w:br w:type="page"/>
      </w:r>
    </w:p>
    <w:p>
      <w:pPr>
        <w:pStyle w:val="Heading1"/>
        <w:keepNext/>
        <w:keepLines/>
      </w:pPr>
      <w:r>
        <w:t>Pros and cons</w:t>
      </w:r>
    </w:p>
    <w:p>
      <w:pPr>
        <w:pStyle w:val="Heading2"/>
        <w:keepNext/>
        <w:keepLines/>
      </w:pPr>
      <w:r>
        <w:t>Benefits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232"/>
        <w:gridCol w:w="3672"/>
        <w:gridCol w:w="3456"/>
      </w:tblGrid>
      <w:tr>
        <w:trPr>
          <w:tblHeader w:val="true"/>
          <w:cantSplit/>
        </w:trPr>
        <w:tc>
          <w:tcPr>
            <w:tcW w:type="dxa" w:w="2232"/>
            <w:tcMar>
              <w:top w:w="80" w:type="dxa"/>
              <w:start w:w="120" w:type="dxa"/>
              <w:bottom w:w="80" w:type="dxa"/>
              <w:end w:w="120" w:type="dxa"/>
            </w:tcMar>
            <w:shd w:fill="17232B"/>
          </w:tcPr>
          <w:p>
            <w:pPr>
              <w:spacing w:after="0"/>
            </w:pPr>
            <w:r>
              <w:rPr>
                <w:rFonts w:ascii="Calibri" w:hAnsi="Calibri" w:eastAsia="Calibri"/>
                <w:i w:val="0"/>
                <w:color w:val="FFFFFF"/>
                <w:sz w:val="18"/>
              </w:rPr>
              <w:t>Benefit</w:t>
            </w:r>
          </w:p>
        </w:tc>
        <w:tc>
          <w:tcPr>
            <w:tcW w:type="dxa" w:w="3672"/>
            <w:tcMar>
              <w:top w:w="80" w:type="dxa"/>
              <w:start w:w="120" w:type="dxa"/>
              <w:bottom w:w="80" w:type="dxa"/>
              <w:end w:w="120" w:type="dxa"/>
            </w:tcMar>
            <w:shd w:fill="17232B"/>
          </w:tcPr>
          <w:p>
            <w:pPr>
              <w:spacing w:after="0"/>
            </w:pPr>
            <w:r>
              <w:rPr>
                <w:rFonts w:ascii="Calibri" w:hAnsi="Calibri" w:eastAsia="Calibri"/>
                <w:i w:val="0"/>
                <w:color w:val="FFFFFF"/>
                <w:sz w:val="18"/>
              </w:rPr>
              <w:t>Why it matters</w:t>
            </w:r>
          </w:p>
        </w:tc>
        <w:tc>
          <w:tcPr>
            <w:tcW w:type="dxa" w:w="3456"/>
            <w:tcMar>
              <w:top w:w="80" w:type="dxa"/>
              <w:start w:w="120" w:type="dxa"/>
              <w:bottom w:w="80" w:type="dxa"/>
              <w:end w:w="120" w:type="dxa"/>
            </w:tcMar>
            <w:shd w:fill="17232B"/>
          </w:tcPr>
          <w:p>
            <w:pPr>
              <w:spacing w:after="0"/>
            </w:pPr>
            <w:r>
              <w:rPr>
                <w:rFonts w:ascii="Calibri" w:hAnsi="Calibri" w:eastAsia="Calibri"/>
                <w:i w:val="0"/>
                <w:color w:val="FFFFFF"/>
                <w:sz w:val="18"/>
              </w:rPr>
              <w:t>Evidence or mechanism</w:t>
            </w:r>
          </w:p>
        </w:tc>
      </w:tr>
      <w:tr>
        <w:trPr>
          <w:cantSplit/>
        </w:trPr>
        <w:tc>
          <w:tcPr>
            <w:tcW w:type="dxa" w:w="2232"/>
            <w:shd w:fill="FFFFFF"/>
            <w:vAlign w:val="top"/>
          </w:tcPr>
          <w:p>
            <w:pPr>
              <w:spacing w:after="0"/>
            </w:pPr>
            <w:r>
              <w:rPr>
                <w:rFonts w:ascii="Calibri" w:hAnsi="Calibri" w:eastAsia="Calibri"/>
                <w:i w:val="0"/>
                <w:color w:val="17232B"/>
                <w:sz w:val="17"/>
              </w:rPr>
              <w:t>Interoperability without platform lock-in</w:t>
            </w:r>
          </w:p>
        </w:tc>
        <w:tc>
          <w:tcPr>
            <w:tcW w:type="dxa" w:w="3672"/>
            <w:shd w:fill="FFFFFF"/>
            <w:vAlign w:val="top"/>
          </w:tcPr>
          <w:p>
            <w:pPr>
              <w:spacing w:after="0"/>
            </w:pPr>
            <w:r>
              <w:rPr>
                <w:rFonts w:ascii="Calibri" w:hAnsi="Calibri" w:eastAsia="Calibri"/>
                <w:i w:val="0"/>
                <w:color w:val="17232B"/>
                <w:sz w:val="17"/>
              </w:rPr>
              <w:t>Operatives can move among runtimes and organizations</w:t>
            </w:r>
          </w:p>
        </w:tc>
        <w:tc>
          <w:tcPr>
            <w:tcW w:type="dxa" w:w="3456"/>
            <w:shd w:fill="FFFFFF"/>
            <w:vAlign w:val="top"/>
          </w:tcPr>
          <w:p>
            <w:pPr>
              <w:spacing w:after="0"/>
            </w:pPr>
            <w:r>
              <w:rPr>
                <w:rFonts w:ascii="Calibri" w:hAnsi="Calibri" w:eastAsia="Calibri"/>
                <w:i w:val="0"/>
                <w:color w:val="17232B"/>
                <w:sz w:val="17"/>
              </w:rPr>
              <w:t>A2A/MCP adapters and stable schemas</w:t>
            </w:r>
          </w:p>
        </w:tc>
      </w:tr>
      <w:tr>
        <w:trPr>
          <w:cantSplit/>
        </w:trPr>
        <w:tc>
          <w:tcPr>
            <w:tcW w:type="dxa" w:w="2232"/>
            <w:shd w:fill="F8FAFB"/>
            <w:vAlign w:val="top"/>
          </w:tcPr>
          <w:p>
            <w:pPr>
              <w:spacing w:after="0"/>
            </w:pPr>
            <w:r>
              <w:rPr>
                <w:rFonts w:ascii="Calibri" w:hAnsi="Calibri" w:eastAsia="Calibri"/>
                <w:i w:val="0"/>
                <w:color w:val="17232B"/>
                <w:sz w:val="17"/>
              </w:rPr>
              <w:t>Safer delegation</w:t>
            </w:r>
          </w:p>
        </w:tc>
        <w:tc>
          <w:tcPr>
            <w:tcW w:type="dxa" w:w="3672"/>
            <w:shd w:fill="F8FAFB"/>
            <w:vAlign w:val="top"/>
          </w:tcPr>
          <w:p>
            <w:pPr>
              <w:spacing w:after="0"/>
            </w:pPr>
            <w:r>
              <w:rPr>
                <w:rFonts w:ascii="Calibri" w:hAnsi="Calibri" w:eastAsia="Calibri"/>
                <w:i w:val="0"/>
                <w:color w:val="17232B"/>
                <w:sz w:val="17"/>
              </w:rPr>
              <w:t>Every hop carries bounded, expiring, revocable authority</w:t>
            </w:r>
          </w:p>
        </w:tc>
        <w:tc>
          <w:tcPr>
            <w:tcW w:type="dxa" w:w="3456"/>
            <w:shd w:fill="F8FAFB"/>
            <w:vAlign w:val="top"/>
          </w:tcPr>
          <w:p>
            <w:pPr>
              <w:spacing w:after="0"/>
            </w:pPr>
            <w:r>
              <w:rPr>
                <w:rFonts w:ascii="Calibri" w:hAnsi="Calibri" w:eastAsia="Calibri"/>
                <w:i w:val="0"/>
                <w:color w:val="17232B"/>
                <w:sz w:val="17"/>
              </w:rPr>
              <w:t>MAP authority attenuation and checkpoints</w:t>
            </w:r>
          </w:p>
        </w:tc>
      </w:tr>
      <w:tr>
        <w:trPr>
          <w:cantSplit/>
        </w:trPr>
        <w:tc>
          <w:tcPr>
            <w:tcW w:type="dxa" w:w="2232"/>
            <w:shd w:fill="FFFFFF"/>
            <w:vAlign w:val="top"/>
          </w:tcPr>
          <w:p>
            <w:pPr>
              <w:spacing w:after="0"/>
            </w:pPr>
            <w:r>
              <w:rPr>
                <w:rFonts w:ascii="Calibri" w:hAnsi="Calibri" w:eastAsia="Calibri"/>
                <w:i w:val="0"/>
                <w:color w:val="17232B"/>
                <w:sz w:val="17"/>
              </w:rPr>
              <w:t>Auditable outcomes</w:t>
            </w:r>
          </w:p>
        </w:tc>
        <w:tc>
          <w:tcPr>
            <w:tcW w:type="dxa" w:w="3672"/>
            <w:shd w:fill="FFFFFF"/>
            <w:vAlign w:val="top"/>
          </w:tcPr>
          <w:p>
            <w:pPr>
              <w:spacing w:after="0"/>
            </w:pPr>
            <w:r>
              <w:rPr>
                <w:rFonts w:ascii="Calibri" w:hAnsi="Calibri" w:eastAsia="Calibri"/>
                <w:i w:val="0"/>
                <w:color w:val="17232B"/>
                <w:sz w:val="17"/>
              </w:rPr>
              <w:t>Operators can reconstruct who requested what and why it was accepted</w:t>
            </w:r>
          </w:p>
        </w:tc>
        <w:tc>
          <w:tcPr>
            <w:tcW w:type="dxa" w:w="3456"/>
            <w:shd w:fill="FFFFFF"/>
            <w:vAlign w:val="top"/>
          </w:tcPr>
          <w:p>
            <w:pPr>
              <w:spacing w:after="0"/>
            </w:pPr>
            <w:r>
              <w:rPr>
                <w:rFonts w:ascii="Calibri" w:hAnsi="Calibri" w:eastAsia="Calibri"/>
                <w:i w:val="0"/>
                <w:color w:val="17232B"/>
                <w:sz w:val="17"/>
              </w:rPr>
              <w:t>Signed receipts, trace context, provenance graph</w:t>
            </w:r>
          </w:p>
        </w:tc>
      </w:tr>
      <w:tr>
        <w:trPr>
          <w:cantSplit/>
        </w:trPr>
        <w:tc>
          <w:tcPr>
            <w:tcW w:type="dxa" w:w="2232"/>
            <w:shd w:fill="F8FAFB"/>
            <w:vAlign w:val="top"/>
          </w:tcPr>
          <w:p>
            <w:pPr>
              <w:spacing w:after="0"/>
            </w:pPr>
            <w:r>
              <w:rPr>
                <w:rFonts w:ascii="Calibri" w:hAnsi="Calibri" w:eastAsia="Calibri"/>
                <w:i w:val="0"/>
                <w:color w:val="17232B"/>
                <w:sz w:val="17"/>
              </w:rPr>
              <w:t>Better routing</w:t>
            </w:r>
          </w:p>
        </w:tc>
        <w:tc>
          <w:tcPr>
            <w:tcW w:type="dxa" w:w="3672"/>
            <w:shd w:fill="F8FAFB"/>
            <w:vAlign w:val="top"/>
          </w:tcPr>
          <w:p>
            <w:pPr>
              <w:spacing w:after="0"/>
            </w:pPr>
            <w:r>
              <w:rPr>
                <w:rFonts w:ascii="Calibri" w:hAnsi="Calibri" w:eastAsia="Calibri"/>
                <w:i w:val="0"/>
                <w:color w:val="17232B"/>
                <w:sz w:val="17"/>
              </w:rPr>
              <w:t>NERVE can match mission constraints to verified capabilities and readiness</w:t>
            </w:r>
          </w:p>
        </w:tc>
        <w:tc>
          <w:tcPr>
            <w:tcW w:type="dxa" w:w="3456"/>
            <w:shd w:fill="F8FAFB"/>
            <w:vAlign w:val="top"/>
          </w:tcPr>
          <w:p>
            <w:pPr>
              <w:spacing w:after="0"/>
            </w:pPr>
            <w:r>
              <w:rPr>
                <w:rFonts w:ascii="Calibri" w:hAnsi="Calibri" w:eastAsia="Calibri"/>
                <w:i w:val="0"/>
                <w:color w:val="17232B"/>
                <w:sz w:val="17"/>
              </w:rPr>
              <w:t>Agent Cards/OASF plus capability receipts</w:t>
            </w:r>
          </w:p>
        </w:tc>
      </w:tr>
      <w:tr>
        <w:trPr>
          <w:cantSplit/>
        </w:trPr>
        <w:tc>
          <w:tcPr>
            <w:tcW w:type="dxa" w:w="2232"/>
            <w:shd w:fill="FFFFFF"/>
            <w:vAlign w:val="top"/>
          </w:tcPr>
          <w:p>
            <w:pPr>
              <w:spacing w:after="0"/>
            </w:pPr>
            <w:r>
              <w:rPr>
                <w:rFonts w:ascii="Calibri" w:hAnsi="Calibri" w:eastAsia="Calibri"/>
                <w:i w:val="0"/>
                <w:color w:val="17232B"/>
                <w:sz w:val="17"/>
              </w:rPr>
              <w:t>Stronger evaluation</w:t>
            </w:r>
          </w:p>
        </w:tc>
        <w:tc>
          <w:tcPr>
            <w:tcW w:type="dxa" w:w="3672"/>
            <w:shd w:fill="FFFFFF"/>
            <w:vAlign w:val="top"/>
          </w:tcPr>
          <w:p>
            <w:pPr>
              <w:spacing w:after="0"/>
            </w:pPr>
            <w:r>
              <w:rPr>
                <w:rFonts w:ascii="Calibri" w:hAnsi="Calibri" w:eastAsia="Calibri"/>
                <w:i w:val="0"/>
                <w:color w:val="17232B"/>
                <w:sz w:val="17"/>
              </w:rPr>
              <w:t>Success conditions and evidence are defined before execution</w:t>
            </w:r>
          </w:p>
        </w:tc>
        <w:tc>
          <w:tcPr>
            <w:tcW w:type="dxa" w:w="3456"/>
            <w:shd w:fill="FFFFFF"/>
            <w:vAlign w:val="top"/>
          </w:tcPr>
          <w:p>
            <w:pPr>
              <w:spacing w:after="0"/>
            </w:pPr>
            <w:r>
              <w:rPr>
                <w:rFonts w:ascii="Calibri" w:hAnsi="Calibri" w:eastAsia="Calibri"/>
                <w:i w:val="0"/>
                <w:color w:val="17232B"/>
                <w:sz w:val="17"/>
              </w:rPr>
              <w:t>Mission Contracts and Evaluation Receipts</w:t>
            </w:r>
          </w:p>
        </w:tc>
      </w:tr>
      <w:tr>
        <w:trPr>
          <w:cantSplit/>
        </w:trPr>
        <w:tc>
          <w:tcPr>
            <w:tcW w:type="dxa" w:w="2232"/>
            <w:shd w:fill="F8FAFB"/>
            <w:vAlign w:val="top"/>
          </w:tcPr>
          <w:p>
            <w:pPr>
              <w:spacing w:after="0"/>
            </w:pPr>
            <w:r>
              <w:rPr>
                <w:rFonts w:ascii="Calibri" w:hAnsi="Calibri" w:eastAsia="Calibri"/>
                <w:i w:val="0"/>
                <w:color w:val="17232B"/>
                <w:sz w:val="17"/>
              </w:rPr>
              <w:t>Replay and simulation</w:t>
            </w:r>
          </w:p>
        </w:tc>
        <w:tc>
          <w:tcPr>
            <w:tcW w:type="dxa" w:w="3672"/>
            <w:shd w:fill="F8FAFB"/>
            <w:vAlign w:val="top"/>
          </w:tcPr>
          <w:p>
            <w:pPr>
              <w:spacing w:after="0"/>
            </w:pPr>
            <w:r>
              <w:rPr>
                <w:rFonts w:ascii="Calibri" w:hAnsi="Calibri" w:eastAsia="Calibri"/>
                <w:i w:val="0"/>
                <w:color w:val="17232B"/>
                <w:sz w:val="17"/>
              </w:rPr>
              <w:t>Shadow Twin and incident analysis can replay state transitions without private reasoning</w:t>
            </w:r>
          </w:p>
        </w:tc>
        <w:tc>
          <w:tcPr>
            <w:tcW w:type="dxa" w:w="3456"/>
            <w:shd w:fill="F8FAFB"/>
            <w:vAlign w:val="top"/>
          </w:tcPr>
          <w:p>
            <w:pPr>
              <w:spacing w:after="0"/>
            </w:pPr>
            <w:r>
              <w:rPr>
                <w:rFonts w:ascii="Calibri" w:hAnsi="Calibri" w:eastAsia="Calibri"/>
                <w:i w:val="0"/>
                <w:color w:val="17232B"/>
                <w:sz w:val="17"/>
              </w:rPr>
              <w:t>immutable events, digests, versioned images</w:t>
            </w:r>
          </w:p>
        </w:tc>
      </w:tr>
      <w:tr>
        <w:trPr>
          <w:cantSplit/>
        </w:trPr>
        <w:tc>
          <w:tcPr>
            <w:tcW w:type="dxa" w:w="2232"/>
            <w:shd w:fill="FFFFFF"/>
            <w:vAlign w:val="top"/>
          </w:tcPr>
          <w:p>
            <w:pPr>
              <w:spacing w:after="0"/>
            </w:pPr>
            <w:r>
              <w:rPr>
                <w:rFonts w:ascii="Calibri" w:hAnsi="Calibri" w:eastAsia="Calibri"/>
                <w:i w:val="0"/>
                <w:color w:val="17232B"/>
                <w:sz w:val="17"/>
              </w:rPr>
              <w:t>Vendor and model neutrality</w:t>
            </w:r>
          </w:p>
        </w:tc>
        <w:tc>
          <w:tcPr>
            <w:tcW w:type="dxa" w:w="3672"/>
            <w:shd w:fill="FFFFFF"/>
            <w:vAlign w:val="top"/>
          </w:tcPr>
          <w:p>
            <w:pPr>
              <w:spacing w:after="0"/>
            </w:pPr>
            <w:r>
              <w:rPr>
                <w:rFonts w:ascii="Calibri" w:hAnsi="Calibri" w:eastAsia="Calibri"/>
                <w:i w:val="0"/>
                <w:color w:val="17232B"/>
                <w:sz w:val="17"/>
              </w:rPr>
              <w:t>Models, planners, tools, and policy engines remain replaceable</w:t>
            </w:r>
          </w:p>
        </w:tc>
        <w:tc>
          <w:tcPr>
            <w:tcW w:type="dxa" w:w="3456"/>
            <w:shd w:fill="FFFFFF"/>
            <w:vAlign w:val="top"/>
          </w:tcPr>
          <w:p>
            <w:pPr>
              <w:spacing w:after="0"/>
            </w:pPr>
            <w:r>
              <w:rPr>
                <w:rFonts w:ascii="Calibri" w:hAnsi="Calibri" w:eastAsia="Calibri"/>
                <w:i w:val="0"/>
                <w:color w:val="17232B"/>
                <w:sz w:val="17"/>
              </w:rPr>
              <w:t>standard boundary, opaque internals</w:t>
            </w:r>
          </w:p>
        </w:tc>
      </w:tr>
      <w:tr>
        <w:trPr>
          <w:cantSplit/>
        </w:trPr>
        <w:tc>
          <w:tcPr>
            <w:tcW w:type="dxa" w:w="2232"/>
            <w:shd w:fill="F8FAFB"/>
            <w:vAlign w:val="top"/>
          </w:tcPr>
          <w:p>
            <w:pPr>
              <w:spacing w:after="0"/>
            </w:pPr>
            <w:r>
              <w:rPr>
                <w:rFonts w:ascii="Calibri" w:hAnsi="Calibri" w:eastAsia="Calibri"/>
                <w:i w:val="0"/>
                <w:color w:val="17232B"/>
                <w:sz w:val="17"/>
              </w:rPr>
              <w:t>Cross-enterprise federation</w:t>
            </w:r>
          </w:p>
        </w:tc>
        <w:tc>
          <w:tcPr>
            <w:tcW w:type="dxa" w:w="3672"/>
            <w:shd w:fill="F8FAFB"/>
            <w:vAlign w:val="top"/>
          </w:tcPr>
          <w:p>
            <w:pPr>
              <w:spacing w:after="0"/>
            </w:pPr>
            <w:r>
              <w:rPr>
                <w:rFonts w:ascii="Calibri" w:hAnsi="Calibri" w:eastAsia="Calibri"/>
                <w:i w:val="0"/>
                <w:color w:val="17232B"/>
                <w:sz w:val="17"/>
              </w:rPr>
              <w:t>Organizations can collaborate without sharing full internal state</w:t>
            </w:r>
          </w:p>
        </w:tc>
        <w:tc>
          <w:tcPr>
            <w:tcW w:type="dxa" w:w="3456"/>
            <w:shd w:fill="F8FAFB"/>
            <w:vAlign w:val="top"/>
          </w:tcPr>
          <w:p>
            <w:pPr>
              <w:spacing w:after="0"/>
            </w:pPr>
            <w:r>
              <w:rPr>
                <w:rFonts w:ascii="Calibri" w:hAnsi="Calibri" w:eastAsia="Calibri"/>
                <w:i w:val="0"/>
                <w:color w:val="17232B"/>
                <w:sz w:val="17"/>
              </w:rPr>
              <w:t>attenuated grants, selective disclosure, trust-domain identity</w:t>
            </w:r>
          </w:p>
        </w:tc>
      </w:tr>
      <w:tr>
        <w:trPr>
          <w:cantSplit/>
        </w:trPr>
        <w:tc>
          <w:tcPr>
            <w:tcW w:type="dxa" w:w="2232"/>
            <w:shd w:fill="FFFFFF"/>
            <w:vAlign w:val="top"/>
          </w:tcPr>
          <w:p>
            <w:pPr>
              <w:spacing w:after="0"/>
            </w:pPr>
            <w:r>
              <w:rPr>
                <w:rFonts w:ascii="Calibri" w:hAnsi="Calibri" w:eastAsia="Calibri"/>
                <w:i w:val="0"/>
                <w:color w:val="17232B"/>
                <w:sz w:val="17"/>
              </w:rPr>
              <w:t>Governance by design</w:t>
            </w:r>
          </w:p>
        </w:tc>
        <w:tc>
          <w:tcPr>
            <w:tcW w:type="dxa" w:w="3672"/>
            <w:shd w:fill="FFFFFF"/>
            <w:vAlign w:val="top"/>
          </w:tcPr>
          <w:p>
            <w:pPr>
              <w:spacing w:after="0"/>
            </w:pPr>
            <w:r>
              <w:rPr>
                <w:rFonts w:ascii="Calibri" w:hAnsi="Calibri" w:eastAsia="Calibri"/>
                <w:i w:val="0"/>
                <w:color w:val="17232B"/>
                <w:sz w:val="17"/>
              </w:rPr>
              <w:t>Approvals and escalation are protocol states, not UI afterthoughts</w:t>
            </w:r>
          </w:p>
        </w:tc>
        <w:tc>
          <w:tcPr>
            <w:tcW w:type="dxa" w:w="3456"/>
            <w:shd w:fill="FFFFFF"/>
            <w:vAlign w:val="top"/>
          </w:tcPr>
          <w:p>
            <w:pPr>
              <w:spacing w:after="0"/>
            </w:pPr>
            <w:r>
              <w:rPr>
                <w:rFonts w:ascii="Calibri" w:hAnsi="Calibri" w:eastAsia="Calibri"/>
                <w:i w:val="0"/>
                <w:color w:val="17232B"/>
                <w:sz w:val="17"/>
              </w:rPr>
              <w:t>explicit lifecycle and Warden enforcement</w:t>
            </w:r>
          </w:p>
        </w:tc>
      </w:tr>
      <w:tr>
        <w:trPr>
          <w:cantSplit/>
        </w:trPr>
        <w:tc>
          <w:tcPr>
            <w:tcW w:type="dxa" w:w="2232"/>
            <w:shd w:fill="F8FAFB"/>
            <w:vAlign w:val="top"/>
          </w:tcPr>
          <w:p>
            <w:pPr>
              <w:spacing w:after="0"/>
            </w:pPr>
            <w:r>
              <w:rPr>
                <w:rFonts w:ascii="Calibri" w:hAnsi="Calibri" w:eastAsia="Calibri"/>
                <w:i w:val="0"/>
                <w:color w:val="17232B"/>
                <w:sz w:val="17"/>
              </w:rPr>
              <w:t>A foundation for markets</w:t>
            </w:r>
          </w:p>
        </w:tc>
        <w:tc>
          <w:tcPr>
            <w:tcW w:type="dxa" w:w="3672"/>
            <w:shd w:fill="F8FAFB"/>
            <w:vAlign w:val="top"/>
          </w:tcPr>
          <w:p>
            <w:pPr>
              <w:spacing w:after="0"/>
            </w:pPr>
            <w:r>
              <w:rPr>
                <w:rFonts w:ascii="Calibri" w:hAnsi="Calibri" w:eastAsia="Calibri"/>
                <w:i w:val="0"/>
                <w:color w:val="17232B"/>
                <w:sz w:val="17"/>
              </w:rPr>
              <w:t>Capabilities, quality, cost, and evidence become comparable</w:t>
            </w:r>
          </w:p>
        </w:tc>
        <w:tc>
          <w:tcPr>
            <w:tcW w:type="dxa" w:w="3456"/>
            <w:shd w:fill="F8FAFB"/>
            <w:vAlign w:val="top"/>
          </w:tcPr>
          <w:p>
            <w:pPr>
              <w:spacing w:after="0"/>
            </w:pPr>
            <w:r>
              <w:rPr>
                <w:rFonts w:ascii="Calibri" w:hAnsi="Calibri" w:eastAsia="Calibri"/>
                <w:i w:val="0"/>
                <w:color w:val="17232B"/>
                <w:sz w:val="17"/>
              </w:rPr>
              <w:t>signed capability/evaluation records</w:t>
            </w:r>
          </w:p>
        </w:tc>
      </w:tr>
    </w:tbl>
    <w:p>
      <w:pPr>
        <w:pStyle w:val="TableCitation"/>
      </w:pPr>
      <w:r>
        <w:t>Source: synthesis of cited specifications; assessments are the author’s analysis.</w:t>
      </w:r>
    </w:p>
    <w:p>
      <w:pPr>
        <w:pStyle w:val="Heading2"/>
        <w:keepNext/>
        <w:keepLines/>
      </w:pPr>
      <w:r>
        <w:t>Costs and risks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1944"/>
        <w:gridCol w:w="1224"/>
        <w:gridCol w:w="2952"/>
        <w:gridCol w:w="3240"/>
      </w:tblGrid>
      <w:tr>
        <w:trPr>
          <w:tblHeader w:val="true"/>
          <w:cantSplit/>
        </w:trPr>
        <w:tc>
          <w:tcPr>
            <w:tcW w:type="dxa" w:w="1944"/>
            <w:tcMar>
              <w:top w:w="80" w:type="dxa"/>
              <w:start w:w="120" w:type="dxa"/>
              <w:bottom w:w="80" w:type="dxa"/>
              <w:end w:w="120" w:type="dxa"/>
            </w:tcMar>
            <w:shd w:fill="17232B"/>
          </w:tcPr>
          <w:p>
            <w:pPr>
              <w:spacing w:after="0"/>
            </w:pPr>
            <w:r>
              <w:rPr>
                <w:rFonts w:ascii="Calibri" w:hAnsi="Calibri" w:eastAsia="Calibri"/>
                <w:i w:val="0"/>
                <w:color w:val="FFFFFF"/>
                <w:sz w:val="18"/>
              </w:rPr>
              <w:t>Cost or risk</w:t>
            </w:r>
          </w:p>
        </w:tc>
        <w:tc>
          <w:tcPr>
            <w:tcW w:type="dxa" w:w="1224"/>
            <w:tcMar>
              <w:top w:w="80" w:type="dxa"/>
              <w:start w:w="120" w:type="dxa"/>
              <w:bottom w:w="80" w:type="dxa"/>
              <w:end w:w="120" w:type="dxa"/>
            </w:tcMar>
            <w:shd w:fill="17232B"/>
          </w:tcPr>
          <w:p>
            <w:pPr>
              <w:spacing w:after="0"/>
            </w:pPr>
            <w:r>
              <w:rPr>
                <w:rFonts w:ascii="Calibri" w:hAnsi="Calibri" w:eastAsia="Calibri"/>
                <w:i w:val="0"/>
                <w:color w:val="FFFFFF"/>
                <w:sz w:val="18"/>
              </w:rPr>
              <w:t>Severity</w:t>
            </w:r>
          </w:p>
        </w:tc>
        <w:tc>
          <w:tcPr>
            <w:tcW w:type="dxa" w:w="2952"/>
            <w:tcMar>
              <w:top w:w="80" w:type="dxa"/>
              <w:start w:w="120" w:type="dxa"/>
              <w:bottom w:w="80" w:type="dxa"/>
              <w:end w:w="120" w:type="dxa"/>
            </w:tcMar>
            <w:shd w:fill="17232B"/>
          </w:tcPr>
          <w:p>
            <w:pPr>
              <w:spacing w:after="0"/>
            </w:pPr>
            <w:r>
              <w:rPr>
                <w:rFonts w:ascii="Calibri" w:hAnsi="Calibri" w:eastAsia="Calibri"/>
                <w:i w:val="0"/>
                <w:color w:val="FFFFFF"/>
                <w:sz w:val="18"/>
              </w:rPr>
              <w:t>Why it is real</w:t>
            </w:r>
          </w:p>
        </w:tc>
        <w:tc>
          <w:tcPr>
            <w:tcW w:type="dxa" w:w="3240"/>
            <w:tcMar>
              <w:top w:w="80" w:type="dxa"/>
              <w:start w:w="120" w:type="dxa"/>
              <w:bottom w:w="80" w:type="dxa"/>
              <w:end w:w="120" w:type="dxa"/>
            </w:tcMar>
            <w:shd w:fill="17232B"/>
          </w:tcPr>
          <w:p>
            <w:pPr>
              <w:spacing w:after="0"/>
            </w:pPr>
            <w:r>
              <w:rPr>
                <w:rFonts w:ascii="Calibri" w:hAnsi="Calibri" w:eastAsia="Calibri"/>
                <w:i w:val="0"/>
                <w:color w:val="FFFFFF"/>
                <w:sz w:val="18"/>
              </w:rPr>
              <w:t>Mitigation</w:t>
            </w:r>
          </w:p>
        </w:tc>
      </w:tr>
      <w:tr>
        <w:trPr>
          <w:cantSplit/>
        </w:trPr>
        <w:tc>
          <w:tcPr>
            <w:tcW w:type="dxa" w:w="1944"/>
            <w:shd w:fill="FFFFFF"/>
            <w:vAlign w:val="top"/>
          </w:tcPr>
          <w:p>
            <w:pPr>
              <w:spacing w:after="0"/>
            </w:pPr>
            <w:r>
              <w:rPr>
                <w:rFonts w:ascii="Calibri" w:hAnsi="Calibri" w:eastAsia="Calibri"/>
                <w:i w:val="0"/>
                <w:color w:val="17232B"/>
                <w:sz w:val="17"/>
              </w:rPr>
              <w:t>Premature standardization</w:t>
            </w:r>
          </w:p>
        </w:tc>
        <w:tc>
          <w:tcPr>
            <w:tcW w:type="dxa" w:w="1224"/>
            <w:shd w:fill="FFFFFF"/>
            <w:vAlign w:val="top"/>
          </w:tcPr>
          <w:p>
            <w:pPr>
              <w:spacing w:after="0"/>
            </w:pPr>
            <w:r>
              <w:rPr>
                <w:rFonts w:ascii="Calibri" w:hAnsi="Calibri" w:eastAsia="Calibri"/>
                <w:i w:val="0"/>
                <w:color w:val="17232B"/>
                <w:sz w:val="17"/>
              </w:rPr>
              <w:t>High</w:t>
            </w:r>
          </w:p>
        </w:tc>
        <w:tc>
          <w:tcPr>
            <w:tcW w:type="dxa" w:w="2952"/>
            <w:shd w:fill="FFFFFF"/>
            <w:vAlign w:val="top"/>
          </w:tcPr>
          <w:p>
            <w:pPr>
              <w:spacing w:after="0"/>
            </w:pPr>
            <w:r>
              <w:rPr>
                <w:rFonts w:ascii="Calibri" w:hAnsi="Calibri" w:eastAsia="Calibri"/>
                <w:i w:val="0"/>
                <w:color w:val="17232B"/>
                <w:sz w:val="17"/>
              </w:rPr>
              <w:t>MCP, A2A, IETF work, ACS, and observability conventions are evolving quickly</w:t>
            </w:r>
          </w:p>
        </w:tc>
        <w:tc>
          <w:tcPr>
            <w:tcW w:type="dxa" w:w="3240"/>
            <w:shd w:fill="FFFFFF"/>
            <w:vAlign w:val="top"/>
          </w:tcPr>
          <w:p>
            <w:pPr>
              <w:spacing w:after="0"/>
            </w:pPr>
            <w:r>
              <w:rPr>
                <w:rFonts w:ascii="Calibri" w:hAnsi="Calibri" w:eastAsia="Calibri"/>
                <w:i w:val="0"/>
                <w:color w:val="17232B"/>
                <w:sz w:val="17"/>
              </w:rPr>
              <w:t>keep v0.1 internal and adapter-based; six-month review window</w:t>
            </w:r>
          </w:p>
        </w:tc>
      </w:tr>
      <w:tr>
        <w:trPr>
          <w:cantSplit/>
        </w:trPr>
        <w:tc>
          <w:tcPr>
            <w:tcW w:type="dxa" w:w="1944"/>
            <w:shd w:fill="F8FAFB"/>
            <w:vAlign w:val="top"/>
          </w:tcPr>
          <w:p>
            <w:pPr>
              <w:spacing w:after="0"/>
            </w:pPr>
            <w:r>
              <w:rPr>
                <w:rFonts w:ascii="Calibri" w:hAnsi="Calibri" w:eastAsia="Calibri"/>
                <w:i w:val="0"/>
                <w:color w:val="17232B"/>
                <w:sz w:val="17"/>
              </w:rPr>
              <w:t>Protocol complexity</w:t>
            </w:r>
          </w:p>
        </w:tc>
        <w:tc>
          <w:tcPr>
            <w:tcW w:type="dxa" w:w="1224"/>
            <w:shd w:fill="F8FAFB"/>
            <w:vAlign w:val="top"/>
          </w:tcPr>
          <w:p>
            <w:pPr>
              <w:spacing w:after="0"/>
            </w:pPr>
            <w:r>
              <w:rPr>
                <w:rFonts w:ascii="Calibri" w:hAnsi="Calibri" w:eastAsia="Calibri"/>
                <w:i w:val="0"/>
                <w:color w:val="17232B"/>
                <w:sz w:val="17"/>
              </w:rPr>
              <w:t>High</w:t>
            </w:r>
          </w:p>
        </w:tc>
        <w:tc>
          <w:tcPr>
            <w:tcW w:type="dxa" w:w="2952"/>
            <w:shd w:fill="F8FAFB"/>
            <w:vAlign w:val="top"/>
          </w:tcPr>
          <w:p>
            <w:pPr>
              <w:spacing w:after="0"/>
            </w:pPr>
            <w:r>
              <w:rPr>
                <w:rFonts w:ascii="Calibri" w:hAnsi="Calibri" w:eastAsia="Calibri"/>
                <w:i w:val="0"/>
                <w:color w:val="17232B"/>
                <w:sz w:val="17"/>
              </w:rPr>
              <w:t>Identity, authority, evidence, and lifecycle can overwhelm simple agents</w:t>
            </w:r>
          </w:p>
        </w:tc>
        <w:tc>
          <w:tcPr>
            <w:tcW w:type="dxa" w:w="3240"/>
            <w:shd w:fill="F8FAFB"/>
            <w:vAlign w:val="top"/>
          </w:tcPr>
          <w:p>
            <w:pPr>
              <w:spacing w:after="0"/>
            </w:pPr>
            <w:r>
              <w:rPr>
                <w:rFonts w:ascii="Calibri" w:hAnsi="Calibri" w:eastAsia="Calibri"/>
                <w:i w:val="0"/>
                <w:color w:val="17232B"/>
                <w:sz w:val="17"/>
              </w:rPr>
              <w:t>tiny AP-Core; optional cumulative profiles; generated SDKs</w:t>
            </w:r>
          </w:p>
        </w:tc>
      </w:tr>
      <w:tr>
        <w:trPr>
          <w:cantSplit/>
        </w:trPr>
        <w:tc>
          <w:tcPr>
            <w:tcW w:type="dxa" w:w="1944"/>
            <w:shd w:fill="FFFFFF"/>
            <w:vAlign w:val="top"/>
          </w:tcPr>
          <w:p>
            <w:pPr>
              <w:spacing w:after="0"/>
            </w:pPr>
            <w:r>
              <w:rPr>
                <w:rFonts w:ascii="Calibri" w:hAnsi="Calibri" w:eastAsia="Calibri"/>
                <w:i w:val="0"/>
                <w:color w:val="17232B"/>
                <w:sz w:val="17"/>
              </w:rPr>
              <w:t>Latency and storage overhead</w:t>
            </w:r>
          </w:p>
        </w:tc>
        <w:tc>
          <w:tcPr>
            <w:tcW w:type="dxa" w:w="1224"/>
            <w:shd w:fill="FFFFFF"/>
            <w:vAlign w:val="top"/>
          </w:tcPr>
          <w:p>
            <w:pPr>
              <w:spacing w:after="0"/>
            </w:pPr>
            <w:r>
              <w:rPr>
                <w:rFonts w:ascii="Calibri" w:hAnsi="Calibri" w:eastAsia="Calibri"/>
                <w:i w:val="0"/>
                <w:color w:val="17232B"/>
                <w:sz w:val="17"/>
              </w:rPr>
              <w:t>Medium–High</w:t>
            </w:r>
          </w:p>
        </w:tc>
        <w:tc>
          <w:tcPr>
            <w:tcW w:type="dxa" w:w="2952"/>
            <w:shd w:fill="FFFFFF"/>
            <w:vAlign w:val="top"/>
          </w:tcPr>
          <w:p>
            <w:pPr>
              <w:spacing w:after="0"/>
            </w:pPr>
            <w:r>
              <w:rPr>
                <w:rFonts w:ascii="Calibri" w:hAnsi="Calibri" w:eastAsia="Calibri"/>
                <w:i w:val="0"/>
                <w:color w:val="17232B"/>
                <w:sz w:val="17"/>
              </w:rPr>
              <w:t>signatures, policy checks, receipts, and telemetry add work</w:t>
            </w:r>
          </w:p>
        </w:tc>
        <w:tc>
          <w:tcPr>
            <w:tcW w:type="dxa" w:w="3240"/>
            <w:shd w:fill="FFFFFF"/>
            <w:vAlign w:val="top"/>
          </w:tcPr>
          <w:p>
            <w:pPr>
              <w:spacing w:after="0"/>
            </w:pPr>
            <w:r>
              <w:rPr>
                <w:rFonts w:ascii="Calibri" w:hAnsi="Calibri" w:eastAsia="Calibri"/>
                <w:i w:val="0"/>
                <w:color w:val="17232B"/>
                <w:sz w:val="17"/>
              </w:rPr>
              <w:t>risk-tiered receipts; batch low-risk telemetry; measure p95 overhead</w:t>
            </w:r>
          </w:p>
        </w:tc>
      </w:tr>
      <w:tr>
        <w:trPr>
          <w:cantSplit/>
        </w:trPr>
        <w:tc>
          <w:tcPr>
            <w:tcW w:type="dxa" w:w="1944"/>
            <w:shd w:fill="F8FAFB"/>
            <w:vAlign w:val="top"/>
          </w:tcPr>
          <w:p>
            <w:pPr>
              <w:spacing w:after="0"/>
            </w:pPr>
            <w:r>
              <w:rPr>
                <w:rFonts w:ascii="Calibri" w:hAnsi="Calibri" w:eastAsia="Calibri"/>
                <w:i w:val="0"/>
                <w:color w:val="17232B"/>
                <w:sz w:val="17"/>
              </w:rPr>
              <w:t>False assurance</w:t>
            </w:r>
          </w:p>
        </w:tc>
        <w:tc>
          <w:tcPr>
            <w:tcW w:type="dxa" w:w="1224"/>
            <w:shd w:fill="F8FAFB"/>
            <w:vAlign w:val="top"/>
          </w:tcPr>
          <w:p>
            <w:pPr>
              <w:spacing w:after="0"/>
            </w:pPr>
            <w:r>
              <w:rPr>
                <w:rFonts w:ascii="Calibri" w:hAnsi="Calibri" w:eastAsia="Calibri"/>
                <w:i w:val="0"/>
                <w:color w:val="17232B"/>
                <w:sz w:val="17"/>
              </w:rPr>
              <w:t>High</w:t>
            </w:r>
          </w:p>
        </w:tc>
        <w:tc>
          <w:tcPr>
            <w:tcW w:type="dxa" w:w="2952"/>
            <w:shd w:fill="F8FAFB"/>
            <w:vAlign w:val="top"/>
          </w:tcPr>
          <w:p>
            <w:pPr>
              <w:spacing w:after="0"/>
            </w:pPr>
            <w:r>
              <w:rPr>
                <w:rFonts w:ascii="Calibri" w:hAnsi="Calibri" w:eastAsia="Calibri"/>
                <w:i w:val="0"/>
                <w:color w:val="17232B"/>
                <w:sz w:val="17"/>
              </w:rPr>
              <w:t>a valid receipt proves a process event, not that an AI judgment was correct</w:t>
            </w:r>
          </w:p>
        </w:tc>
        <w:tc>
          <w:tcPr>
            <w:tcW w:type="dxa" w:w="3240"/>
            <w:shd w:fill="F8FAFB"/>
            <w:vAlign w:val="top"/>
          </w:tcPr>
          <w:p>
            <w:pPr>
              <w:spacing w:after="0"/>
            </w:pPr>
            <w:r>
              <w:rPr>
                <w:rFonts w:ascii="Calibri" w:hAnsi="Calibri" w:eastAsia="Calibri"/>
                <w:i w:val="0"/>
                <w:color w:val="17232B"/>
                <w:sz w:val="17"/>
              </w:rPr>
              <w:t>distinguish integrity, policy compliance, and substantive truth; require independent verification where needed</w:t>
            </w:r>
          </w:p>
        </w:tc>
      </w:tr>
      <w:tr>
        <w:trPr>
          <w:cantSplit/>
        </w:trPr>
        <w:tc>
          <w:tcPr>
            <w:tcW w:type="dxa" w:w="1944"/>
            <w:shd w:fill="FFFFFF"/>
            <w:vAlign w:val="top"/>
          </w:tcPr>
          <w:p>
            <w:pPr>
              <w:spacing w:after="0"/>
            </w:pPr>
            <w:r>
              <w:rPr>
                <w:rFonts w:ascii="Calibri" w:hAnsi="Calibri" w:eastAsia="Calibri"/>
                <w:i w:val="0"/>
                <w:color w:val="17232B"/>
                <w:sz w:val="17"/>
              </w:rPr>
              <w:t>Privacy leakage</w:t>
            </w:r>
          </w:p>
        </w:tc>
        <w:tc>
          <w:tcPr>
            <w:tcW w:type="dxa" w:w="1224"/>
            <w:shd w:fill="FFFFFF"/>
            <w:vAlign w:val="top"/>
          </w:tcPr>
          <w:p>
            <w:pPr>
              <w:spacing w:after="0"/>
            </w:pPr>
            <w:r>
              <w:rPr>
                <w:rFonts w:ascii="Calibri" w:hAnsi="Calibri" w:eastAsia="Calibri"/>
                <w:i w:val="0"/>
                <w:color w:val="17232B"/>
                <w:sz w:val="17"/>
              </w:rPr>
              <w:t>High</w:t>
            </w:r>
          </w:p>
        </w:tc>
        <w:tc>
          <w:tcPr>
            <w:tcW w:type="dxa" w:w="2952"/>
            <w:shd w:fill="FFFFFF"/>
            <w:vAlign w:val="top"/>
          </w:tcPr>
          <w:p>
            <w:pPr>
              <w:spacing w:after="0"/>
            </w:pPr>
            <w:r>
              <w:rPr>
                <w:rFonts w:ascii="Calibri" w:hAnsi="Calibri" w:eastAsia="Calibri"/>
                <w:i w:val="0"/>
                <w:color w:val="17232B"/>
                <w:sz w:val="17"/>
              </w:rPr>
              <w:t>traces can reveal prompts, data, relationships, or sensitive decisions</w:t>
            </w:r>
          </w:p>
        </w:tc>
        <w:tc>
          <w:tcPr>
            <w:tcW w:type="dxa" w:w="3240"/>
            <w:shd w:fill="FFFFFF"/>
            <w:vAlign w:val="top"/>
          </w:tcPr>
          <w:p>
            <w:pPr>
              <w:spacing w:after="0"/>
            </w:pPr>
            <w:r>
              <w:rPr>
                <w:rFonts w:ascii="Calibri" w:hAnsi="Calibri" w:eastAsia="Calibri"/>
                <w:i w:val="0"/>
                <w:color w:val="17232B"/>
                <w:sz w:val="17"/>
              </w:rPr>
              <w:t>data minimization, digests, access references, selective disclosure, retention limits; no chain-of-thought</w:t>
            </w:r>
          </w:p>
        </w:tc>
      </w:tr>
      <w:tr>
        <w:trPr>
          <w:cantSplit/>
        </w:trPr>
        <w:tc>
          <w:tcPr>
            <w:tcW w:type="dxa" w:w="1944"/>
            <w:shd w:fill="F8FAFB"/>
            <w:vAlign w:val="top"/>
          </w:tcPr>
          <w:p>
            <w:pPr>
              <w:spacing w:after="0"/>
            </w:pPr>
            <w:r>
              <w:rPr>
                <w:rFonts w:ascii="Calibri" w:hAnsi="Calibri" w:eastAsia="Calibri"/>
                <w:i w:val="0"/>
                <w:color w:val="17232B"/>
                <w:sz w:val="17"/>
              </w:rPr>
              <w:t>Expanded attack surface</w:t>
            </w:r>
          </w:p>
        </w:tc>
        <w:tc>
          <w:tcPr>
            <w:tcW w:type="dxa" w:w="1224"/>
            <w:shd w:fill="F8FAFB"/>
            <w:vAlign w:val="top"/>
          </w:tcPr>
          <w:p>
            <w:pPr>
              <w:spacing w:after="0"/>
            </w:pPr>
            <w:r>
              <w:rPr>
                <w:rFonts w:ascii="Calibri" w:hAnsi="Calibri" w:eastAsia="Calibri"/>
                <w:i w:val="0"/>
                <w:color w:val="17232B"/>
                <w:sz w:val="17"/>
              </w:rPr>
              <w:t>High</w:t>
            </w:r>
          </w:p>
        </w:tc>
        <w:tc>
          <w:tcPr>
            <w:tcW w:type="dxa" w:w="2952"/>
            <w:shd w:fill="F8FAFB"/>
            <w:vAlign w:val="top"/>
          </w:tcPr>
          <w:p>
            <w:pPr>
              <w:spacing w:after="0"/>
            </w:pPr>
            <w:r>
              <w:rPr>
                <w:rFonts w:ascii="Calibri" w:hAnsi="Calibri" w:eastAsia="Calibri"/>
                <w:i w:val="0"/>
                <w:color w:val="17232B"/>
                <w:sz w:val="17"/>
              </w:rPr>
              <w:t>discovery records, credentials, extensions, and routing metadata can be poisoned or spoofed</w:t>
            </w:r>
          </w:p>
        </w:tc>
        <w:tc>
          <w:tcPr>
            <w:tcW w:type="dxa" w:w="3240"/>
            <w:shd w:fill="F8FAFB"/>
            <w:vAlign w:val="top"/>
          </w:tcPr>
          <w:p>
            <w:pPr>
              <w:spacing w:after="0"/>
            </w:pPr>
            <w:r>
              <w:rPr>
                <w:rFonts w:ascii="Calibri" w:hAnsi="Calibri" w:eastAsia="Calibri"/>
                <w:i w:val="0"/>
                <w:color w:val="17232B"/>
                <w:sz w:val="17"/>
              </w:rPr>
              <w:t>signed advertisements, issuer trust policy, schema validation, deny unknown required extensions</w:t>
            </w:r>
          </w:p>
        </w:tc>
      </w:tr>
      <w:tr>
        <w:trPr>
          <w:cantSplit/>
        </w:trPr>
        <w:tc>
          <w:tcPr>
            <w:tcW w:type="dxa" w:w="1944"/>
            <w:shd w:fill="FFFFFF"/>
            <w:vAlign w:val="top"/>
          </w:tcPr>
          <w:p>
            <w:pPr>
              <w:spacing w:after="0"/>
            </w:pPr>
            <w:r>
              <w:rPr>
                <w:rFonts w:ascii="Calibri" w:hAnsi="Calibri" w:eastAsia="Calibri"/>
                <w:i w:val="0"/>
                <w:color w:val="17232B"/>
                <w:sz w:val="17"/>
              </w:rPr>
              <w:t>Lowest-common-denominator behavior</w:t>
            </w:r>
          </w:p>
        </w:tc>
        <w:tc>
          <w:tcPr>
            <w:tcW w:type="dxa" w:w="1224"/>
            <w:shd w:fill="FFFFFF"/>
            <w:vAlign w:val="top"/>
          </w:tcPr>
          <w:p>
            <w:pPr>
              <w:spacing w:after="0"/>
            </w:pPr>
            <w:r>
              <w:rPr>
                <w:rFonts w:ascii="Calibri" w:hAnsi="Calibri" w:eastAsia="Calibri"/>
                <w:i w:val="0"/>
                <w:color w:val="17232B"/>
                <w:sz w:val="17"/>
              </w:rPr>
              <w:t>Medium</w:t>
            </w:r>
          </w:p>
        </w:tc>
        <w:tc>
          <w:tcPr>
            <w:tcW w:type="dxa" w:w="2952"/>
            <w:shd w:fill="FFFFFF"/>
            <w:vAlign w:val="top"/>
          </w:tcPr>
          <w:p>
            <w:pPr>
              <w:spacing w:after="0"/>
            </w:pPr>
            <w:r>
              <w:rPr>
                <w:rFonts w:ascii="Calibri" w:hAnsi="Calibri" w:eastAsia="Calibri"/>
                <w:i w:val="0"/>
                <w:color w:val="17232B"/>
                <w:sz w:val="17"/>
              </w:rPr>
              <w:t>strict common schemas can suppress useful agent-specific capabilities</w:t>
            </w:r>
          </w:p>
        </w:tc>
        <w:tc>
          <w:tcPr>
            <w:tcW w:type="dxa" w:w="3240"/>
            <w:shd w:fill="FFFFFF"/>
            <w:vAlign w:val="top"/>
          </w:tcPr>
          <w:p>
            <w:pPr>
              <w:spacing w:after="0"/>
            </w:pPr>
            <w:r>
              <w:rPr>
                <w:rFonts w:ascii="Calibri" w:hAnsi="Calibri" w:eastAsia="Calibri"/>
                <w:i w:val="0"/>
                <w:color w:val="17232B"/>
                <w:sz w:val="17"/>
              </w:rPr>
              <w:t>extensions and domain packs; standardize outcomes rather than planners</w:t>
            </w:r>
          </w:p>
        </w:tc>
      </w:tr>
      <w:tr>
        <w:trPr>
          <w:cantSplit/>
        </w:trPr>
        <w:tc>
          <w:tcPr>
            <w:tcW w:type="dxa" w:w="1944"/>
            <w:shd w:fill="F8FAFB"/>
            <w:vAlign w:val="top"/>
          </w:tcPr>
          <w:p>
            <w:pPr>
              <w:spacing w:after="0"/>
            </w:pPr>
            <w:r>
              <w:rPr>
                <w:rFonts w:ascii="Calibri" w:hAnsi="Calibri" w:eastAsia="Calibri"/>
                <w:i w:val="0"/>
                <w:color w:val="17232B"/>
                <w:sz w:val="17"/>
              </w:rPr>
              <w:t>Governance capture</w:t>
            </w:r>
          </w:p>
        </w:tc>
        <w:tc>
          <w:tcPr>
            <w:tcW w:type="dxa" w:w="1224"/>
            <w:shd w:fill="F8FAFB"/>
            <w:vAlign w:val="top"/>
          </w:tcPr>
          <w:p>
            <w:pPr>
              <w:spacing w:after="0"/>
            </w:pPr>
            <w:r>
              <w:rPr>
                <w:rFonts w:ascii="Calibri" w:hAnsi="Calibri" w:eastAsia="Calibri"/>
                <w:i w:val="0"/>
                <w:color w:val="17232B"/>
                <w:sz w:val="17"/>
              </w:rPr>
              <w:t>Medium–High</w:t>
            </w:r>
          </w:p>
        </w:tc>
        <w:tc>
          <w:tcPr>
            <w:tcW w:type="dxa" w:w="2952"/>
            <w:shd w:fill="F8FAFB"/>
            <w:vAlign w:val="top"/>
          </w:tcPr>
          <w:p>
            <w:pPr>
              <w:spacing w:after="0"/>
            </w:pPr>
            <w:r>
              <w:rPr>
                <w:rFonts w:ascii="Calibri" w:hAnsi="Calibri" w:eastAsia="Calibri"/>
                <w:i w:val="0"/>
                <w:color w:val="17232B"/>
                <w:sz w:val="17"/>
              </w:rPr>
              <w:t>one vendor or sector could shape semantics to its own platform</w:t>
            </w:r>
          </w:p>
        </w:tc>
        <w:tc>
          <w:tcPr>
            <w:tcW w:type="dxa" w:w="3240"/>
            <w:shd w:fill="F8FAFB"/>
            <w:vAlign w:val="top"/>
          </w:tcPr>
          <w:p>
            <w:pPr>
              <w:spacing w:after="0"/>
            </w:pPr>
            <w:r>
              <w:rPr>
                <w:rFonts w:ascii="Calibri" w:hAnsi="Calibri" w:eastAsia="Calibri"/>
                <w:i w:val="0"/>
                <w:color w:val="17232B"/>
                <w:sz w:val="17"/>
              </w:rPr>
              <w:t>neutral governance, open test suite, multiple implementations, transparent change process</w:t>
            </w:r>
          </w:p>
        </w:tc>
      </w:tr>
      <w:tr>
        <w:trPr>
          <w:cantSplit/>
        </w:trPr>
        <w:tc>
          <w:tcPr>
            <w:tcW w:type="dxa" w:w="1944"/>
            <w:shd w:fill="FFFFFF"/>
            <w:vAlign w:val="top"/>
          </w:tcPr>
          <w:p>
            <w:pPr>
              <w:spacing w:after="0"/>
            </w:pPr>
            <w:r>
              <w:rPr>
                <w:rFonts w:ascii="Calibri" w:hAnsi="Calibri" w:eastAsia="Calibri"/>
                <w:i w:val="0"/>
                <w:color w:val="17232B"/>
                <w:sz w:val="17"/>
              </w:rPr>
              <w:t>Network-effect challenge</w:t>
            </w:r>
          </w:p>
        </w:tc>
        <w:tc>
          <w:tcPr>
            <w:tcW w:type="dxa" w:w="1224"/>
            <w:shd w:fill="FFFFFF"/>
            <w:vAlign w:val="top"/>
          </w:tcPr>
          <w:p>
            <w:pPr>
              <w:spacing w:after="0"/>
            </w:pPr>
            <w:r>
              <w:rPr>
                <w:rFonts w:ascii="Calibri" w:hAnsi="Calibri" w:eastAsia="Calibri"/>
                <w:i w:val="0"/>
                <w:color w:val="17232B"/>
                <w:sz w:val="17"/>
              </w:rPr>
              <w:t>High</w:t>
            </w:r>
          </w:p>
        </w:tc>
        <w:tc>
          <w:tcPr>
            <w:tcW w:type="dxa" w:w="2952"/>
            <w:shd w:fill="FFFFFF"/>
            <w:vAlign w:val="top"/>
          </w:tcPr>
          <w:p>
            <w:pPr>
              <w:spacing w:after="0"/>
            </w:pPr>
            <w:r>
              <w:rPr>
                <w:rFonts w:ascii="Calibri" w:hAnsi="Calibri" w:eastAsia="Calibri"/>
                <w:i w:val="0"/>
                <w:color w:val="17232B"/>
                <w:sz w:val="17"/>
              </w:rPr>
              <w:t>a new protocol has little value without adoption</w:t>
            </w:r>
          </w:p>
        </w:tc>
        <w:tc>
          <w:tcPr>
            <w:tcW w:type="dxa" w:w="3240"/>
            <w:shd w:fill="FFFFFF"/>
            <w:vAlign w:val="top"/>
          </w:tcPr>
          <w:p>
            <w:pPr>
              <w:spacing w:after="0"/>
            </w:pPr>
            <w:r>
              <w:rPr>
                <w:rFonts w:ascii="Calibri" w:hAnsi="Calibri" w:eastAsia="Calibri"/>
                <w:i w:val="0"/>
                <w:color w:val="17232B"/>
                <w:sz w:val="17"/>
              </w:rPr>
              <w:t>build on A2A/MCP; publish adapters; solve internal problems first</w:t>
            </w:r>
          </w:p>
        </w:tc>
      </w:tr>
      <w:tr>
        <w:trPr>
          <w:cantSplit/>
        </w:trPr>
        <w:tc>
          <w:tcPr>
            <w:tcW w:type="dxa" w:w="1944"/>
            <w:shd w:fill="F8FAFB"/>
            <w:vAlign w:val="top"/>
          </w:tcPr>
          <w:p>
            <w:pPr>
              <w:spacing w:after="0"/>
            </w:pPr>
            <w:r>
              <w:rPr>
                <w:rFonts w:ascii="Calibri" w:hAnsi="Calibri" w:eastAsia="Calibri"/>
                <w:i w:val="0"/>
                <w:color w:val="17232B"/>
                <w:sz w:val="17"/>
              </w:rPr>
              <w:t>Revocation race conditions</w:t>
            </w:r>
          </w:p>
        </w:tc>
        <w:tc>
          <w:tcPr>
            <w:tcW w:type="dxa" w:w="1224"/>
            <w:shd w:fill="F8FAFB"/>
            <w:vAlign w:val="top"/>
          </w:tcPr>
          <w:p>
            <w:pPr>
              <w:spacing w:after="0"/>
            </w:pPr>
            <w:r>
              <w:rPr>
                <w:rFonts w:ascii="Calibri" w:hAnsi="Calibri" w:eastAsia="Calibri"/>
                <w:i w:val="0"/>
                <w:color w:val="17232B"/>
                <w:sz w:val="17"/>
              </w:rPr>
              <w:t>High</w:t>
            </w:r>
          </w:p>
        </w:tc>
        <w:tc>
          <w:tcPr>
            <w:tcW w:type="dxa" w:w="2952"/>
            <w:shd w:fill="F8FAFB"/>
            <w:vAlign w:val="top"/>
          </w:tcPr>
          <w:p>
            <w:pPr>
              <w:spacing w:after="0"/>
            </w:pPr>
            <w:r>
              <w:rPr>
                <w:rFonts w:ascii="Calibri" w:hAnsi="Calibri" w:eastAsia="Calibri"/>
                <w:i w:val="0"/>
                <w:color w:val="17232B"/>
                <w:sz w:val="17"/>
              </w:rPr>
              <w:t>a descendant may act after upstream authority is withdrawn</w:t>
            </w:r>
          </w:p>
        </w:tc>
        <w:tc>
          <w:tcPr>
            <w:tcW w:type="dxa" w:w="3240"/>
            <w:shd w:fill="F8FAFB"/>
            <w:vAlign w:val="top"/>
          </w:tcPr>
          <w:p>
            <w:pPr>
              <w:spacing w:after="0"/>
            </w:pPr>
            <w:r>
              <w:rPr>
                <w:rFonts w:ascii="Calibri" w:hAnsi="Calibri" w:eastAsia="Calibri"/>
                <w:i w:val="0"/>
                <w:color w:val="17232B"/>
                <w:sz w:val="17"/>
              </w:rPr>
              <w:t>short-lived grants, push revocation, maximum propagation SLO, high-risk online check</w:t>
            </w:r>
          </w:p>
        </w:tc>
      </w:tr>
      <w:tr>
        <w:trPr>
          <w:cantSplit/>
        </w:trPr>
        <w:tc>
          <w:tcPr>
            <w:tcW w:type="dxa" w:w="1944"/>
            <w:shd w:fill="FFFFFF"/>
            <w:vAlign w:val="top"/>
          </w:tcPr>
          <w:p>
            <w:pPr>
              <w:spacing w:after="0"/>
            </w:pPr>
            <w:r>
              <w:rPr>
                <w:rFonts w:ascii="Calibri" w:hAnsi="Calibri" w:eastAsia="Calibri"/>
                <w:i w:val="0"/>
                <w:color w:val="17232B"/>
                <w:sz w:val="17"/>
              </w:rPr>
              <w:t>Semantic version drift</w:t>
            </w:r>
          </w:p>
        </w:tc>
        <w:tc>
          <w:tcPr>
            <w:tcW w:type="dxa" w:w="1224"/>
            <w:shd w:fill="FFFFFF"/>
            <w:vAlign w:val="top"/>
          </w:tcPr>
          <w:p>
            <w:pPr>
              <w:spacing w:after="0"/>
            </w:pPr>
            <w:r>
              <w:rPr>
                <w:rFonts w:ascii="Calibri" w:hAnsi="Calibri" w:eastAsia="Calibri"/>
                <w:i w:val="0"/>
                <w:color w:val="17232B"/>
                <w:sz w:val="17"/>
              </w:rPr>
              <w:t>Medium</w:t>
            </w:r>
          </w:p>
        </w:tc>
        <w:tc>
          <w:tcPr>
            <w:tcW w:type="dxa" w:w="2952"/>
            <w:shd w:fill="FFFFFF"/>
            <w:vAlign w:val="top"/>
          </w:tcPr>
          <w:p>
            <w:pPr>
              <w:spacing w:after="0"/>
            </w:pPr>
            <w:r>
              <w:rPr>
                <w:rFonts w:ascii="Calibri" w:hAnsi="Calibri" w:eastAsia="Calibri"/>
                <w:i w:val="0"/>
                <w:color w:val="17232B"/>
                <w:sz w:val="17"/>
              </w:rPr>
              <w:t>compatible syntax can hide changed meaning</w:t>
            </w:r>
          </w:p>
        </w:tc>
        <w:tc>
          <w:tcPr>
            <w:tcW w:type="dxa" w:w="3240"/>
            <w:shd w:fill="FFFFFF"/>
            <w:vAlign w:val="top"/>
          </w:tcPr>
          <w:p>
            <w:pPr>
              <w:spacing w:after="0"/>
            </w:pPr>
            <w:r>
              <w:rPr>
                <w:rFonts w:ascii="Calibri" w:hAnsi="Calibri" w:eastAsia="Calibri"/>
                <w:i w:val="0"/>
                <w:color w:val="17232B"/>
                <w:sz w:val="17"/>
              </w:rPr>
              <w:t>immutable schema URIs, semantic version rules, conformance vectors, negotiated extensions</w:t>
            </w:r>
          </w:p>
        </w:tc>
      </w:tr>
      <w:tr>
        <w:trPr>
          <w:cantSplit/>
        </w:trPr>
        <w:tc>
          <w:tcPr>
            <w:tcW w:type="dxa" w:w="1944"/>
            <w:shd w:fill="F8FAFB"/>
            <w:vAlign w:val="top"/>
          </w:tcPr>
          <w:p>
            <w:pPr>
              <w:spacing w:after="0"/>
            </w:pPr>
            <w:r>
              <w:rPr>
                <w:rFonts w:ascii="Calibri" w:hAnsi="Calibri" w:eastAsia="Calibri"/>
                <w:i w:val="0"/>
                <w:color w:val="17232B"/>
                <w:sz w:val="17"/>
              </w:rPr>
              <w:t>Evidence inflation</w:t>
            </w:r>
          </w:p>
        </w:tc>
        <w:tc>
          <w:tcPr>
            <w:tcW w:type="dxa" w:w="1224"/>
            <w:shd w:fill="F8FAFB"/>
            <w:vAlign w:val="top"/>
          </w:tcPr>
          <w:p>
            <w:pPr>
              <w:spacing w:after="0"/>
            </w:pPr>
            <w:r>
              <w:rPr>
                <w:rFonts w:ascii="Calibri" w:hAnsi="Calibri" w:eastAsia="Calibri"/>
                <w:i w:val="0"/>
                <w:color w:val="17232B"/>
                <w:sz w:val="17"/>
              </w:rPr>
              <w:t>Medium</w:t>
            </w:r>
          </w:p>
        </w:tc>
        <w:tc>
          <w:tcPr>
            <w:tcW w:type="dxa" w:w="2952"/>
            <w:shd w:fill="F8FAFB"/>
            <w:vAlign w:val="top"/>
          </w:tcPr>
          <w:p>
            <w:pPr>
              <w:spacing w:after="0"/>
            </w:pPr>
            <w:r>
              <w:rPr>
                <w:rFonts w:ascii="Calibri" w:hAnsi="Calibri" w:eastAsia="Calibri"/>
                <w:i w:val="0"/>
                <w:color w:val="17232B"/>
                <w:sz w:val="17"/>
              </w:rPr>
              <w:t>systems may emit huge quantities of low-value receipts</w:t>
            </w:r>
          </w:p>
        </w:tc>
        <w:tc>
          <w:tcPr>
            <w:tcW w:type="dxa" w:w="3240"/>
            <w:shd w:fill="F8FAFB"/>
            <w:vAlign w:val="top"/>
          </w:tcPr>
          <w:p>
            <w:pPr>
              <w:spacing w:after="0"/>
            </w:pPr>
            <w:r>
              <w:rPr>
                <w:rFonts w:ascii="Calibri" w:hAnsi="Calibri" w:eastAsia="Calibri"/>
                <w:i w:val="0"/>
                <w:color w:val="17232B"/>
                <w:sz w:val="17"/>
              </w:rPr>
              <w:t>Mission Contract specifies required evidence; sampling and aggregation for diagnostics only</w:t>
            </w:r>
          </w:p>
        </w:tc>
      </w:tr>
      <w:tr>
        <w:trPr>
          <w:cantSplit/>
        </w:trPr>
        <w:tc>
          <w:tcPr>
            <w:tcW w:type="dxa" w:w="1944"/>
            <w:shd w:fill="FFFFFF"/>
            <w:vAlign w:val="top"/>
          </w:tcPr>
          <w:p>
            <w:pPr>
              <w:spacing w:after="0"/>
            </w:pPr>
            <w:r>
              <w:rPr>
                <w:rFonts w:ascii="Calibri" w:hAnsi="Calibri" w:eastAsia="Calibri"/>
                <w:i w:val="0"/>
                <w:color w:val="17232B"/>
                <w:sz w:val="17"/>
              </w:rPr>
              <w:t>Policy fragmentation</w:t>
            </w:r>
          </w:p>
        </w:tc>
        <w:tc>
          <w:tcPr>
            <w:tcW w:type="dxa" w:w="1224"/>
            <w:shd w:fill="FFFFFF"/>
            <w:vAlign w:val="top"/>
          </w:tcPr>
          <w:p>
            <w:pPr>
              <w:spacing w:after="0"/>
            </w:pPr>
            <w:r>
              <w:rPr>
                <w:rFonts w:ascii="Calibri" w:hAnsi="Calibri" w:eastAsia="Calibri"/>
                <w:i w:val="0"/>
                <w:color w:val="17232B"/>
                <w:sz w:val="17"/>
              </w:rPr>
              <w:t>Medium</w:t>
            </w:r>
          </w:p>
        </w:tc>
        <w:tc>
          <w:tcPr>
            <w:tcW w:type="dxa" w:w="2952"/>
            <w:shd w:fill="FFFFFF"/>
            <w:vAlign w:val="top"/>
          </w:tcPr>
          <w:p>
            <w:pPr>
              <w:spacing w:after="0"/>
            </w:pPr>
            <w:r>
              <w:rPr>
                <w:rFonts w:ascii="Calibri" w:hAnsi="Calibri" w:eastAsia="Calibri"/>
                <w:i w:val="0"/>
                <w:color w:val="17232B"/>
                <w:sz w:val="17"/>
              </w:rPr>
              <w:t>different organizations will use different policy languages and risk models</w:t>
            </w:r>
          </w:p>
        </w:tc>
        <w:tc>
          <w:tcPr>
            <w:tcW w:type="dxa" w:w="3240"/>
            <w:shd w:fill="FFFFFF"/>
            <w:vAlign w:val="top"/>
          </w:tcPr>
          <w:p>
            <w:pPr>
              <w:spacing w:after="0"/>
            </w:pPr>
            <w:r>
              <w:rPr>
                <w:rFonts w:ascii="Calibri" w:hAnsi="Calibri" w:eastAsia="Calibri"/>
                <w:i w:val="0"/>
                <w:color w:val="17232B"/>
                <w:sz w:val="17"/>
              </w:rPr>
              <w:t>standardize inputs/decisions/reason codes, not local policy syntax</w:t>
            </w:r>
          </w:p>
        </w:tc>
      </w:tr>
      <w:tr>
        <w:trPr>
          <w:cantSplit/>
        </w:trPr>
        <w:tc>
          <w:tcPr>
            <w:tcW w:type="dxa" w:w="1944"/>
            <w:shd w:fill="F8FAFB"/>
            <w:vAlign w:val="top"/>
          </w:tcPr>
          <w:p>
            <w:pPr>
              <w:spacing w:after="0"/>
            </w:pPr>
            <w:r>
              <w:rPr>
                <w:rFonts w:ascii="Calibri" w:hAnsi="Calibri" w:eastAsia="Calibri"/>
                <w:i w:val="0"/>
                <w:color w:val="17232B"/>
                <w:sz w:val="17"/>
              </w:rPr>
              <w:t>Responsibility ambiguity</w:t>
            </w:r>
          </w:p>
        </w:tc>
        <w:tc>
          <w:tcPr>
            <w:tcW w:type="dxa" w:w="1224"/>
            <w:shd w:fill="F8FAFB"/>
            <w:vAlign w:val="top"/>
          </w:tcPr>
          <w:p>
            <w:pPr>
              <w:spacing w:after="0"/>
            </w:pPr>
            <w:r>
              <w:rPr>
                <w:rFonts w:ascii="Calibri" w:hAnsi="Calibri" w:eastAsia="Calibri"/>
                <w:i w:val="0"/>
                <w:color w:val="17232B"/>
                <w:sz w:val="17"/>
              </w:rPr>
              <w:t>High</w:t>
            </w:r>
          </w:p>
        </w:tc>
        <w:tc>
          <w:tcPr>
            <w:tcW w:type="dxa" w:w="2952"/>
            <w:shd w:fill="F8FAFB"/>
            <w:vAlign w:val="top"/>
          </w:tcPr>
          <w:p>
            <w:pPr>
              <w:spacing w:after="0"/>
            </w:pPr>
            <w:r>
              <w:rPr>
                <w:rFonts w:ascii="Calibri" w:hAnsi="Calibri" w:eastAsia="Calibri"/>
                <w:i w:val="0"/>
                <w:color w:val="17232B"/>
                <w:sz w:val="17"/>
              </w:rPr>
              <w:t>a chain of agents can obscure accountable humans or organizations</w:t>
            </w:r>
          </w:p>
        </w:tc>
        <w:tc>
          <w:tcPr>
            <w:tcW w:type="dxa" w:w="3240"/>
            <w:shd w:fill="F8FAFB"/>
            <w:vAlign w:val="top"/>
          </w:tcPr>
          <w:p>
            <w:pPr>
              <w:spacing w:after="0"/>
            </w:pPr>
            <w:r>
              <w:rPr>
                <w:rFonts w:ascii="Calibri" w:hAnsi="Calibri" w:eastAsia="Calibri"/>
                <w:i w:val="0"/>
                <w:color w:val="17232B"/>
                <w:sz w:val="17"/>
              </w:rPr>
              <w:t>origin principal required; role separation; explicit accountable owner per mission</w:t>
            </w:r>
          </w:p>
        </w:tc>
      </w:tr>
    </w:tbl>
    <w:p>
      <w:pPr>
        <w:pStyle w:val="TableCitation"/>
      </w:pPr>
      <w:r>
        <w:t>Source: synthesis of cited specifications; assessments are the author’s analysis.</w:t>
      </w:r>
    </w:p>
    <w:p>
      <w:pPr>
        <w:pStyle w:val="Heading2"/>
        <w:keepNext/>
        <w:keepLines/>
      </w:pPr>
      <w:r>
        <w:t>Net assessment</w:t>
      </w:r>
    </w:p>
    <w:p>
      <w:r>
        <w:rPr>
          <w:rFonts w:ascii="Calibri" w:hAnsi="Calibri" w:eastAsia="Calibri"/>
          <w:i w:val="0"/>
          <w:color w:val="17232B"/>
          <w:sz w:val="22"/>
        </w:rPr>
        <w:t xml:space="preserve">The benefits are substantial only if CELL//AP remains a </w:t>
      </w:r>
      <w:r>
        <w:rPr>
          <w:rFonts w:ascii="Calibri" w:hAnsi="Calibri" w:eastAsia="Calibri"/>
          <w:b/>
          <w:i w:val="0"/>
          <w:color w:val="17232B"/>
          <w:sz w:val="22"/>
        </w:rPr>
        <w:t>thin semantic spine</w:t>
      </w:r>
      <w:r>
        <w:rPr>
          <w:rFonts w:ascii="Calibri" w:hAnsi="Calibri" w:eastAsia="Calibri"/>
          <w:i w:val="0"/>
          <w:color w:val="17232B"/>
          <w:sz w:val="22"/>
        </w:rPr>
        <w:t>. If it grows into a new transport, identity system, policy engine, telemetry stack, and marketplace simultaneously, the cons dominate. A useful v0.1 should be small enough that a developer can add basic conformance to an existing A2A/MCP agent in days, not months.</w:t>
      </w:r>
    </w:p>
    <w:p>
      <w:r>
        <w:br w:type="page"/>
      </w:r>
    </w:p>
    <w:p>
      <w:pPr>
        <w:pStyle w:val="Heading1"/>
        <w:keepNext/>
        <w:keepLines/>
      </w:pPr>
      <w:r>
        <w:t>Ten innovative examples</w:t>
      </w:r>
    </w:p>
    <w:p>
      <w:pPr>
        <w:pStyle w:val="Heading2"/>
        <w:keepNext/>
        <w:keepLines/>
      </w:pPr>
      <w:r>
        <w:t>1. Evidence-grade research swarm</w:t>
      </w:r>
    </w:p>
    <w:p>
      <w:r>
        <w:rPr>
          <w:rFonts w:ascii="Calibri" w:hAnsi="Calibri" w:eastAsia="Calibri"/>
          <w:i w:val="0"/>
          <w:color w:val="17232B"/>
          <w:sz w:val="22"/>
        </w:rPr>
        <w:t>A Lead Researcher operative decomposes a question; Scout operatives collect primary sources; a Skeptic operative challenges high-impact claims; a Verifier checks source/claim alignment; and an Editor produces the report. The Mission Contract specifies inclusion rules and evidence thresholds. Each claim links to Evidence Receipts, and the final artifact can be regenerated from the evidence graph.</w:t>
      </w:r>
    </w:p>
    <w:p>
      <w:r>
        <w:rPr>
          <w:rFonts w:ascii="Calibri" w:hAnsi="Calibri" w:eastAsia="Calibri"/>
          <w:b/>
          <w:i w:val="0"/>
          <w:color w:val="17232B"/>
          <w:sz w:val="22"/>
        </w:rPr>
        <w:t>Protocol primitives:</w:t>
      </w:r>
      <w:r>
        <w:rPr>
          <w:rFonts w:ascii="Calibri" w:hAnsi="Calibri" w:eastAsia="Calibri"/>
          <w:i w:val="0"/>
          <w:color w:val="17232B"/>
          <w:sz w:val="22"/>
        </w:rPr>
        <w:t xml:space="preserve"> TASK, CLAIM, EVIDENCE, DECISION, Evaluation Receipt.</w:t>
      </w:r>
    </w:p>
    <w:p>
      <w:r>
        <w:rPr>
          <w:rFonts w:ascii="Calibri" w:hAnsi="Calibri" w:eastAsia="Calibri"/>
          <w:b/>
          <w:i w:val="0"/>
          <w:color w:val="17232B"/>
          <w:sz w:val="22"/>
        </w:rPr>
        <w:t>Novel value:</w:t>
      </w:r>
      <w:r>
        <w:rPr>
          <w:rFonts w:ascii="Calibri" w:hAnsi="Calibri" w:eastAsia="Calibri"/>
          <w:i w:val="0"/>
          <w:color w:val="17232B"/>
          <w:sz w:val="22"/>
        </w:rPr>
        <w:t xml:space="preserve"> research becomes portable and inspectable across different agent vendors.</w:t>
      </w:r>
    </w:p>
    <w:p>
      <w:r>
        <w:rPr>
          <w:rFonts w:ascii="Calibri" w:hAnsi="Calibri" w:eastAsia="Calibri"/>
          <w:b/>
          <w:i w:val="0"/>
          <w:color w:val="17232B"/>
          <w:sz w:val="22"/>
        </w:rPr>
        <w:t>Primary risk:</w:t>
      </w:r>
      <w:r>
        <w:rPr>
          <w:rFonts w:ascii="Calibri" w:hAnsi="Calibri" w:eastAsia="Calibri"/>
          <w:i w:val="0"/>
          <w:color w:val="17232B"/>
          <w:sz w:val="22"/>
        </w:rPr>
        <w:t xml:space="preserve"> many receipts can still repeat the same bad source; require source diversity and independent verification.</w:t>
      </w:r>
    </w:p>
    <w:p>
      <w:pPr>
        <w:pStyle w:val="Heading2"/>
        <w:keepNext/>
        <w:keepLines/>
      </w:pPr>
      <w:r>
        <w:t>2. Cross-company incident response mesh</w:t>
      </w:r>
    </w:p>
    <w:p>
      <w:r>
        <w:rPr>
          <w:rFonts w:ascii="Calibri" w:hAnsi="Calibri" w:eastAsia="Calibri"/>
          <w:i w:val="0"/>
          <w:color w:val="17232B"/>
          <w:sz w:val="22"/>
        </w:rPr>
        <w:t>During a service incident, customer, cloud, identity-provider, and vendor agents form a temporary federation. Each party reveals only the capabilities and evidence needed to diagnose the issue. Time-limited Authority Envelopes permit log queries or safe mitigations but prohibit unrelated access. The mesh dissolves automatically at expiry.</w:t>
      </w:r>
    </w:p>
    <w:p>
      <w:r>
        <w:rPr>
          <w:rFonts w:ascii="Calibri" w:hAnsi="Calibri" w:eastAsia="Calibri"/>
          <w:b/>
          <w:i w:val="0"/>
          <w:color w:val="17232B"/>
          <w:sz w:val="22"/>
        </w:rPr>
        <w:t>Protocol primitives:</w:t>
      </w:r>
      <w:r>
        <w:rPr>
          <w:rFonts w:ascii="Calibri" w:hAnsi="Calibri" w:eastAsia="Calibri"/>
          <w:i w:val="0"/>
          <w:color w:val="17232B"/>
          <w:sz w:val="22"/>
        </w:rPr>
        <w:t xml:space="preserve"> AP-Federated, Capability Request, scoped Evidence Receipt, expiry and revocation.</w:t>
      </w:r>
    </w:p>
    <w:p>
      <w:r>
        <w:rPr>
          <w:rFonts w:ascii="Calibri" w:hAnsi="Calibri" w:eastAsia="Calibri"/>
          <w:b/>
          <w:i w:val="0"/>
          <w:color w:val="17232B"/>
          <w:sz w:val="22"/>
        </w:rPr>
        <w:t>Novel value:</w:t>
      </w:r>
      <w:r>
        <w:rPr>
          <w:rFonts w:ascii="Calibri" w:hAnsi="Calibri" w:eastAsia="Calibri"/>
          <w:i w:val="0"/>
          <w:color w:val="17232B"/>
          <w:sz w:val="22"/>
        </w:rPr>
        <w:t xml:space="preserve"> rapid coordination without one company receiving blanket access to every system.</w:t>
      </w:r>
    </w:p>
    <w:p>
      <w:r>
        <w:rPr>
          <w:rFonts w:ascii="Calibri" w:hAnsi="Calibri" w:eastAsia="Calibri"/>
          <w:b/>
          <w:i w:val="0"/>
          <w:color w:val="17232B"/>
          <w:sz w:val="22"/>
        </w:rPr>
        <w:t>Primary risk:</w:t>
      </w:r>
      <w:r>
        <w:rPr>
          <w:rFonts w:ascii="Calibri" w:hAnsi="Calibri" w:eastAsia="Calibri"/>
          <w:i w:val="0"/>
          <w:color w:val="17232B"/>
          <w:sz w:val="22"/>
        </w:rPr>
        <w:t xml:space="preserve"> incident urgency can pressure teams to over-grant authority; use pre-approved emergency envelopes and mandatory after-action review.</w:t>
      </w:r>
    </w:p>
    <w:p>
      <w:pPr>
        <w:pStyle w:val="Heading2"/>
        <w:keepNext/>
        <w:keepLines/>
      </w:pPr>
      <w:r>
        <w:t>3. Clinical referral coordinator with human gates</w:t>
      </w:r>
    </w:p>
    <w:p>
      <w:r>
        <w:rPr>
          <w:rFonts w:ascii="Calibri" w:hAnsi="Calibri" w:eastAsia="Calibri"/>
          <w:i w:val="0"/>
          <w:color w:val="17232B"/>
          <w:sz w:val="22"/>
        </w:rPr>
        <w:t>Administrative agents at a clinic, specialist, laboratory, and insurer coordinate a referral while exchanging the minimum necessary data. The Mission Contract distinguishes scheduling and document collection from clinical decisions. A licensed professional remains the required approver for diagnosis or treatment decisions.</w:t>
      </w:r>
    </w:p>
    <w:p>
      <w:r>
        <w:rPr>
          <w:rFonts w:ascii="Calibri" w:hAnsi="Calibri" w:eastAsia="Calibri"/>
          <w:b/>
          <w:i w:val="0"/>
          <w:color w:val="17232B"/>
          <w:sz w:val="22"/>
        </w:rPr>
        <w:t>Protocol primitives:</w:t>
      </w:r>
      <w:r>
        <w:rPr>
          <w:rFonts w:ascii="Calibri" w:hAnsi="Calibri" w:eastAsia="Calibri"/>
          <w:i w:val="0"/>
          <w:color w:val="17232B"/>
          <w:sz w:val="22"/>
        </w:rPr>
        <w:t xml:space="preserve"> purpose-limited Authority Envelope, selective-disclosure credentials, REQUEST, HANDOFF, Approval Receipt.</w:t>
      </w:r>
    </w:p>
    <w:p>
      <w:r>
        <w:rPr>
          <w:rFonts w:ascii="Calibri" w:hAnsi="Calibri" w:eastAsia="Calibri"/>
          <w:b/>
          <w:i w:val="0"/>
          <w:color w:val="17232B"/>
          <w:sz w:val="22"/>
        </w:rPr>
        <w:t>Novel value:</w:t>
      </w:r>
      <w:r>
        <w:rPr>
          <w:rFonts w:ascii="Calibri" w:hAnsi="Calibri" w:eastAsia="Calibri"/>
          <w:i w:val="0"/>
          <w:color w:val="17232B"/>
          <w:sz w:val="22"/>
        </w:rPr>
        <w:t xml:space="preserve"> less repetitive administration with explicit responsibility boundaries.</w:t>
      </w:r>
    </w:p>
    <w:p>
      <w:r>
        <w:rPr>
          <w:rFonts w:ascii="Calibri" w:hAnsi="Calibri" w:eastAsia="Calibri"/>
          <w:b/>
          <w:i w:val="0"/>
          <w:color w:val="17232B"/>
          <w:sz w:val="22"/>
        </w:rPr>
        <w:t>Primary risk:</w:t>
      </w:r>
      <w:r>
        <w:rPr>
          <w:rFonts w:ascii="Calibri" w:hAnsi="Calibri" w:eastAsia="Calibri"/>
          <w:i w:val="0"/>
          <w:color w:val="17232B"/>
          <w:sz w:val="22"/>
        </w:rPr>
        <w:t xml:space="preserve"> sensitive data exposure or automation bias; enforce data minimization, short retention, and mandatory human accountability.</w:t>
      </w:r>
    </w:p>
    <w:p>
      <w:pPr>
        <w:pStyle w:val="Heading2"/>
        <w:keepNext/>
        <w:keepLines/>
      </w:pPr>
      <w:r>
        <w:t>4. Disaster-relief pop-up organization</w:t>
      </w:r>
    </w:p>
    <w:p>
      <w:r>
        <w:rPr>
          <w:rFonts w:ascii="Calibri" w:hAnsi="Calibri" w:eastAsia="Calibri"/>
          <w:i w:val="0"/>
          <w:color w:val="17232B"/>
          <w:sz w:val="22"/>
        </w:rPr>
        <w:t>Public agencies, charities, transport providers, and local teams publish signed capability and availability records. NERVE assembles temporary Cells for shelter capacity, supplies, routing, and translation. Tasks are reprioritized as field evidence changes, and every resource commitment has a visible authority source.</w:t>
      </w:r>
    </w:p>
    <w:p>
      <w:r>
        <w:rPr>
          <w:rFonts w:ascii="Calibri" w:hAnsi="Calibri" w:eastAsia="Calibri"/>
          <w:b/>
          <w:i w:val="0"/>
          <w:color w:val="17232B"/>
          <w:sz w:val="22"/>
        </w:rPr>
        <w:t>Protocol primitives:</w:t>
      </w:r>
      <w:r>
        <w:rPr>
          <w:rFonts w:ascii="Calibri" w:hAnsi="Calibri" w:eastAsia="Calibri"/>
          <w:i w:val="0"/>
          <w:color w:val="17232B"/>
          <w:sz w:val="22"/>
        </w:rPr>
        <w:t xml:space="preserve"> dynamic capability discovery, priority, STATE_DELTA, HANDOFF, federated trust.</w:t>
      </w:r>
    </w:p>
    <w:p>
      <w:r>
        <w:rPr>
          <w:rFonts w:ascii="Calibri" w:hAnsi="Calibri" w:eastAsia="Calibri"/>
          <w:b/>
          <w:i w:val="0"/>
          <w:color w:val="17232B"/>
          <w:sz w:val="22"/>
        </w:rPr>
        <w:t>Novel value:</w:t>
      </w:r>
      <w:r>
        <w:rPr>
          <w:rFonts w:ascii="Calibri" w:hAnsi="Calibri" w:eastAsia="Calibri"/>
          <w:i w:val="0"/>
          <w:color w:val="17232B"/>
          <w:sz w:val="22"/>
        </w:rPr>
        <w:t xml:space="preserve"> an interoperable organization can form in hours without a shared vendor stack.</w:t>
      </w:r>
    </w:p>
    <w:p>
      <w:r>
        <w:rPr>
          <w:rFonts w:ascii="Calibri" w:hAnsi="Calibri" w:eastAsia="Calibri"/>
          <w:b/>
          <w:i w:val="0"/>
          <w:color w:val="17232B"/>
          <w:sz w:val="22"/>
        </w:rPr>
        <w:t>Primary risk:</w:t>
      </w:r>
      <w:r>
        <w:rPr>
          <w:rFonts w:ascii="Calibri" w:hAnsi="Calibri" w:eastAsia="Calibri"/>
          <w:i w:val="0"/>
          <w:color w:val="17232B"/>
          <w:sz w:val="22"/>
        </w:rPr>
        <w:t xml:space="preserve"> stale or fraudulent capability claims; use short-lived readiness receipts and trusted issuers.</w:t>
      </w:r>
    </w:p>
    <w:p>
      <w:pPr>
        <w:pStyle w:val="Heading2"/>
        <w:keepNext/>
        <w:keepLines/>
      </w:pPr>
      <w:r>
        <w:t>5. Two-key autonomous software delivery</w:t>
      </w:r>
    </w:p>
    <w:p>
      <w:r>
        <w:rPr>
          <w:rFonts w:ascii="Calibri" w:hAnsi="Calibri" w:eastAsia="Calibri"/>
          <w:i w:val="0"/>
          <w:color w:val="17232B"/>
          <w:sz w:val="22"/>
        </w:rPr>
        <w:t>A Builder operative proposes a release; independent Test, Security, and Policy operatives issue Evaluation Receipts. The Release operative cannot act unless two distinct approver classes have signed and the Authority Envelope permits the exact target environment. Rollback authority is pre-issued and narrower than deployment authority.</w:t>
      </w:r>
    </w:p>
    <w:p>
      <w:r>
        <w:rPr>
          <w:rFonts w:ascii="Calibri" w:hAnsi="Calibri" w:eastAsia="Calibri"/>
          <w:b/>
          <w:i w:val="0"/>
          <w:color w:val="17232B"/>
          <w:sz w:val="22"/>
        </w:rPr>
        <w:t>Protocol primitives:</w:t>
      </w:r>
      <w:r>
        <w:rPr>
          <w:rFonts w:ascii="Calibri" w:hAnsi="Calibri" w:eastAsia="Calibri"/>
          <w:i w:val="0"/>
          <w:color w:val="17232B"/>
          <w:sz w:val="22"/>
        </w:rPr>
        <w:t xml:space="preserve"> immutable Operative Image identity, evaluation receipts, separation of duties, approval checkpoint, revocation.</w:t>
      </w:r>
    </w:p>
    <w:p>
      <w:r>
        <w:rPr>
          <w:rFonts w:ascii="Calibri" w:hAnsi="Calibri" w:eastAsia="Calibri"/>
          <w:b/>
          <w:i w:val="0"/>
          <w:color w:val="17232B"/>
          <w:sz w:val="22"/>
        </w:rPr>
        <w:t>Novel value:</w:t>
      </w:r>
      <w:r>
        <w:rPr>
          <w:rFonts w:ascii="Calibri" w:hAnsi="Calibri" w:eastAsia="Calibri"/>
          <w:i w:val="0"/>
          <w:color w:val="17232B"/>
          <w:sz w:val="22"/>
        </w:rPr>
        <w:t xml:space="preserve"> automation moves faster while preserving independently verifiable release gates.</w:t>
      </w:r>
    </w:p>
    <w:p>
      <w:r>
        <w:rPr>
          <w:rFonts w:ascii="Calibri" w:hAnsi="Calibri" w:eastAsia="Calibri"/>
          <w:b/>
          <w:i w:val="0"/>
          <w:color w:val="17232B"/>
          <w:sz w:val="22"/>
        </w:rPr>
        <w:t>Primary risk:</w:t>
      </w:r>
      <w:r>
        <w:rPr>
          <w:rFonts w:ascii="Calibri" w:hAnsi="Calibri" w:eastAsia="Calibri"/>
          <w:i w:val="0"/>
          <w:color w:val="17232B"/>
          <w:sz w:val="22"/>
        </w:rPr>
        <w:t xml:space="preserve"> correlated evaluators can give false confidence; require implementation diversity and adversarial tests.</w:t>
      </w:r>
    </w:p>
    <w:p>
      <w:pPr>
        <w:pStyle w:val="Heading2"/>
        <w:keepNext/>
        <w:keepLines/>
      </w:pPr>
      <w:r>
        <w:t>6. Manufacturing pop-up Cell</w:t>
      </w:r>
    </w:p>
    <w:p>
      <w:r>
        <w:rPr>
          <w:rFonts w:ascii="Calibri" w:hAnsi="Calibri" w:eastAsia="Calibri"/>
          <w:i w:val="0"/>
          <w:color w:val="17232B"/>
          <w:sz w:val="22"/>
        </w:rPr>
        <w:t>A factory creates a short-lived Cell linking a production planner, machine digital twins, a maintenance provider, quality inspection, and a supplier agent. The Cell may reschedule work or request parts within fixed constraints, but safety interlocks and physical control remain locally enforced.</w:t>
      </w:r>
    </w:p>
    <w:p>
      <w:r>
        <w:rPr>
          <w:rFonts w:ascii="Calibri" w:hAnsi="Calibri" w:eastAsia="Calibri"/>
          <w:b/>
          <w:i w:val="0"/>
          <w:color w:val="17232B"/>
          <w:sz w:val="22"/>
        </w:rPr>
        <w:t>Protocol primitives:</w:t>
      </w:r>
      <w:r>
        <w:rPr>
          <w:rFonts w:ascii="Calibri" w:hAnsi="Calibri" w:eastAsia="Calibri"/>
          <w:i w:val="0"/>
          <w:color w:val="17232B"/>
          <w:sz w:val="22"/>
        </w:rPr>
        <w:t xml:space="preserve"> real-time capability readiness, budget/time authority, STATE_DELTA, Evidence Receipt, local Warden hook.</w:t>
      </w:r>
    </w:p>
    <w:p>
      <w:r>
        <w:rPr>
          <w:rFonts w:ascii="Calibri" w:hAnsi="Calibri" w:eastAsia="Calibri"/>
          <w:b/>
          <w:i w:val="0"/>
          <w:color w:val="17232B"/>
          <w:sz w:val="22"/>
        </w:rPr>
        <w:t>Novel value:</w:t>
      </w:r>
      <w:r>
        <w:rPr>
          <w:rFonts w:ascii="Calibri" w:hAnsi="Calibri" w:eastAsia="Calibri"/>
          <w:i w:val="0"/>
          <w:color w:val="17232B"/>
          <w:sz w:val="22"/>
        </w:rPr>
        <w:t xml:space="preserve"> suppliers and machines coordinate without surrendering internal control systems.</w:t>
      </w:r>
    </w:p>
    <w:p>
      <w:r>
        <w:rPr>
          <w:rFonts w:ascii="Calibri" w:hAnsi="Calibri" w:eastAsia="Calibri"/>
          <w:b/>
          <w:i w:val="0"/>
          <w:color w:val="17232B"/>
          <w:sz w:val="22"/>
        </w:rPr>
        <w:t>Primary risk:</w:t>
      </w:r>
      <w:r>
        <w:rPr>
          <w:rFonts w:ascii="Calibri" w:hAnsi="Calibri" w:eastAsia="Calibri"/>
          <w:i w:val="0"/>
          <w:color w:val="17232B"/>
          <w:sz w:val="22"/>
        </w:rPr>
        <w:t xml:space="preserve"> stale state in cyber-physical systems; require freshness bounds and fail-safe local control.</w:t>
      </w:r>
    </w:p>
    <w:p>
      <w:pPr>
        <w:pStyle w:val="Heading2"/>
        <w:keepNext/>
        <w:keepLines/>
      </w:pPr>
      <w:r>
        <w:t>7. Public-service casework relay</w:t>
      </w:r>
    </w:p>
    <w:p>
      <w:r>
        <w:rPr>
          <w:rFonts w:ascii="Calibri" w:hAnsi="Calibri" w:eastAsia="Calibri"/>
          <w:i w:val="0"/>
          <w:color w:val="17232B"/>
          <w:sz w:val="22"/>
        </w:rPr>
        <w:t>An applicant-facing agent, document-validation agent, translation agent, and caseworker assistant coordinate a permit or benefits application. The protocol records which documents support each claim, which rules were applied, and where a human official made the final decision.</w:t>
      </w:r>
    </w:p>
    <w:p>
      <w:r>
        <w:rPr>
          <w:rFonts w:ascii="Calibri" w:hAnsi="Calibri" w:eastAsia="Calibri"/>
          <w:b/>
          <w:i w:val="0"/>
          <w:color w:val="17232B"/>
          <w:sz w:val="22"/>
        </w:rPr>
        <w:t>Protocol primitives:</w:t>
      </w:r>
      <w:r>
        <w:rPr>
          <w:rFonts w:ascii="Calibri" w:hAnsi="Calibri" w:eastAsia="Calibri"/>
          <w:i w:val="0"/>
          <w:color w:val="17232B"/>
          <w:sz w:val="22"/>
        </w:rPr>
        <w:t xml:space="preserve"> CLAIM/EVIDENCE graph, Decision Receipt, policy version, human approval, appeal handoff.</w:t>
      </w:r>
    </w:p>
    <w:p>
      <w:r>
        <w:rPr>
          <w:rFonts w:ascii="Calibri" w:hAnsi="Calibri" w:eastAsia="Calibri"/>
          <w:b/>
          <w:i w:val="0"/>
          <w:color w:val="17232B"/>
          <w:sz w:val="22"/>
        </w:rPr>
        <w:t>Novel value:</w:t>
      </w:r>
      <w:r>
        <w:rPr>
          <w:rFonts w:ascii="Calibri" w:hAnsi="Calibri" w:eastAsia="Calibri"/>
          <w:i w:val="0"/>
          <w:color w:val="17232B"/>
          <w:sz w:val="22"/>
        </w:rPr>
        <w:t xml:space="preserve"> applicants receive a traceable explanation of process without exposing private internal deliberation.</w:t>
      </w:r>
    </w:p>
    <w:p>
      <w:r>
        <w:rPr>
          <w:rFonts w:ascii="Calibri" w:hAnsi="Calibri" w:eastAsia="Calibri"/>
          <w:b/>
          <w:i w:val="0"/>
          <w:color w:val="17232B"/>
          <w:sz w:val="22"/>
        </w:rPr>
        <w:t>Primary risk:</w:t>
      </w:r>
      <w:r>
        <w:rPr>
          <w:rFonts w:ascii="Calibri" w:hAnsi="Calibri" w:eastAsia="Calibri"/>
          <w:i w:val="0"/>
          <w:color w:val="17232B"/>
          <w:sz w:val="22"/>
        </w:rPr>
        <w:t xml:space="preserve"> unfair rules become efficiently automated; require policy review, contestability, and outcome monitoring outside the protocol.</w:t>
      </w:r>
    </w:p>
    <w:p>
      <w:pPr>
        <w:pStyle w:val="Heading2"/>
        <w:keepNext/>
        <w:keepLines/>
      </w:pPr>
      <w:r>
        <w:t>8. Personal data-vault concierge</w:t>
      </w:r>
    </w:p>
    <w:p>
      <w:r>
        <w:rPr>
          <w:rFonts w:ascii="Calibri" w:hAnsi="Calibri" w:eastAsia="Calibri"/>
          <w:i w:val="0"/>
          <w:color w:val="17232B"/>
          <w:sz w:val="22"/>
        </w:rPr>
        <w:t>A person gives a concierge operative permission to ask multiple services for quotes or schedule options without copying their entire profile to each service. The vault issues narrow, purpose-bound presentations, records where data went, and propagates revocation when the mission ends.</w:t>
      </w:r>
    </w:p>
    <w:p>
      <w:r>
        <w:rPr>
          <w:rFonts w:ascii="Calibri" w:hAnsi="Calibri" w:eastAsia="Calibri"/>
          <w:b/>
          <w:i w:val="0"/>
          <w:color w:val="17232B"/>
          <w:sz w:val="22"/>
        </w:rPr>
        <w:t>Protocol primitives:</w:t>
      </w:r>
      <w:r>
        <w:rPr>
          <w:rFonts w:ascii="Calibri" w:hAnsi="Calibri" w:eastAsia="Calibri"/>
          <w:i w:val="0"/>
          <w:color w:val="17232B"/>
          <w:sz w:val="22"/>
        </w:rPr>
        <w:t xml:space="preserve"> selective disclosure, purpose limitation, Authority Envelope, access and revocation receipts.</w:t>
      </w:r>
    </w:p>
    <w:p>
      <w:r>
        <w:rPr>
          <w:rFonts w:ascii="Calibri" w:hAnsi="Calibri" w:eastAsia="Calibri"/>
          <w:b/>
          <w:i w:val="0"/>
          <w:color w:val="17232B"/>
          <w:sz w:val="22"/>
        </w:rPr>
        <w:t>Novel value:</w:t>
      </w:r>
      <w:r>
        <w:rPr>
          <w:rFonts w:ascii="Calibri" w:hAnsi="Calibri" w:eastAsia="Calibri"/>
          <w:i w:val="0"/>
          <w:color w:val="17232B"/>
          <w:sz w:val="22"/>
        </w:rPr>
        <w:t xml:space="preserve"> personalization with substantially less data replication.</w:t>
      </w:r>
    </w:p>
    <w:p>
      <w:r>
        <w:rPr>
          <w:rFonts w:ascii="Calibri" w:hAnsi="Calibri" w:eastAsia="Calibri"/>
          <w:b/>
          <w:i w:val="0"/>
          <w:color w:val="17232B"/>
          <w:sz w:val="22"/>
        </w:rPr>
        <w:t>Primary risk:</w:t>
      </w:r>
      <w:r>
        <w:rPr>
          <w:rFonts w:ascii="Calibri" w:hAnsi="Calibri" w:eastAsia="Calibri"/>
          <w:i w:val="0"/>
          <w:color w:val="17232B"/>
          <w:sz w:val="22"/>
        </w:rPr>
        <w:t xml:space="preserve"> metadata can still reveal sensitive relationships; minimize routing data and separate identifiers by mission.</w:t>
      </w:r>
    </w:p>
    <w:p>
      <w:pPr>
        <w:pStyle w:val="Heading2"/>
        <w:keepNext/>
        <w:keepLines/>
      </w:pPr>
      <w:r>
        <w:t>9. Verifiable procurement tender</w:t>
      </w:r>
    </w:p>
    <w:p>
      <w:r>
        <w:rPr>
          <w:rFonts w:ascii="Calibri" w:hAnsi="Calibri" w:eastAsia="Calibri"/>
          <w:i w:val="0"/>
          <w:color w:val="17232B"/>
          <w:sz w:val="22"/>
        </w:rPr>
        <w:t>A buyer publishes a machine-readable requirement, budget ceiling, evaluation method, and decision timetable. Supplier agents submit signed capability and evidence packages. Evaluation operatives score against the declared rubric, while monetary commitment remains behind an authorized human approval. AP2 can be used later as a domain extension for the transaction mandate.[25]</w:t>
      </w:r>
    </w:p>
    <w:p>
      <w:r>
        <w:rPr>
          <w:rFonts w:ascii="Calibri" w:hAnsi="Calibri" w:eastAsia="Calibri"/>
          <w:b/>
          <w:i w:val="0"/>
          <w:color w:val="17232B"/>
          <w:sz w:val="22"/>
        </w:rPr>
        <w:t>Protocol primitives:</w:t>
      </w:r>
      <w:r>
        <w:rPr>
          <w:rFonts w:ascii="Calibri" w:hAnsi="Calibri" w:eastAsia="Calibri"/>
          <w:i w:val="0"/>
          <w:color w:val="17232B"/>
          <w:sz w:val="22"/>
        </w:rPr>
        <w:t xml:space="preserve"> Mission Contract, capability credentials, Evidence Receipts, Decision Receipt, approval checkpoint.</w:t>
      </w:r>
    </w:p>
    <w:p>
      <w:r>
        <w:rPr>
          <w:rFonts w:ascii="Calibri" w:hAnsi="Calibri" w:eastAsia="Calibri"/>
          <w:b/>
          <w:i w:val="0"/>
          <w:color w:val="17232B"/>
          <w:sz w:val="22"/>
        </w:rPr>
        <w:t>Novel value:</w:t>
      </w:r>
      <w:r>
        <w:rPr>
          <w:rFonts w:ascii="Calibri" w:hAnsi="Calibri" w:eastAsia="Calibri"/>
          <w:i w:val="0"/>
          <w:color w:val="17232B"/>
          <w:sz w:val="22"/>
        </w:rPr>
        <w:t xml:space="preserve"> smaller suppliers can participate through interoperable, evidence-based bids instead of proprietary portals.</w:t>
      </w:r>
    </w:p>
    <w:p>
      <w:r>
        <w:rPr>
          <w:rFonts w:ascii="Calibri" w:hAnsi="Calibri" w:eastAsia="Calibri"/>
          <w:b/>
          <w:i w:val="0"/>
          <w:color w:val="17232B"/>
          <w:sz w:val="22"/>
        </w:rPr>
        <w:t>Primary risk:</w:t>
      </w:r>
      <w:r>
        <w:rPr>
          <w:rFonts w:ascii="Calibri" w:hAnsi="Calibri" w:eastAsia="Calibri"/>
          <w:i w:val="0"/>
          <w:color w:val="17232B"/>
          <w:sz w:val="22"/>
        </w:rPr>
        <w:t xml:space="preserve"> gaming the evaluation schema; rotate tests and preserve independent human review.</w:t>
      </w:r>
    </w:p>
    <w:p>
      <w:pPr>
        <w:pStyle w:val="Heading2"/>
        <w:keepNext/>
        <w:keepLines/>
      </w:pPr>
      <w:r>
        <w:t>10. Organizational Shadow Twin tournament</w:t>
      </w:r>
    </w:p>
    <w:p>
      <w:r>
        <w:rPr>
          <w:rFonts w:ascii="Calibri" w:hAnsi="Calibri" w:eastAsia="Calibri"/>
          <w:i w:val="0"/>
          <w:color w:val="17232B"/>
          <w:sz w:val="22"/>
        </w:rPr>
        <w:t>Two or more simulated Cell Meshes receive the same historical mission stream but use different topologies, policies, budgets, or routing strategies. They exchange only standardized receipts and outcome metrics. CELL ADAPT can compare performance without sharing private prompts or model internals, then recommend a topology change for human approval.</w:t>
      </w:r>
    </w:p>
    <w:p>
      <w:r>
        <w:rPr>
          <w:rFonts w:ascii="Calibri" w:hAnsi="Calibri" w:eastAsia="Calibri"/>
          <w:b/>
          <w:i w:val="0"/>
          <w:color w:val="17232B"/>
          <w:sz w:val="22"/>
        </w:rPr>
        <w:t>Protocol primitives:</w:t>
      </w:r>
      <w:r>
        <w:rPr>
          <w:rFonts w:ascii="Calibri" w:hAnsi="Calibri" w:eastAsia="Calibri"/>
          <w:i w:val="0"/>
          <w:color w:val="17232B"/>
          <w:sz w:val="22"/>
        </w:rPr>
        <w:t xml:space="preserve"> replayable Mission Contracts, immutable images, Evaluation Receipts, versioned policy, state lineage.</w:t>
      </w:r>
    </w:p>
    <w:p>
      <w:r>
        <w:rPr>
          <w:rFonts w:ascii="Calibri" w:hAnsi="Calibri" w:eastAsia="Calibri"/>
          <w:b/>
          <w:i w:val="0"/>
          <w:color w:val="17232B"/>
          <w:sz w:val="22"/>
        </w:rPr>
        <w:t>Novel value:</w:t>
      </w:r>
      <w:r>
        <w:rPr>
          <w:rFonts w:ascii="Calibri" w:hAnsi="Calibri" w:eastAsia="Calibri"/>
          <w:i w:val="0"/>
          <w:color w:val="17232B"/>
          <w:sz w:val="22"/>
        </w:rPr>
        <w:t xml:space="preserve"> organization design becomes experimentally testable rather than anecdotal.</w:t>
      </w:r>
    </w:p>
    <w:p>
      <w:r>
        <w:rPr>
          <w:rFonts w:ascii="Calibri" w:hAnsi="Calibri" w:eastAsia="Calibri"/>
          <w:b/>
          <w:i w:val="0"/>
          <w:color w:val="17232B"/>
          <w:sz w:val="22"/>
        </w:rPr>
        <w:t>Primary risk:</w:t>
      </w:r>
      <w:r>
        <w:rPr>
          <w:rFonts w:ascii="Calibri" w:hAnsi="Calibri" w:eastAsia="Calibri"/>
          <w:i w:val="0"/>
          <w:color w:val="17232B"/>
          <w:sz w:val="22"/>
        </w:rPr>
        <w:t xml:space="preserve"> simulations optimize the recorded metric rather than real-world value; require holdout missions, counter-metrics, and staged rollout.</w:t>
      </w:r>
    </w:p>
    <w:p>
      <w:r>
        <w:br w:type="page"/>
      </w:r>
    </w:p>
    <w:p>
      <w:pPr>
        <w:pStyle w:val="Heading1"/>
        <w:keepNext/>
        <w:keepLines/>
      </w:pPr>
      <w:r>
        <w:t>Reference architecture for CELL OS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880"/>
        <w:gridCol w:w="6480"/>
      </w:tblGrid>
      <w:tr>
        <w:trPr>
          <w:tblHeader w:val="true"/>
          <w:cantSplit/>
        </w:trPr>
        <w:tc>
          <w:tcPr>
            <w:tcW w:type="dxa" w:w="2880"/>
            <w:tcMar>
              <w:top w:w="80" w:type="dxa"/>
              <w:start w:w="120" w:type="dxa"/>
              <w:bottom w:w="80" w:type="dxa"/>
              <w:end w:w="120" w:type="dxa"/>
            </w:tcMar>
            <w:shd w:fill="17232B"/>
          </w:tcPr>
          <w:p>
            <w:pPr>
              <w:spacing w:after="0"/>
            </w:pPr>
            <w:r>
              <w:rPr>
                <w:rFonts w:ascii="Calibri" w:hAnsi="Calibri" w:eastAsia="Calibri"/>
                <w:i w:val="0"/>
                <w:color w:val="FFFFFF"/>
                <w:sz w:val="18"/>
              </w:rPr>
              <w:t>CELL OS element</w:t>
            </w:r>
          </w:p>
        </w:tc>
        <w:tc>
          <w:tcPr>
            <w:tcW w:type="dxa" w:w="6480"/>
            <w:tcMar>
              <w:top w:w="80" w:type="dxa"/>
              <w:start w:w="120" w:type="dxa"/>
              <w:bottom w:w="80" w:type="dxa"/>
              <w:end w:w="120" w:type="dxa"/>
            </w:tcMar>
            <w:shd w:fill="17232B"/>
          </w:tcPr>
          <w:p>
            <w:pPr>
              <w:spacing w:after="0"/>
            </w:pPr>
            <w:r>
              <w:rPr>
                <w:rFonts w:ascii="Calibri" w:hAnsi="Calibri" w:eastAsia="Calibri"/>
                <w:i w:val="0"/>
                <w:color w:val="FFFFFF"/>
                <w:sz w:val="18"/>
              </w:rPr>
              <w:t>Protocol role</w:t>
            </w:r>
          </w:p>
        </w:tc>
      </w:tr>
      <w:tr>
        <w:trPr>
          <w:cantSplit/>
        </w:trPr>
        <w:tc>
          <w:tcPr>
            <w:tcW w:type="dxa" w:w="2880"/>
            <w:shd w:fill="FFFFFF"/>
            <w:vAlign w:val="top"/>
          </w:tcPr>
          <w:p>
            <w:pPr>
              <w:spacing w:after="0"/>
            </w:pPr>
            <w:r>
              <w:rPr>
                <w:rFonts w:ascii="Calibri" w:hAnsi="Calibri" w:eastAsia="Calibri"/>
                <w:i w:val="0"/>
                <w:color w:val="17232B"/>
                <w:sz w:val="17"/>
              </w:rPr>
              <w:t>Org-IR / Cell-IR</w:t>
            </w:r>
          </w:p>
        </w:tc>
        <w:tc>
          <w:tcPr>
            <w:tcW w:type="dxa" w:w="6480"/>
            <w:shd w:fill="FFFFFF"/>
            <w:vAlign w:val="top"/>
          </w:tcPr>
          <w:p>
            <w:pPr>
              <w:spacing w:after="0"/>
            </w:pPr>
            <w:r>
              <w:rPr>
                <w:rFonts w:ascii="Calibri" w:hAnsi="Calibri" w:eastAsia="Calibri"/>
                <w:i w:val="0"/>
                <w:color w:val="17232B"/>
                <w:sz w:val="17"/>
              </w:rPr>
              <w:t>compiles human organization design into versioned Mission, Authority, topology, policy, and conformance declarations</w:t>
            </w:r>
          </w:p>
        </w:tc>
      </w:tr>
      <w:tr>
        <w:trPr>
          <w:cantSplit/>
        </w:trPr>
        <w:tc>
          <w:tcPr>
            <w:tcW w:type="dxa" w:w="2880"/>
            <w:shd w:fill="F8FAFB"/>
            <w:vAlign w:val="top"/>
          </w:tcPr>
          <w:p>
            <w:pPr>
              <w:spacing w:after="0"/>
            </w:pPr>
            <w:r>
              <w:rPr>
                <w:rFonts w:ascii="Calibri" w:hAnsi="Calibri" w:eastAsia="Calibri"/>
                <w:i w:val="0"/>
                <w:color w:val="17232B"/>
                <w:sz w:val="17"/>
              </w:rPr>
              <w:t>Operative Image</w:t>
            </w:r>
          </w:p>
        </w:tc>
        <w:tc>
          <w:tcPr>
            <w:tcW w:type="dxa" w:w="6480"/>
            <w:shd w:fill="F8FAFB"/>
            <w:vAlign w:val="top"/>
          </w:tcPr>
          <w:p>
            <w:pPr>
              <w:spacing w:after="0"/>
            </w:pPr>
            <w:r>
              <w:rPr>
                <w:rFonts w:ascii="Calibri" w:hAnsi="Calibri" w:eastAsia="Calibri"/>
                <w:i w:val="0"/>
                <w:color w:val="17232B"/>
                <w:sz w:val="17"/>
              </w:rPr>
              <w:t>immutable, signed subject with build provenance and declared profiles/capabilities</w:t>
            </w:r>
          </w:p>
        </w:tc>
      </w:tr>
      <w:tr>
        <w:trPr>
          <w:cantSplit/>
        </w:trPr>
        <w:tc>
          <w:tcPr>
            <w:tcW w:type="dxa" w:w="2880"/>
            <w:shd w:fill="FFFFFF"/>
            <w:vAlign w:val="top"/>
          </w:tcPr>
          <w:p>
            <w:pPr>
              <w:spacing w:after="0"/>
            </w:pPr>
            <w:r>
              <w:rPr>
                <w:rFonts w:ascii="Calibri" w:hAnsi="Calibri" w:eastAsia="Calibri"/>
                <w:i w:val="0"/>
                <w:color w:val="17232B"/>
                <w:sz w:val="17"/>
              </w:rPr>
              <w:t>Operative Runtime</w:t>
            </w:r>
          </w:p>
        </w:tc>
        <w:tc>
          <w:tcPr>
            <w:tcW w:type="dxa" w:w="6480"/>
            <w:shd w:fill="FFFFFF"/>
            <w:vAlign w:val="top"/>
          </w:tcPr>
          <w:p>
            <w:pPr>
              <w:spacing w:after="0"/>
            </w:pPr>
            <w:r>
              <w:rPr>
                <w:rFonts w:ascii="Calibri" w:hAnsi="Calibri" w:eastAsia="Calibri"/>
                <w:i w:val="0"/>
                <w:color w:val="17232B"/>
                <w:sz w:val="17"/>
              </w:rPr>
              <w:t>obtains workload identity, validates envelopes, exposes A2A/MCP interfaces, emits receipts</w:t>
            </w:r>
          </w:p>
        </w:tc>
      </w:tr>
      <w:tr>
        <w:trPr>
          <w:cantSplit/>
        </w:trPr>
        <w:tc>
          <w:tcPr>
            <w:tcW w:type="dxa" w:w="2880"/>
            <w:shd w:fill="F8FAFB"/>
            <w:vAlign w:val="top"/>
          </w:tcPr>
          <w:p>
            <w:pPr>
              <w:spacing w:after="0"/>
            </w:pPr>
            <w:r>
              <w:rPr>
                <w:rFonts w:ascii="Calibri" w:hAnsi="Calibri" w:eastAsia="Calibri"/>
                <w:i w:val="0"/>
                <w:color w:val="17232B"/>
                <w:sz w:val="17"/>
              </w:rPr>
              <w:t>CellBus</w:t>
            </w:r>
          </w:p>
        </w:tc>
        <w:tc>
          <w:tcPr>
            <w:tcW w:type="dxa" w:w="6480"/>
            <w:shd w:fill="F8FAFB"/>
            <w:vAlign w:val="top"/>
          </w:tcPr>
          <w:p>
            <w:pPr>
              <w:spacing w:after="0"/>
            </w:pPr>
            <w:r>
              <w:rPr>
                <w:rFonts w:ascii="Calibri" w:hAnsi="Calibri" w:eastAsia="Calibri"/>
                <w:i w:val="0"/>
                <w:color w:val="17232B"/>
                <w:sz w:val="17"/>
              </w:rPr>
              <w:t>carries typed CloudEvents described by AsyncAPI; guarantees correlation, idempotency, and lifecycle rules</w:t>
            </w:r>
          </w:p>
        </w:tc>
      </w:tr>
      <w:tr>
        <w:trPr>
          <w:cantSplit/>
        </w:trPr>
        <w:tc>
          <w:tcPr>
            <w:tcW w:type="dxa" w:w="2880"/>
            <w:shd w:fill="FFFFFF"/>
            <w:vAlign w:val="top"/>
          </w:tcPr>
          <w:p>
            <w:pPr>
              <w:spacing w:after="0"/>
            </w:pPr>
            <w:r>
              <w:rPr>
                <w:rFonts w:ascii="Calibri" w:hAnsi="Calibri" w:eastAsia="Calibri"/>
                <w:i w:val="0"/>
                <w:color w:val="17232B"/>
                <w:sz w:val="17"/>
              </w:rPr>
              <w:t>NERVE</w:t>
            </w:r>
          </w:p>
        </w:tc>
        <w:tc>
          <w:tcPr>
            <w:tcW w:type="dxa" w:w="6480"/>
            <w:shd w:fill="FFFFFF"/>
            <w:vAlign w:val="top"/>
          </w:tcPr>
          <w:p>
            <w:pPr>
              <w:spacing w:after="0"/>
            </w:pPr>
            <w:r>
              <w:rPr>
                <w:rFonts w:ascii="Calibri" w:hAnsi="Calibri" w:eastAsia="Calibri"/>
                <w:i w:val="0"/>
                <w:color w:val="17232B"/>
                <w:sz w:val="17"/>
              </w:rPr>
              <w:t>routes work using mission constraints, verified capabilities, readiness, cost, and risk</w:t>
            </w:r>
          </w:p>
        </w:tc>
      </w:tr>
      <w:tr>
        <w:trPr>
          <w:cantSplit/>
        </w:trPr>
        <w:tc>
          <w:tcPr>
            <w:tcW w:type="dxa" w:w="2880"/>
            <w:shd w:fill="F8FAFB"/>
            <w:vAlign w:val="top"/>
          </w:tcPr>
          <w:p>
            <w:pPr>
              <w:spacing w:after="0"/>
            </w:pPr>
            <w:r>
              <w:rPr>
                <w:rFonts w:ascii="Calibri" w:hAnsi="Calibri" w:eastAsia="Calibri"/>
                <w:i w:val="0"/>
                <w:color w:val="17232B"/>
                <w:sz w:val="17"/>
              </w:rPr>
              <w:t>Warden</w:t>
            </w:r>
          </w:p>
        </w:tc>
        <w:tc>
          <w:tcPr>
            <w:tcW w:type="dxa" w:w="6480"/>
            <w:shd w:fill="F8FAFB"/>
            <w:vAlign w:val="top"/>
          </w:tcPr>
          <w:p>
            <w:pPr>
              <w:spacing w:after="0"/>
            </w:pPr>
            <w:r>
              <w:rPr>
                <w:rFonts w:ascii="Calibri" w:hAnsi="Calibri" w:eastAsia="Calibri"/>
                <w:i w:val="0"/>
                <w:color w:val="17232B"/>
                <w:sz w:val="17"/>
              </w:rPr>
              <w:t>evaluates local policy at runtime hooks; returns allow/deny/modify/escalate and issues Policy Receipts</w:t>
            </w:r>
          </w:p>
        </w:tc>
      </w:tr>
      <w:tr>
        <w:trPr>
          <w:cantSplit/>
        </w:trPr>
        <w:tc>
          <w:tcPr>
            <w:tcW w:type="dxa" w:w="2880"/>
            <w:shd w:fill="FFFFFF"/>
            <w:vAlign w:val="top"/>
          </w:tcPr>
          <w:p>
            <w:pPr>
              <w:spacing w:after="0"/>
            </w:pPr>
            <w:r>
              <w:rPr>
                <w:rFonts w:ascii="Calibri" w:hAnsi="Calibri" w:eastAsia="Calibri"/>
                <w:i w:val="0"/>
                <w:color w:val="17232B"/>
                <w:sz w:val="17"/>
              </w:rPr>
              <w:t>Evidence Recorder</w:t>
            </w:r>
          </w:p>
        </w:tc>
        <w:tc>
          <w:tcPr>
            <w:tcW w:type="dxa" w:w="6480"/>
            <w:shd w:fill="FFFFFF"/>
            <w:vAlign w:val="top"/>
          </w:tcPr>
          <w:p>
            <w:pPr>
              <w:spacing w:after="0"/>
            </w:pPr>
            <w:r>
              <w:rPr>
                <w:rFonts w:ascii="Calibri" w:hAnsi="Calibri" w:eastAsia="Calibri"/>
                <w:i w:val="0"/>
                <w:color w:val="17232B"/>
                <w:sz w:val="17"/>
              </w:rPr>
              <w:t>persists signed receipts, digests, trace links, and selective-disclosure references</w:t>
            </w:r>
          </w:p>
        </w:tc>
      </w:tr>
      <w:tr>
        <w:trPr>
          <w:cantSplit/>
        </w:trPr>
        <w:tc>
          <w:tcPr>
            <w:tcW w:type="dxa" w:w="2880"/>
            <w:shd w:fill="F8FAFB"/>
            <w:vAlign w:val="top"/>
          </w:tcPr>
          <w:p>
            <w:pPr>
              <w:spacing w:after="0"/>
            </w:pPr>
            <w:r>
              <w:rPr>
                <w:rFonts w:ascii="Calibri" w:hAnsi="Calibri" w:eastAsia="Calibri"/>
                <w:i w:val="0"/>
                <w:color w:val="17232B"/>
                <w:sz w:val="17"/>
              </w:rPr>
              <w:t>HyperMESH</w:t>
            </w:r>
          </w:p>
        </w:tc>
        <w:tc>
          <w:tcPr>
            <w:tcW w:type="dxa" w:w="6480"/>
            <w:shd w:fill="F8FAFB"/>
            <w:vAlign w:val="top"/>
          </w:tcPr>
          <w:p>
            <w:pPr>
              <w:spacing w:after="0"/>
            </w:pPr>
            <w:r>
              <w:rPr>
                <w:rFonts w:ascii="Calibri" w:hAnsi="Calibri" w:eastAsia="Calibri"/>
                <w:i w:val="0"/>
                <w:color w:val="17232B"/>
                <w:sz w:val="17"/>
              </w:rPr>
              <w:t>creates typed, governed links across Cells and organizations; enforces trust-domain boundaries</w:t>
            </w:r>
          </w:p>
        </w:tc>
      </w:tr>
      <w:tr>
        <w:trPr>
          <w:cantSplit/>
        </w:trPr>
        <w:tc>
          <w:tcPr>
            <w:tcW w:type="dxa" w:w="2880"/>
            <w:shd w:fill="FFFFFF"/>
            <w:vAlign w:val="top"/>
          </w:tcPr>
          <w:p>
            <w:pPr>
              <w:spacing w:after="0"/>
            </w:pPr>
            <w:r>
              <w:rPr>
                <w:rFonts w:ascii="Calibri" w:hAnsi="Calibri" w:eastAsia="Calibri"/>
                <w:i w:val="0"/>
                <w:color w:val="17232B"/>
                <w:sz w:val="17"/>
              </w:rPr>
              <w:t>Shadow Twin</w:t>
            </w:r>
          </w:p>
        </w:tc>
        <w:tc>
          <w:tcPr>
            <w:tcW w:type="dxa" w:w="6480"/>
            <w:shd w:fill="FFFFFF"/>
            <w:vAlign w:val="top"/>
          </w:tcPr>
          <w:p>
            <w:pPr>
              <w:spacing w:after="0"/>
            </w:pPr>
            <w:r>
              <w:rPr>
                <w:rFonts w:ascii="Calibri" w:hAnsi="Calibri" w:eastAsia="Calibri"/>
                <w:i w:val="0"/>
                <w:color w:val="17232B"/>
                <w:sz w:val="17"/>
              </w:rPr>
              <w:t>replays the same MAP events under alternative topologies and policies</w:t>
            </w:r>
          </w:p>
        </w:tc>
      </w:tr>
      <w:tr>
        <w:trPr>
          <w:cantSplit/>
        </w:trPr>
        <w:tc>
          <w:tcPr>
            <w:tcW w:type="dxa" w:w="2880"/>
            <w:shd w:fill="F8FAFB"/>
            <w:vAlign w:val="top"/>
          </w:tcPr>
          <w:p>
            <w:pPr>
              <w:spacing w:after="0"/>
            </w:pPr>
            <w:r>
              <w:rPr>
                <w:rFonts w:ascii="Calibri" w:hAnsi="Calibri" w:eastAsia="Calibri"/>
                <w:i w:val="0"/>
                <w:color w:val="17232B"/>
                <w:sz w:val="17"/>
              </w:rPr>
              <w:t>CELL ADAPT</w:t>
            </w:r>
          </w:p>
        </w:tc>
        <w:tc>
          <w:tcPr>
            <w:tcW w:type="dxa" w:w="6480"/>
            <w:shd w:fill="F8FAFB"/>
            <w:vAlign w:val="top"/>
          </w:tcPr>
          <w:p>
            <w:pPr>
              <w:spacing w:after="0"/>
            </w:pPr>
            <w:r>
              <w:rPr>
                <w:rFonts w:ascii="Calibri" w:hAnsi="Calibri" w:eastAsia="Calibri"/>
                <w:i w:val="0"/>
                <w:color w:val="17232B"/>
                <w:sz w:val="17"/>
              </w:rPr>
              <w:t>consumes Evaluation Receipts and recommends versioned organizational changes</w:t>
            </w:r>
          </w:p>
        </w:tc>
      </w:tr>
    </w:tbl>
    <w:p>
      <w:pPr>
        <w:pStyle w:val="TableCitation"/>
      </w:pPr>
      <w:r>
        <w:t>Source: synthesis of cited specifications; assessments are the author’s analysis.</w:t>
      </w:r>
    </w:p>
    <w:p>
      <w:pPr>
        <w:pStyle w:val="Heading2"/>
        <w:keepNext/>
        <w:keepLines/>
      </w:pPr>
      <w:r>
        <w:t>Mapping to A2A and MCP</w:t>
      </w:r>
    </w:p>
    <w:p>
      <w:r>
        <w:rPr>
          <w:rFonts w:ascii="Calibri" w:hAnsi="Calibri" w:eastAsia="Calibri"/>
          <w:b/>
          <w:i w:val="0"/>
          <w:color w:val="17232B"/>
          <w:sz w:val="22"/>
        </w:rPr>
        <w:t>A2A Agent Card extension:</w:t>
      </w:r>
      <w:r>
        <w:rPr>
          <w:rFonts w:ascii="Calibri" w:hAnsi="Calibri" w:eastAsia="Calibri"/>
          <w:i w:val="0"/>
          <w:color w:val="17232B"/>
          <w:sz w:val="22"/>
        </w:rPr>
        <w:t xml:space="preserve"> advertise supported CELL//AP profiles, schema versions, authority mechanisms, receipt types, trust domains, and revocation endpoint. Use A2A’s signed Agent Card support when crossing trust boundaries.</w:t>
      </w:r>
    </w:p>
    <w:p>
      <w:r>
        <w:rPr>
          <w:rFonts w:ascii="Calibri" w:hAnsi="Calibri" w:eastAsia="Calibri"/>
          <w:b/>
          <w:i w:val="0"/>
          <w:color w:val="17232B"/>
          <w:sz w:val="22"/>
        </w:rPr>
        <w:t>A2A Task metadata:</w:t>
      </w:r>
      <w:r>
        <w:rPr>
          <w:rFonts w:ascii="Calibri" w:hAnsi="Calibri" w:eastAsia="Calibri"/>
          <w:i w:val="0"/>
          <w:color w:val="17232B"/>
          <w:sz w:val="22"/>
        </w:rPr>
        <w:t xml:space="preserve"> include references to </w:t>
      </w:r>
      <w:r>
        <w:rPr>
          <w:rFonts w:ascii="Consolas" w:hAnsi="Consolas" w:eastAsia="Consolas"/>
          <w:b/>
          <w:color w:val="007783"/>
          <w:sz w:val="21"/>
          <w:shd w:fill="E9F7F8"/>
        </w:rPr>
        <w:t>mission</w:t>
      </w:r>
      <w:r>
        <w:rPr>
          <w:rFonts w:ascii="Calibri" w:hAnsi="Calibri" w:eastAsia="Calibri"/>
          <w:i w:val="0"/>
          <w:color w:val="17232B"/>
          <w:sz w:val="22"/>
        </w:rPr>
        <w:t xml:space="preserve">, </w:t>
      </w:r>
      <w:r>
        <w:rPr>
          <w:rFonts w:ascii="Consolas" w:hAnsi="Consolas" w:eastAsia="Consolas"/>
          <w:b/>
          <w:color w:val="007783"/>
          <w:sz w:val="21"/>
          <w:shd w:fill="E9F7F8"/>
        </w:rPr>
        <w:t>authority</w:t>
      </w:r>
      <w:r>
        <w:rPr>
          <w:rFonts w:ascii="Calibri" w:hAnsi="Calibri" w:eastAsia="Calibri"/>
          <w:i w:val="0"/>
          <w:color w:val="17232B"/>
          <w:sz w:val="22"/>
        </w:rPr>
        <w:t xml:space="preserve">, and </w:t>
      </w:r>
      <w:r>
        <w:rPr>
          <w:rFonts w:ascii="Consolas" w:hAnsi="Consolas" w:eastAsia="Consolas"/>
          <w:b/>
          <w:color w:val="007783"/>
          <w:sz w:val="21"/>
          <w:shd w:fill="E9F7F8"/>
        </w:rPr>
        <w:t>provenance</w:t>
      </w:r>
      <w:r>
        <w:rPr>
          <w:rFonts w:ascii="Calibri" w:hAnsi="Calibri" w:eastAsia="Calibri"/>
          <w:i w:val="0"/>
          <w:color w:val="17232B"/>
          <w:sz w:val="22"/>
        </w:rPr>
        <w:t>; keep large or sensitive objects as separately authorized artifacts. Map A2A task states to CELL//AP lifecycle states.</w:t>
      </w:r>
    </w:p>
    <w:p>
      <w:r>
        <w:rPr>
          <w:rFonts w:ascii="Calibri" w:hAnsi="Calibri" w:eastAsia="Calibri"/>
          <w:b/>
          <w:i w:val="0"/>
          <w:color w:val="17232B"/>
          <w:sz w:val="22"/>
        </w:rPr>
        <w:t>MCP tool metadata:</w:t>
      </w:r>
      <w:r>
        <w:rPr>
          <w:rFonts w:ascii="Calibri" w:hAnsi="Calibri" w:eastAsia="Calibri"/>
          <w:i w:val="0"/>
          <w:color w:val="17232B"/>
          <w:sz w:val="22"/>
        </w:rPr>
        <w:t xml:space="preserve"> attach the current mission/task IDs, Authority Envelope reference, side-effect class, approval requirement, and expected Tool Receipt. Tool servers still enforce their own authorization and must never trust metadata alone.</w:t>
      </w:r>
    </w:p>
    <w:p>
      <w:r>
        <w:rPr>
          <w:rFonts w:ascii="Calibri" w:hAnsi="Calibri" w:eastAsia="Calibri"/>
          <w:b/>
          <w:i w:val="0"/>
          <w:color w:val="17232B"/>
          <w:sz w:val="22"/>
        </w:rPr>
        <w:t>CellBus:</w:t>
      </w:r>
      <w:r>
        <w:rPr>
          <w:rFonts w:ascii="Calibri" w:hAnsi="Calibri" w:eastAsia="Calibri"/>
          <w:i w:val="0"/>
          <w:color w:val="17232B"/>
          <w:sz w:val="22"/>
        </w:rPr>
        <w:t xml:space="preserve"> use CloudEvents-compatible envelope fields and W3C </w:t>
      </w:r>
      <w:r>
        <w:rPr>
          <w:rFonts w:ascii="Consolas" w:hAnsi="Consolas" w:eastAsia="Consolas"/>
          <w:b/>
          <w:color w:val="007783"/>
          <w:sz w:val="21"/>
          <w:shd w:fill="E9F7F8"/>
        </w:rPr>
        <w:t>traceparent</w:t>
      </w:r>
      <w:r>
        <w:rPr>
          <w:rFonts w:ascii="Calibri" w:hAnsi="Calibri" w:eastAsia="Calibri"/>
          <w:i w:val="0"/>
          <w:color w:val="17232B"/>
          <w:sz w:val="22"/>
        </w:rPr>
        <w:t>; schemas are JSON Schema 2020-12 and interfaces are published as AsyncAPI documents.[14–16]</w:t>
      </w:r>
    </w:p>
    <w:p>
      <w:pPr>
        <w:pStyle w:val="Heading1"/>
        <w:keepNext/>
        <w:keepLines/>
      </w:pPr>
      <w:r>
        <w:t>Security, privacy, and governance principles</w:t>
      </w:r>
    </w:p>
    <w:p>
      <w:pPr>
        <w:pStyle w:val="Heading2"/>
        <w:keepNext/>
        <w:keepLines/>
      </w:pPr>
      <w:r>
        <w:t>Security invariants</w:t>
      </w:r>
    </w:p>
    <w:p>
      <w:pPr>
        <w:keepLines/>
        <w:numPr>
          <w:ilvl w:val="0"/>
          <w:numId w:val="14"/>
        </w:numPr>
        <w:spacing w:after="160" w:line="280" w:lineRule="auto"/>
        <w:ind w:left="720" w:hanging="360"/>
      </w:pPr>
      <w:r>
        <w:rPr>
          <w:rFonts w:ascii="Calibri" w:hAnsi="Calibri" w:eastAsia="Calibri"/>
          <w:b/>
          <w:i w:val="0"/>
          <w:color w:val="17232B"/>
          <w:sz w:val="22"/>
        </w:rPr>
        <w:t>No ambient authority:</w:t>
      </w:r>
      <w:r>
        <w:rPr>
          <w:rFonts w:ascii="Calibri" w:hAnsi="Calibri" w:eastAsia="Calibri"/>
          <w:i w:val="0"/>
          <w:color w:val="17232B"/>
          <w:sz w:val="22"/>
        </w:rPr>
        <w:t xml:space="preserve"> a process identity alone is insufficient; every governed side effect requires an active Authority Envelope.</w:t>
      </w:r>
    </w:p>
    <w:p>
      <w:pPr>
        <w:keepLines/>
        <w:numPr>
          <w:ilvl w:val="0"/>
          <w:numId w:val="14"/>
        </w:numPr>
        <w:spacing w:after="160" w:line="280" w:lineRule="auto"/>
        <w:ind w:left="720" w:hanging="360"/>
      </w:pPr>
      <w:r>
        <w:rPr>
          <w:rFonts w:ascii="Calibri" w:hAnsi="Calibri" w:eastAsia="Calibri"/>
          <w:b/>
          <w:i w:val="0"/>
          <w:color w:val="17232B"/>
          <w:sz w:val="22"/>
        </w:rPr>
        <w:t>No privilege amplification:</w:t>
      </w:r>
      <w:r>
        <w:rPr>
          <w:rFonts w:ascii="Calibri" w:hAnsi="Calibri" w:eastAsia="Calibri"/>
          <w:i w:val="0"/>
          <w:color w:val="17232B"/>
          <w:sz w:val="22"/>
        </w:rPr>
        <w:t xml:space="preserve"> child grants must be provable subsets of parents.</w:t>
      </w:r>
    </w:p>
    <w:p>
      <w:pPr>
        <w:keepLines/>
        <w:numPr>
          <w:ilvl w:val="0"/>
          <w:numId w:val="14"/>
        </w:numPr>
        <w:spacing w:after="160" w:line="280" w:lineRule="auto"/>
        <w:ind w:left="720" w:hanging="360"/>
      </w:pPr>
      <w:r>
        <w:rPr>
          <w:rFonts w:ascii="Calibri" w:hAnsi="Calibri" w:eastAsia="Calibri"/>
          <w:b/>
          <w:i w:val="0"/>
          <w:color w:val="17232B"/>
          <w:sz w:val="22"/>
        </w:rPr>
        <w:t>No bearer-secret forwarding:</w:t>
      </w:r>
      <w:r>
        <w:rPr>
          <w:rFonts w:ascii="Calibri" w:hAnsi="Calibri" w:eastAsia="Calibri"/>
          <w:i w:val="0"/>
          <w:color w:val="17232B"/>
          <w:sz w:val="22"/>
        </w:rPr>
        <w:t xml:space="preserve"> tokens are audience-bound and exchanged through approved mechanisms; MCP already prohibits token passthrough patterns.[1]</w:t>
      </w:r>
    </w:p>
    <w:p>
      <w:pPr>
        <w:keepLines/>
        <w:numPr>
          <w:ilvl w:val="0"/>
          <w:numId w:val="14"/>
        </w:numPr>
        <w:spacing w:after="160" w:line="280" w:lineRule="auto"/>
        <w:ind w:left="720" w:hanging="360"/>
      </w:pPr>
      <w:r>
        <w:rPr>
          <w:rFonts w:ascii="Calibri" w:hAnsi="Calibri" w:eastAsia="Calibri"/>
          <w:b/>
          <w:i w:val="0"/>
          <w:color w:val="17232B"/>
          <w:sz w:val="22"/>
        </w:rPr>
        <w:t>No unsigned cross-domain capability claims at high trust levels.</w:t>
      </w:r>
    </w:p>
    <w:p>
      <w:pPr>
        <w:keepLines/>
        <w:numPr>
          <w:ilvl w:val="0"/>
          <w:numId w:val="14"/>
        </w:numPr>
        <w:spacing w:after="160" w:line="280" w:lineRule="auto"/>
        <w:ind w:left="720" w:hanging="360"/>
      </w:pPr>
      <w:r>
        <w:rPr>
          <w:rFonts w:ascii="Calibri" w:hAnsi="Calibri" w:eastAsia="Calibri"/>
          <w:b/>
          <w:i w:val="0"/>
          <w:color w:val="17232B"/>
          <w:sz w:val="22"/>
        </w:rPr>
        <w:t>No success without evidence:</w:t>
      </w:r>
      <w:r>
        <w:rPr>
          <w:rFonts w:ascii="Calibri" w:hAnsi="Calibri" w:eastAsia="Calibri"/>
          <w:i w:val="0"/>
          <w:color w:val="17232B"/>
          <w:sz w:val="22"/>
        </w:rPr>
        <w:t xml:space="preserve"> a terminal completed state is provisional until required receipts verify.</w:t>
      </w:r>
    </w:p>
    <w:p>
      <w:pPr>
        <w:keepLines/>
        <w:numPr>
          <w:ilvl w:val="0"/>
          <w:numId w:val="14"/>
        </w:numPr>
        <w:spacing w:after="160" w:line="280" w:lineRule="auto"/>
        <w:ind w:left="720" w:hanging="360"/>
      </w:pPr>
      <w:r>
        <w:rPr>
          <w:rFonts w:ascii="Calibri" w:hAnsi="Calibri" w:eastAsia="Calibri"/>
          <w:b/>
          <w:i w:val="0"/>
          <w:color w:val="17232B"/>
          <w:sz w:val="22"/>
        </w:rPr>
        <w:t>No private-reasoning requirement:</w:t>
      </w:r>
      <w:r>
        <w:rPr>
          <w:rFonts w:ascii="Calibri" w:hAnsi="Calibri" w:eastAsia="Calibri"/>
          <w:i w:val="0"/>
          <w:color w:val="17232B"/>
          <w:sz w:val="22"/>
        </w:rPr>
        <w:t xml:space="preserve"> evidence and decision records must be useful without hidden chain-of-thought.</w:t>
      </w:r>
    </w:p>
    <w:p>
      <w:pPr>
        <w:keepLines/>
        <w:numPr>
          <w:ilvl w:val="0"/>
          <w:numId w:val="14"/>
        </w:numPr>
        <w:spacing w:after="160" w:line="280" w:lineRule="auto"/>
        <w:ind w:left="720" w:hanging="360"/>
      </w:pPr>
      <w:r>
        <w:rPr>
          <w:rFonts w:ascii="Calibri" w:hAnsi="Calibri" w:eastAsia="Calibri"/>
          <w:b/>
          <w:i w:val="0"/>
          <w:color w:val="17232B"/>
          <w:sz w:val="22"/>
        </w:rPr>
        <w:t>No silent policy changes:</w:t>
      </w:r>
      <w:r>
        <w:rPr>
          <w:rFonts w:ascii="Calibri" w:hAnsi="Calibri" w:eastAsia="Calibri"/>
          <w:i w:val="0"/>
          <w:color w:val="17232B"/>
          <w:sz w:val="22"/>
        </w:rPr>
        <w:t xml:space="preserve"> policy and schema versions are part of every relevant receipt.</w:t>
      </w:r>
    </w:p>
    <w:p>
      <w:pPr>
        <w:keepLines/>
        <w:numPr>
          <w:ilvl w:val="0"/>
          <w:numId w:val="14"/>
        </w:numPr>
        <w:spacing w:after="160" w:line="280" w:lineRule="auto"/>
        <w:ind w:left="720" w:hanging="360"/>
      </w:pPr>
      <w:r>
        <w:rPr>
          <w:rFonts w:ascii="Calibri" w:hAnsi="Calibri" w:eastAsia="Calibri"/>
          <w:b/>
          <w:i w:val="0"/>
          <w:color w:val="17232B"/>
          <w:sz w:val="22"/>
        </w:rPr>
        <w:t>No irreversible high-impact action without an explicit gate appropriate to the domain.</w:t>
      </w:r>
    </w:p>
    <w:p>
      <w:r>
        <w:rPr>
          <w:rFonts w:ascii="Calibri" w:hAnsi="Calibri" w:eastAsia="Calibri"/>
          <w:i w:val="0"/>
          <w:color w:val="17232B"/>
          <w:sz w:val="22"/>
        </w:rPr>
        <w:t>The threat model should explicitly cover goal hijacking, tool misuse, identity and privilege abuse, memory poisoning, insecure inter-agent communication, cascading failures, and over-trust—categories highlighted by OWASP’s 2026 agentic application work.[26]</w:t>
      </w:r>
    </w:p>
    <w:p>
      <w:pPr>
        <w:pStyle w:val="Heading2"/>
        <w:keepNext/>
        <w:keepLines/>
      </w:pPr>
      <w:r>
        <w:t>Governance model</w:t>
      </w:r>
    </w:p>
    <w:p>
      <w:r>
        <w:rPr>
          <w:rFonts w:ascii="Calibri" w:hAnsi="Calibri" w:eastAsia="Calibri"/>
          <w:i w:val="0"/>
          <w:color w:val="17232B"/>
          <w:sz w:val="22"/>
        </w:rPr>
        <w:t>For v0.1, use an internal architecture working group with security, runtime, developer-experience, evaluation, and product representation. Require two independent implementations of AP-Core before freezing it. Publish:</w:t>
      </w:r>
    </w:p>
    <w:p>
      <w:pPr>
        <w:keepLines/>
        <w:numPr>
          <w:ilvl w:val="0"/>
          <w:numId w:val="10"/>
        </w:numPr>
        <w:spacing w:after="160" w:line="280" w:lineRule="auto"/>
        <w:ind w:left="720" w:hanging="360"/>
      </w:pPr>
      <w:r>
        <w:rPr>
          <w:rFonts w:ascii="Calibri" w:hAnsi="Calibri" w:eastAsia="Calibri"/>
          <w:i w:val="0"/>
          <w:color w:val="17232B"/>
          <w:sz w:val="22"/>
        </w:rPr>
        <w:t>a normative specification using RFC 2119/8174 keywords;</w:t>
      </w:r>
    </w:p>
    <w:p>
      <w:pPr>
        <w:keepLines/>
        <w:numPr>
          <w:ilvl w:val="0"/>
          <w:numId w:val="10"/>
        </w:numPr>
        <w:spacing w:after="160" w:line="280" w:lineRule="auto"/>
        <w:ind w:left="720" w:hanging="360"/>
      </w:pPr>
      <w:r>
        <w:rPr>
          <w:rFonts w:ascii="Calibri" w:hAnsi="Calibri" w:eastAsia="Calibri"/>
          <w:i w:val="0"/>
          <w:color w:val="17232B"/>
          <w:sz w:val="22"/>
        </w:rPr>
        <w:t>versioned JSON Schemas and AsyncAPI documents;</w:t>
      </w:r>
    </w:p>
    <w:p>
      <w:pPr>
        <w:keepLines/>
        <w:numPr>
          <w:ilvl w:val="0"/>
          <w:numId w:val="10"/>
        </w:numPr>
        <w:spacing w:after="160" w:line="280" w:lineRule="auto"/>
        <w:ind w:left="720" w:hanging="360"/>
      </w:pPr>
      <w:r>
        <w:rPr>
          <w:rFonts w:ascii="Calibri" w:hAnsi="Calibri" w:eastAsia="Calibri"/>
          <w:i w:val="0"/>
          <w:color w:val="17232B"/>
          <w:sz w:val="22"/>
        </w:rPr>
        <w:t>A2A and MCP mapping guides;</w:t>
      </w:r>
    </w:p>
    <w:p>
      <w:pPr>
        <w:keepLines/>
        <w:numPr>
          <w:ilvl w:val="0"/>
          <w:numId w:val="10"/>
        </w:numPr>
        <w:spacing w:after="160" w:line="280" w:lineRule="auto"/>
        <w:ind w:left="720" w:hanging="360"/>
      </w:pPr>
      <w:r>
        <w:rPr>
          <w:rFonts w:ascii="Calibri" w:hAnsi="Calibri" w:eastAsia="Calibri"/>
          <w:i w:val="0"/>
          <w:color w:val="17232B"/>
          <w:sz w:val="22"/>
        </w:rPr>
        <w:t>conformance tests and adversarial test vectors;</w:t>
      </w:r>
    </w:p>
    <w:p>
      <w:pPr>
        <w:keepLines/>
        <w:numPr>
          <w:ilvl w:val="0"/>
          <w:numId w:val="10"/>
        </w:numPr>
        <w:spacing w:after="160" w:line="280" w:lineRule="auto"/>
        <w:ind w:left="720" w:hanging="360"/>
      </w:pPr>
      <w:r>
        <w:rPr>
          <w:rFonts w:ascii="Calibri" w:hAnsi="Calibri" w:eastAsia="Calibri"/>
          <w:i w:val="0"/>
          <w:color w:val="17232B"/>
          <w:sz w:val="22"/>
        </w:rPr>
        <w:t>a threat model and privacy model;</w:t>
      </w:r>
    </w:p>
    <w:p>
      <w:pPr>
        <w:keepLines/>
        <w:numPr>
          <w:ilvl w:val="0"/>
          <w:numId w:val="10"/>
        </w:numPr>
        <w:spacing w:after="160" w:line="280" w:lineRule="auto"/>
        <w:ind w:left="720" w:hanging="360"/>
      </w:pPr>
      <w:r>
        <w:rPr>
          <w:rFonts w:ascii="Calibri" w:hAnsi="Calibri" w:eastAsia="Calibri"/>
          <w:i w:val="0"/>
          <w:color w:val="17232B"/>
          <w:sz w:val="22"/>
        </w:rPr>
        <w:t>extension and namespace rules;</w:t>
      </w:r>
    </w:p>
    <w:p>
      <w:pPr>
        <w:keepLines/>
        <w:numPr>
          <w:ilvl w:val="0"/>
          <w:numId w:val="10"/>
        </w:numPr>
        <w:spacing w:after="160" w:line="280" w:lineRule="auto"/>
        <w:ind w:left="720" w:hanging="360"/>
      </w:pPr>
      <w:r>
        <w:rPr>
          <w:rFonts w:ascii="Calibri" w:hAnsi="Calibri" w:eastAsia="Calibri"/>
          <w:i w:val="0"/>
          <w:color w:val="17232B"/>
          <w:sz w:val="22"/>
        </w:rPr>
        <w:t>change proposals and compatibility policy; and</w:t>
      </w:r>
    </w:p>
    <w:p>
      <w:pPr>
        <w:keepLines/>
        <w:numPr>
          <w:ilvl w:val="0"/>
          <w:numId w:val="10"/>
        </w:numPr>
        <w:spacing w:after="160" w:line="280" w:lineRule="auto"/>
        <w:ind w:left="720" w:hanging="360"/>
      </w:pPr>
      <w:r>
        <w:rPr>
          <w:rFonts w:ascii="Calibri" w:hAnsi="Calibri" w:eastAsia="Calibri"/>
          <w:i w:val="0"/>
          <w:color w:val="17232B"/>
          <w:sz w:val="22"/>
        </w:rPr>
        <w:t>a public issue log of unresolved questions.</w:t>
      </w:r>
    </w:p>
    <w:p>
      <w:r>
        <w:rPr>
          <w:rFonts w:ascii="Calibri" w:hAnsi="Calibri" w:eastAsia="Calibri"/>
          <w:i w:val="0"/>
          <w:color w:val="17232B"/>
          <w:sz w:val="22"/>
        </w:rPr>
        <w:t>If the work moves outside CELL OS, governance should be vendor-neutral. The project should contribute compatible pieces to the communities already stewarding A2A, MCP, IETF identity/delegation work, OpenTelemetry, or ACS rather than forming a competing standards island.</w:t>
      </w:r>
    </w:p>
    <w:p>
      <w:r>
        <w:br w:type="page"/>
      </w:r>
    </w:p>
    <w:p>
      <w:pPr>
        <w:pStyle w:val="Heading1"/>
        <w:keepNext/>
        <w:keepLines/>
      </w:pPr>
      <w:r>
        <w:t>90-day proof plan</w:t>
      </w:r>
    </w:p>
    <w:p>
      <w:pPr>
        <w:pStyle w:val="Heading2"/>
        <w:keepNext/>
        <w:keepLines/>
      </w:pPr>
      <w:r>
        <w:t>Days 0–30: define and compile</w:t>
      </w:r>
    </w:p>
    <w:p>
      <w:pPr>
        <w:keepLines/>
        <w:numPr>
          <w:ilvl w:val="0"/>
          <w:numId w:val="10"/>
        </w:numPr>
        <w:spacing w:after="160" w:line="280" w:lineRule="auto"/>
        <w:ind w:left="720" w:hanging="360"/>
      </w:pPr>
      <w:r>
        <w:rPr>
          <w:rFonts w:ascii="Calibri" w:hAnsi="Calibri" w:eastAsia="Calibri"/>
          <w:i w:val="0"/>
          <w:color w:val="17232B"/>
          <w:sz w:val="22"/>
        </w:rPr>
        <w:t>Freeze terminology and the normative boundary.</w:t>
      </w:r>
    </w:p>
    <w:p>
      <w:pPr>
        <w:keepLines/>
        <w:numPr>
          <w:ilvl w:val="0"/>
          <w:numId w:val="10"/>
        </w:numPr>
        <w:spacing w:after="160" w:line="280" w:lineRule="auto"/>
        <w:ind w:left="720" w:hanging="360"/>
      </w:pPr>
      <w:r>
        <w:rPr>
          <w:rFonts w:ascii="Calibri" w:hAnsi="Calibri" w:eastAsia="Calibri"/>
          <w:i w:val="0"/>
          <w:color w:val="17232B"/>
          <w:sz w:val="22"/>
        </w:rPr>
        <w:t>Draft AP-Core, Mission Contract, Authority Envelope, Receipt, and lifecycle schemas.</w:t>
      </w:r>
    </w:p>
    <w:p>
      <w:pPr>
        <w:keepLines/>
        <w:numPr>
          <w:ilvl w:val="0"/>
          <w:numId w:val="10"/>
        </w:numPr>
        <w:spacing w:after="160" w:line="280" w:lineRule="auto"/>
        <w:ind w:left="720" w:hanging="360"/>
      </w:pPr>
      <w:r>
        <w:rPr>
          <w:rFonts w:ascii="Calibri" w:hAnsi="Calibri" w:eastAsia="Calibri"/>
          <w:i w:val="0"/>
          <w:color w:val="17232B"/>
          <w:sz w:val="22"/>
        </w:rPr>
        <w:t>Produce an Org-IR → Cell-IR → CELL//AP compiler slice.</w:t>
      </w:r>
    </w:p>
    <w:p>
      <w:pPr>
        <w:keepLines/>
        <w:numPr>
          <w:ilvl w:val="0"/>
          <w:numId w:val="10"/>
        </w:numPr>
        <w:spacing w:after="160" w:line="280" w:lineRule="auto"/>
        <w:ind w:left="720" w:hanging="360"/>
      </w:pPr>
      <w:r>
        <w:rPr>
          <w:rFonts w:ascii="Calibri" w:hAnsi="Calibri" w:eastAsia="Calibri"/>
          <w:i w:val="0"/>
          <w:color w:val="17232B"/>
          <w:sz w:val="22"/>
        </w:rPr>
        <w:t>Build A2A and MCP metadata adapters.</w:t>
      </w:r>
    </w:p>
    <w:p>
      <w:pPr>
        <w:keepLines/>
        <w:numPr>
          <w:ilvl w:val="0"/>
          <w:numId w:val="10"/>
        </w:numPr>
        <w:spacing w:after="160" w:line="280" w:lineRule="auto"/>
        <w:ind w:left="720" w:hanging="360"/>
      </w:pPr>
      <w:r>
        <w:rPr>
          <w:rFonts w:ascii="Calibri" w:hAnsi="Calibri" w:eastAsia="Calibri"/>
          <w:i w:val="0"/>
          <w:color w:val="17232B"/>
          <w:sz w:val="22"/>
        </w:rPr>
        <w:t>Create the authority-attenuation verifier and conformance harness.</w:t>
      </w:r>
    </w:p>
    <w:p>
      <w:pPr>
        <w:keepLines/>
        <w:numPr>
          <w:ilvl w:val="0"/>
          <w:numId w:val="10"/>
        </w:numPr>
        <w:spacing w:after="160" w:line="280" w:lineRule="auto"/>
        <w:ind w:left="720" w:hanging="360"/>
      </w:pPr>
      <w:r>
        <w:rPr>
          <w:rFonts w:ascii="Calibri" w:hAnsi="Calibri" w:eastAsia="Calibri"/>
          <w:i w:val="0"/>
          <w:color w:val="17232B"/>
          <w:sz w:val="22"/>
        </w:rPr>
        <w:t>Threat-model the protocol, extensions, directories, and revocation path.</w:t>
      </w:r>
    </w:p>
    <w:p>
      <w:r>
        <w:rPr>
          <w:rFonts w:ascii="Calibri" w:hAnsi="Calibri" w:eastAsia="Calibri"/>
          <w:b/>
          <w:i w:val="0"/>
          <w:color w:val="17232B"/>
          <w:sz w:val="22"/>
        </w:rPr>
        <w:t>Exit evidence:</w:t>
      </w:r>
      <w:r>
        <w:rPr>
          <w:rFonts w:ascii="Calibri" w:hAnsi="Calibri" w:eastAsia="Calibri"/>
          <w:i w:val="0"/>
          <w:color w:val="17232B"/>
          <w:sz w:val="22"/>
        </w:rPr>
        <w:t xml:space="preserve"> schemas validate; round-trip serialization is stable; every normative rule has a test placeholder; no new transport is required.</w:t>
      </w:r>
    </w:p>
    <w:p>
      <w:pPr>
        <w:pStyle w:val="Heading2"/>
        <w:keepNext/>
        <w:keepLines/>
      </w:pPr>
      <w:r>
        <w:t>Days 31–60: prove two internal pilots</w:t>
      </w:r>
    </w:p>
    <w:p>
      <w:r>
        <w:rPr>
          <w:rFonts w:ascii="Calibri" w:hAnsi="Calibri" w:eastAsia="Calibri"/>
          <w:i w:val="0"/>
          <w:color w:val="17232B"/>
          <w:sz w:val="22"/>
        </w:rPr>
        <w:t xml:space="preserve">Pilot A should be the </w:t>
      </w:r>
      <w:r>
        <w:rPr>
          <w:rFonts w:ascii="Calibri" w:hAnsi="Calibri" w:eastAsia="Calibri"/>
          <w:b/>
          <w:i w:val="0"/>
          <w:color w:val="17232B"/>
          <w:sz w:val="22"/>
        </w:rPr>
        <w:t>evidence-grade research swarm</w:t>
      </w:r>
      <w:r>
        <w:rPr>
          <w:rFonts w:ascii="Calibri" w:hAnsi="Calibri" w:eastAsia="Calibri"/>
          <w:i w:val="0"/>
          <w:color w:val="17232B"/>
          <w:sz w:val="22"/>
        </w:rPr>
        <w:t xml:space="preserve">, because it exercises claims, evidence, skepticism, and report assembly without high-impact side effects. Pilot B should be the </w:t>
      </w:r>
      <w:r>
        <w:rPr>
          <w:rFonts w:ascii="Calibri" w:hAnsi="Calibri" w:eastAsia="Calibri"/>
          <w:b/>
          <w:i w:val="0"/>
          <w:color w:val="17232B"/>
          <w:sz w:val="22"/>
        </w:rPr>
        <w:t>two-key software delivery simulation</w:t>
      </w:r>
      <w:r>
        <w:rPr>
          <w:rFonts w:ascii="Calibri" w:hAnsi="Calibri" w:eastAsia="Calibri"/>
          <w:i w:val="0"/>
          <w:color w:val="17232B"/>
          <w:sz w:val="22"/>
        </w:rPr>
        <w:t>, because it exercises authority, separation of duties, approvals, receipts, cancellation, and rollback without touching production.</w:t>
      </w:r>
    </w:p>
    <w:p>
      <w:r>
        <w:rPr>
          <w:rFonts w:ascii="Calibri" w:hAnsi="Calibri" w:eastAsia="Calibri"/>
          <w:b/>
          <w:i w:val="0"/>
          <w:color w:val="17232B"/>
          <w:sz w:val="22"/>
        </w:rPr>
        <w:t>Exit evidence:</w:t>
      </w:r>
      <w:r>
        <w:rPr>
          <w:rFonts w:ascii="Calibri" w:hAnsi="Calibri" w:eastAsia="Calibri"/>
          <w:i w:val="0"/>
          <w:color w:val="17232B"/>
          <w:sz w:val="22"/>
        </w:rPr>
        <w:t xml:space="preserve"> complete task reconstruction, cross-runtime interoperability, authority-subset proofs, replayable event logs, measured overhead, and documented developer effort.</w:t>
      </w:r>
    </w:p>
    <w:p>
      <w:pPr>
        <w:pStyle w:val="Heading2"/>
        <w:keepNext/>
        <w:keepLines/>
      </w:pPr>
      <w:r>
        <w:t>Days 61–90: federate and decide</w:t>
      </w:r>
    </w:p>
    <w:p>
      <w:pPr>
        <w:keepLines/>
        <w:numPr>
          <w:ilvl w:val="0"/>
          <w:numId w:val="10"/>
        </w:numPr>
        <w:spacing w:after="160" w:line="280" w:lineRule="auto"/>
        <w:ind w:left="720" w:hanging="360"/>
      </w:pPr>
      <w:r>
        <w:rPr>
          <w:rFonts w:ascii="Calibri" w:hAnsi="Calibri" w:eastAsia="Calibri"/>
          <w:i w:val="0"/>
          <w:color w:val="17232B"/>
          <w:sz w:val="22"/>
        </w:rPr>
        <w:t>Run one pilot across two independently administered trust domains.</w:t>
      </w:r>
    </w:p>
    <w:p>
      <w:pPr>
        <w:keepLines/>
        <w:numPr>
          <w:ilvl w:val="0"/>
          <w:numId w:val="10"/>
        </w:numPr>
        <w:spacing w:after="160" w:line="280" w:lineRule="auto"/>
        <w:ind w:left="720" w:hanging="360"/>
      </w:pPr>
      <w:r>
        <w:rPr>
          <w:rFonts w:ascii="Calibri" w:hAnsi="Calibri" w:eastAsia="Calibri"/>
          <w:i w:val="0"/>
          <w:color w:val="17232B"/>
          <w:sz w:val="22"/>
        </w:rPr>
        <w:t>Test credential rotation, revocation, delayed messages, duplicate delivery, schema mismatch, and compromised capability advertisements.</w:t>
      </w:r>
    </w:p>
    <w:p>
      <w:pPr>
        <w:keepLines/>
        <w:numPr>
          <w:ilvl w:val="0"/>
          <w:numId w:val="10"/>
        </w:numPr>
        <w:spacing w:after="160" w:line="280" w:lineRule="auto"/>
        <w:ind w:left="720" w:hanging="360"/>
      </w:pPr>
      <w:r>
        <w:rPr>
          <w:rFonts w:ascii="Calibri" w:hAnsi="Calibri" w:eastAsia="Calibri"/>
          <w:i w:val="0"/>
          <w:color w:val="17232B"/>
          <w:sz w:val="22"/>
        </w:rPr>
        <w:t>Conduct an independent security review.</w:t>
      </w:r>
    </w:p>
    <w:p>
      <w:pPr>
        <w:keepLines/>
        <w:numPr>
          <w:ilvl w:val="0"/>
          <w:numId w:val="10"/>
        </w:numPr>
        <w:spacing w:after="160" w:line="280" w:lineRule="auto"/>
        <w:ind w:left="720" w:hanging="360"/>
      </w:pPr>
      <w:r>
        <w:rPr>
          <w:rFonts w:ascii="Calibri" w:hAnsi="Calibri" w:eastAsia="Calibri"/>
          <w:i w:val="0"/>
          <w:color w:val="17232B"/>
          <w:sz w:val="22"/>
        </w:rPr>
        <w:t>Publish v0.1 as a draft profile with adapters and conformance results.</w:t>
      </w:r>
    </w:p>
    <w:p>
      <w:pPr>
        <w:keepLines/>
        <w:numPr>
          <w:ilvl w:val="0"/>
          <w:numId w:val="10"/>
        </w:numPr>
        <w:spacing w:after="160" w:line="280" w:lineRule="auto"/>
        <w:ind w:left="720" w:hanging="360"/>
      </w:pPr>
      <w:r>
        <w:rPr>
          <w:rFonts w:ascii="Calibri" w:hAnsi="Calibri" w:eastAsia="Calibri"/>
          <w:i w:val="0"/>
          <w:color w:val="17232B"/>
          <w:sz w:val="22"/>
        </w:rPr>
        <w:t>Decide whether to continue, narrow, upstream, or stop.</w:t>
      </w:r>
    </w:p>
    <w:p>
      <w:pPr>
        <w:pStyle w:val="Heading2"/>
        <w:keepNext/>
        <w:keepLines/>
      </w:pPr>
      <w:r>
        <w:t>Success thresholds</w:t>
      </w:r>
    </w:p>
    <w:tbl>
      <w:tblPr>
        <w:tblW w:type="dxa" w:w="9360"/>
        <w:jc w:val="left"/>
        <w:tblLayout w:type="fixed"/>
        <w:tblLook w:firstColumn="1" w:firstRow="1" w:lastColumn="0" w:lastRow="0" w:noHBand="0" w:noVBand="1" w:val="04A0"/>
        <w:tblInd w:w="120" w:type="dxa"/>
        <w:tblBorders>
          <w:top w:val="single" w:sz="4" w:space="0" w:color="D9E0E4"/>
          <w:left w:val="single" w:sz="4" w:space="0" w:color="D9E0E4"/>
          <w:bottom w:val="single" w:sz="4" w:space="0" w:color="D9E0E4"/>
          <w:right w:val="single" w:sz="4" w:space="0" w:color="D9E0E4"/>
          <w:insideH w:val="single" w:sz="4" w:space="0" w:color="D9E0E4"/>
          <w:insideV w:val="single" w:sz="4" w:space="0" w:color="D9E0E4"/>
        </w:tblBorders>
      </w:tblPr>
      <w:tblGrid>
        <w:gridCol w:w="2880"/>
        <w:gridCol w:w="6480"/>
      </w:tblGrid>
      <w:tr>
        <w:trPr>
          <w:tblHeader w:val="true"/>
          <w:cantSplit/>
        </w:trPr>
        <w:tc>
          <w:tcPr>
            <w:tcW w:type="dxa" w:w="2880"/>
            <w:tcMar>
              <w:top w:w="80" w:type="dxa"/>
              <w:start w:w="120" w:type="dxa"/>
              <w:bottom w:w="80" w:type="dxa"/>
              <w:end w:w="120" w:type="dxa"/>
            </w:tcMar>
            <w:shd w:fill="17232B"/>
          </w:tcPr>
          <w:p>
            <w:pPr>
              <w:spacing w:after="0"/>
            </w:pPr>
            <w:r>
              <w:rPr>
                <w:rFonts w:ascii="Calibri" w:hAnsi="Calibri" w:eastAsia="Calibri"/>
                <w:i w:val="0"/>
                <w:color w:val="FFFFFF"/>
                <w:sz w:val="18"/>
              </w:rPr>
              <w:t>Metric</w:t>
            </w:r>
          </w:p>
        </w:tc>
        <w:tc>
          <w:tcPr>
            <w:tcW w:type="dxa" w:w="6480"/>
            <w:tcMar>
              <w:top w:w="80" w:type="dxa"/>
              <w:start w:w="120" w:type="dxa"/>
              <w:bottom w:w="80" w:type="dxa"/>
              <w:end w:w="120" w:type="dxa"/>
            </w:tcMar>
            <w:shd w:fill="17232B"/>
          </w:tcPr>
          <w:p>
            <w:pPr>
              <w:spacing w:after="0"/>
            </w:pPr>
            <w:r>
              <w:rPr>
                <w:rFonts w:ascii="Calibri" w:hAnsi="Calibri" w:eastAsia="Calibri"/>
                <w:i w:val="0"/>
                <w:color w:val="FFFFFF"/>
                <w:sz w:val="18"/>
              </w:rPr>
              <w:t>v0.1 threshold</w:t>
            </w:r>
          </w:p>
        </w:tc>
      </w:tr>
      <w:tr>
        <w:trPr>
          <w:cantSplit/>
        </w:trPr>
        <w:tc>
          <w:tcPr>
            <w:tcW w:type="dxa" w:w="2880"/>
            <w:shd w:fill="FFFFFF"/>
            <w:vAlign w:val="top"/>
          </w:tcPr>
          <w:p>
            <w:pPr>
              <w:spacing w:after="0"/>
            </w:pPr>
            <w:r>
              <w:rPr>
                <w:rFonts w:ascii="Calibri" w:hAnsi="Calibri" w:eastAsia="Calibri"/>
                <w:i w:val="0"/>
                <w:color w:val="17232B"/>
                <w:sz w:val="17"/>
              </w:rPr>
              <w:t>Privileged actions bound to valid authority</w:t>
            </w:r>
          </w:p>
        </w:tc>
        <w:tc>
          <w:tcPr>
            <w:tcW w:type="dxa" w:w="6480"/>
            <w:shd w:fill="FFFFFF"/>
            <w:vAlign w:val="top"/>
          </w:tcPr>
          <w:p>
            <w:pPr>
              <w:spacing w:after="0"/>
            </w:pPr>
            <w:r>
              <w:rPr>
                <w:rFonts w:ascii="Calibri" w:hAnsi="Calibri" w:eastAsia="Calibri"/>
                <w:i w:val="0"/>
                <w:color w:val="17232B"/>
                <w:sz w:val="17"/>
              </w:rPr>
              <w:t>100%</w:t>
            </w:r>
          </w:p>
        </w:tc>
      </w:tr>
      <w:tr>
        <w:trPr>
          <w:cantSplit/>
        </w:trPr>
        <w:tc>
          <w:tcPr>
            <w:tcW w:type="dxa" w:w="2880"/>
            <w:shd w:fill="F8FAFB"/>
            <w:vAlign w:val="top"/>
          </w:tcPr>
          <w:p>
            <w:pPr>
              <w:spacing w:after="0"/>
            </w:pPr>
            <w:r>
              <w:rPr>
                <w:rFonts w:ascii="Calibri" w:hAnsi="Calibri" w:eastAsia="Calibri"/>
                <w:i w:val="0"/>
                <w:color w:val="17232B"/>
                <w:sz w:val="17"/>
              </w:rPr>
              <w:t>Unauthorized scope expansion in conformance tests</w:t>
            </w:r>
          </w:p>
        </w:tc>
        <w:tc>
          <w:tcPr>
            <w:tcW w:type="dxa" w:w="6480"/>
            <w:shd w:fill="F8FAFB"/>
            <w:vAlign w:val="top"/>
          </w:tcPr>
          <w:p>
            <w:pPr>
              <w:spacing w:after="0"/>
            </w:pPr>
            <w:r>
              <w:rPr>
                <w:rFonts w:ascii="Calibri" w:hAnsi="Calibri" w:eastAsia="Calibri"/>
                <w:i w:val="0"/>
                <w:color w:val="17232B"/>
                <w:sz w:val="17"/>
              </w:rPr>
              <w:t>0</w:t>
            </w:r>
          </w:p>
        </w:tc>
      </w:tr>
      <w:tr>
        <w:trPr>
          <w:cantSplit/>
        </w:trPr>
        <w:tc>
          <w:tcPr>
            <w:tcW w:type="dxa" w:w="2880"/>
            <w:shd w:fill="FFFFFF"/>
            <w:vAlign w:val="top"/>
          </w:tcPr>
          <w:p>
            <w:pPr>
              <w:spacing w:after="0"/>
            </w:pPr>
            <w:r>
              <w:rPr>
                <w:rFonts w:ascii="Calibri" w:hAnsi="Calibri" w:eastAsia="Calibri"/>
                <w:i w:val="0"/>
                <w:color w:val="17232B"/>
                <w:sz w:val="17"/>
              </w:rPr>
              <w:t>Required receipts present and schema-valid</w:t>
            </w:r>
          </w:p>
        </w:tc>
        <w:tc>
          <w:tcPr>
            <w:tcW w:type="dxa" w:w="6480"/>
            <w:shd w:fill="FFFFFF"/>
            <w:vAlign w:val="top"/>
          </w:tcPr>
          <w:p>
            <w:pPr>
              <w:spacing w:after="0"/>
            </w:pPr>
            <w:r>
              <w:rPr>
                <w:rFonts w:ascii="Calibri" w:hAnsi="Calibri" w:eastAsia="Calibri"/>
                <w:i w:val="0"/>
                <w:color w:val="17232B"/>
                <w:sz w:val="17"/>
              </w:rPr>
              <w:t>≥ 99%</w:t>
            </w:r>
          </w:p>
        </w:tc>
      </w:tr>
      <w:tr>
        <w:trPr>
          <w:cantSplit/>
        </w:trPr>
        <w:tc>
          <w:tcPr>
            <w:tcW w:type="dxa" w:w="2880"/>
            <w:shd w:fill="F8FAFB"/>
            <w:vAlign w:val="top"/>
          </w:tcPr>
          <w:p>
            <w:pPr>
              <w:spacing w:after="0"/>
            </w:pPr>
            <w:r>
              <w:rPr>
                <w:rFonts w:ascii="Calibri" w:hAnsi="Calibri" w:eastAsia="Calibri"/>
                <w:i w:val="0"/>
                <w:color w:val="17232B"/>
                <w:sz w:val="17"/>
              </w:rPr>
              <w:t>Pilot history reconstructable from receipts</w:t>
            </w:r>
          </w:p>
        </w:tc>
        <w:tc>
          <w:tcPr>
            <w:tcW w:type="dxa" w:w="6480"/>
            <w:shd w:fill="F8FAFB"/>
            <w:vAlign w:val="top"/>
          </w:tcPr>
          <w:p>
            <w:pPr>
              <w:spacing w:after="0"/>
            </w:pPr>
            <w:r>
              <w:rPr>
                <w:rFonts w:ascii="Calibri" w:hAnsi="Calibri" w:eastAsia="Calibri"/>
                <w:i w:val="0"/>
                <w:color w:val="17232B"/>
                <w:sz w:val="17"/>
              </w:rPr>
              <w:t>≥ 95%</w:t>
            </w:r>
          </w:p>
        </w:tc>
      </w:tr>
      <w:tr>
        <w:trPr>
          <w:cantSplit/>
        </w:trPr>
        <w:tc>
          <w:tcPr>
            <w:tcW w:type="dxa" w:w="2880"/>
            <w:shd w:fill="FFFFFF"/>
            <w:vAlign w:val="top"/>
          </w:tcPr>
          <w:p>
            <w:pPr>
              <w:spacing w:after="0"/>
            </w:pPr>
            <w:r>
              <w:rPr>
                <w:rFonts w:ascii="Calibri" w:hAnsi="Calibri" w:eastAsia="Calibri"/>
                <w:i w:val="0"/>
                <w:color w:val="17232B"/>
                <w:sz w:val="17"/>
              </w:rPr>
              <w:t>Cross-runtime task completion without custom business logic in adapters</w:t>
            </w:r>
          </w:p>
        </w:tc>
        <w:tc>
          <w:tcPr>
            <w:tcW w:type="dxa" w:w="6480"/>
            <w:shd w:fill="FFFFFF"/>
            <w:vAlign w:val="top"/>
          </w:tcPr>
          <w:p>
            <w:pPr>
              <w:spacing w:after="0"/>
            </w:pPr>
            <w:r>
              <w:rPr>
                <w:rFonts w:ascii="Calibri" w:hAnsi="Calibri" w:eastAsia="Calibri"/>
                <w:i w:val="0"/>
                <w:color w:val="17232B"/>
                <w:sz w:val="17"/>
              </w:rPr>
              <w:t>≥ 90%</w:t>
            </w:r>
          </w:p>
        </w:tc>
      </w:tr>
      <w:tr>
        <w:trPr>
          <w:cantSplit/>
        </w:trPr>
        <w:tc>
          <w:tcPr>
            <w:tcW w:type="dxa" w:w="2880"/>
            <w:shd w:fill="F8FAFB"/>
            <w:vAlign w:val="top"/>
          </w:tcPr>
          <w:p>
            <w:pPr>
              <w:spacing w:after="0"/>
            </w:pPr>
            <w:r>
              <w:rPr>
                <w:rFonts w:ascii="Calibri" w:hAnsi="Calibri" w:eastAsia="Calibri"/>
                <w:i w:val="0"/>
                <w:color w:val="17232B"/>
                <w:sz w:val="17"/>
              </w:rPr>
              <w:t>p95 protocol overhead versus ungoverned baseline</w:t>
            </w:r>
          </w:p>
        </w:tc>
        <w:tc>
          <w:tcPr>
            <w:tcW w:type="dxa" w:w="6480"/>
            <w:shd w:fill="F8FAFB"/>
            <w:vAlign w:val="top"/>
          </w:tcPr>
          <w:p>
            <w:pPr>
              <w:spacing w:after="0"/>
            </w:pPr>
            <w:r>
              <w:rPr>
                <w:rFonts w:ascii="Calibri" w:hAnsi="Calibri" w:eastAsia="Calibri"/>
                <w:i w:val="0"/>
                <w:color w:val="17232B"/>
                <w:sz w:val="17"/>
              </w:rPr>
              <w:t>&lt; 10%</w:t>
            </w:r>
          </w:p>
        </w:tc>
      </w:tr>
      <w:tr>
        <w:trPr>
          <w:cantSplit/>
        </w:trPr>
        <w:tc>
          <w:tcPr>
            <w:tcW w:type="dxa" w:w="2880"/>
            <w:shd w:fill="FFFFFF"/>
            <w:vAlign w:val="top"/>
          </w:tcPr>
          <w:p>
            <w:pPr>
              <w:spacing w:after="0"/>
            </w:pPr>
            <w:r>
              <w:rPr>
                <w:rFonts w:ascii="Calibri" w:hAnsi="Calibri" w:eastAsia="Calibri"/>
                <w:i w:val="0"/>
                <w:color w:val="17232B"/>
                <w:sz w:val="17"/>
              </w:rPr>
              <w:t>Revocation enforced within declared SLO</w:t>
            </w:r>
          </w:p>
        </w:tc>
        <w:tc>
          <w:tcPr>
            <w:tcW w:type="dxa" w:w="6480"/>
            <w:shd w:fill="FFFFFF"/>
            <w:vAlign w:val="top"/>
          </w:tcPr>
          <w:p>
            <w:pPr>
              <w:spacing w:after="0"/>
            </w:pPr>
            <w:r>
              <w:rPr>
                <w:rFonts w:ascii="Calibri" w:hAnsi="Calibri" w:eastAsia="Calibri"/>
                <w:i w:val="0"/>
                <w:color w:val="17232B"/>
                <w:sz w:val="17"/>
              </w:rPr>
              <w:t>100% of test cases</w:t>
            </w:r>
          </w:p>
        </w:tc>
      </w:tr>
      <w:tr>
        <w:trPr>
          <w:cantSplit/>
        </w:trPr>
        <w:tc>
          <w:tcPr>
            <w:tcW w:type="dxa" w:w="2880"/>
            <w:shd w:fill="F8FAFB"/>
            <w:vAlign w:val="top"/>
          </w:tcPr>
          <w:p>
            <w:pPr>
              <w:spacing w:after="0"/>
            </w:pPr>
            <w:r>
              <w:rPr>
                <w:rFonts w:ascii="Calibri" w:hAnsi="Calibri" w:eastAsia="Calibri"/>
                <w:i w:val="0"/>
                <w:color w:val="17232B"/>
                <w:sz w:val="17"/>
              </w:rPr>
              <w:t>Developer time to add AP-Core to an existing A2A/MCP agent</w:t>
            </w:r>
          </w:p>
        </w:tc>
        <w:tc>
          <w:tcPr>
            <w:tcW w:type="dxa" w:w="6480"/>
            <w:shd w:fill="F8FAFB"/>
            <w:vAlign w:val="top"/>
          </w:tcPr>
          <w:p>
            <w:pPr>
              <w:spacing w:after="0"/>
            </w:pPr>
            <w:r>
              <w:rPr>
                <w:rFonts w:ascii="Calibri" w:hAnsi="Calibri" w:eastAsia="Calibri"/>
                <w:i w:val="0"/>
                <w:color w:val="17232B"/>
                <w:sz w:val="17"/>
              </w:rPr>
              <w:t>≤ 2 working days</w:t>
            </w:r>
          </w:p>
        </w:tc>
      </w:tr>
    </w:tbl>
    <w:p>
      <w:pPr>
        <w:pStyle w:val="TableCitation"/>
      </w:pPr>
      <w:r>
        <w:t>Source: synthesis of cited specifications; assessments are the author’s analysis.</w:t>
      </w:r>
    </w:p>
    <w:p>
      <w:pPr>
        <w:pStyle w:val="Heading2"/>
        <w:keepNext/>
        <w:keepLines/>
      </w:pPr>
      <w:r>
        <w:t>Kill or pivot criteria</w:t>
      </w:r>
    </w:p>
    <w:p>
      <w:r>
        <w:rPr>
          <w:rFonts w:ascii="Calibri" w:hAnsi="Calibri" w:eastAsia="Calibri"/>
          <w:i w:val="0"/>
          <w:color w:val="17232B"/>
          <w:sz w:val="22"/>
        </w:rPr>
        <w:t>Stop or substantially narrow the project if:</w:t>
      </w:r>
    </w:p>
    <w:p>
      <w:pPr>
        <w:keepLines/>
        <w:numPr>
          <w:ilvl w:val="0"/>
          <w:numId w:val="10"/>
        </w:numPr>
        <w:spacing w:after="160" w:line="280" w:lineRule="auto"/>
        <w:ind w:left="720" w:hanging="360"/>
      </w:pPr>
      <w:r>
        <w:rPr>
          <w:rFonts w:ascii="Calibri" w:hAnsi="Calibri" w:eastAsia="Calibri"/>
          <w:i w:val="0"/>
          <w:color w:val="17232B"/>
          <w:sz w:val="22"/>
        </w:rPr>
        <w:t>the profile duplicates a released ecosystem standard with comparable semantics;</w:t>
      </w:r>
    </w:p>
    <w:p>
      <w:pPr>
        <w:keepLines/>
        <w:numPr>
          <w:ilvl w:val="0"/>
          <w:numId w:val="10"/>
        </w:numPr>
        <w:spacing w:after="160" w:line="280" w:lineRule="auto"/>
        <w:ind w:left="720" w:hanging="360"/>
      </w:pPr>
      <w:r>
        <w:rPr>
          <w:rFonts w:ascii="Calibri" w:hAnsi="Calibri" w:eastAsia="Calibri"/>
          <w:i w:val="0"/>
          <w:color w:val="17232B"/>
          <w:sz w:val="22"/>
        </w:rPr>
        <w:t>two independent implementations cannot interoperate without vendor-specific interpretation;</w:t>
      </w:r>
    </w:p>
    <w:p>
      <w:pPr>
        <w:keepLines/>
        <w:numPr>
          <w:ilvl w:val="0"/>
          <w:numId w:val="10"/>
        </w:numPr>
        <w:spacing w:after="160" w:line="280" w:lineRule="auto"/>
        <w:ind w:left="720" w:hanging="360"/>
      </w:pPr>
      <w:r>
        <w:rPr>
          <w:rFonts w:ascii="Calibri" w:hAnsi="Calibri" w:eastAsia="Calibri"/>
          <w:i w:val="0"/>
          <w:color w:val="17232B"/>
          <w:sz w:val="22"/>
        </w:rPr>
        <w:t>authority attenuation cannot be checked mechanically;</w:t>
      </w:r>
    </w:p>
    <w:p>
      <w:pPr>
        <w:keepLines/>
        <w:numPr>
          <w:ilvl w:val="0"/>
          <w:numId w:val="10"/>
        </w:numPr>
        <w:spacing w:after="160" w:line="280" w:lineRule="auto"/>
        <w:ind w:left="720" w:hanging="360"/>
      </w:pPr>
      <w:r>
        <w:rPr>
          <w:rFonts w:ascii="Calibri" w:hAnsi="Calibri" w:eastAsia="Calibri"/>
          <w:i w:val="0"/>
          <w:color w:val="17232B"/>
          <w:sz w:val="22"/>
        </w:rPr>
        <w:t>receipts require storing prompts or private reasoning to be useful;</w:t>
      </w:r>
    </w:p>
    <w:p>
      <w:pPr>
        <w:keepLines/>
        <w:numPr>
          <w:ilvl w:val="0"/>
          <w:numId w:val="10"/>
        </w:numPr>
        <w:spacing w:after="160" w:line="280" w:lineRule="auto"/>
        <w:ind w:left="720" w:hanging="360"/>
      </w:pPr>
      <w:r>
        <w:rPr>
          <w:rFonts w:ascii="Calibri" w:hAnsi="Calibri" w:eastAsia="Calibri"/>
          <w:i w:val="0"/>
          <w:color w:val="17232B"/>
          <w:sz w:val="22"/>
        </w:rPr>
        <w:t>overhead exceeds 20% for ordinary tasks after optimization;</w:t>
      </w:r>
    </w:p>
    <w:p>
      <w:pPr>
        <w:keepLines/>
        <w:numPr>
          <w:ilvl w:val="0"/>
          <w:numId w:val="10"/>
        </w:numPr>
        <w:spacing w:after="160" w:line="280" w:lineRule="auto"/>
        <w:ind w:left="720" w:hanging="360"/>
      </w:pPr>
      <w:r>
        <w:rPr>
          <w:rFonts w:ascii="Calibri" w:hAnsi="Calibri" w:eastAsia="Calibri"/>
          <w:i w:val="0"/>
          <w:color w:val="17232B"/>
          <w:sz w:val="22"/>
        </w:rPr>
        <w:t>developers bypass the profile because simple workflows become materially harder; or</w:t>
      </w:r>
    </w:p>
    <w:p>
      <w:pPr>
        <w:keepLines/>
        <w:numPr>
          <w:ilvl w:val="0"/>
          <w:numId w:val="10"/>
        </w:numPr>
        <w:spacing w:after="160" w:line="280" w:lineRule="auto"/>
        <w:ind w:left="720" w:hanging="360"/>
      </w:pPr>
      <w:r>
        <w:rPr>
          <w:rFonts w:ascii="Calibri" w:hAnsi="Calibri" w:eastAsia="Calibri"/>
          <w:i w:val="0"/>
          <w:color w:val="17232B"/>
          <w:sz w:val="22"/>
        </w:rPr>
        <w:t>governance cannot prevent a single implementation from defining de facto semantics.</w:t>
      </w:r>
    </w:p>
    <w:p>
      <w:pPr>
        <w:pStyle w:val="Heading1"/>
        <w:keepNext/>
        <w:keepLines/>
      </w:pPr>
      <w:r>
        <w:t>Open design questions</w:t>
      </w:r>
    </w:p>
    <w:p>
      <w:pPr>
        <w:keepLines/>
        <w:numPr>
          <w:ilvl w:val="0"/>
          <w:numId w:val="15"/>
        </w:numPr>
        <w:spacing w:after="160" w:line="280" w:lineRule="auto"/>
        <w:ind w:left="720" w:hanging="360"/>
      </w:pPr>
      <w:r>
        <w:rPr>
          <w:rFonts w:ascii="Calibri" w:hAnsi="Calibri" w:eastAsia="Calibri"/>
          <w:i w:val="0"/>
          <w:color w:val="17232B"/>
          <w:sz w:val="22"/>
        </w:rPr>
        <w:t>What is the smallest Mission Contract that still enables meaningful verification?</w:t>
      </w:r>
    </w:p>
    <w:p>
      <w:pPr>
        <w:keepLines/>
        <w:numPr>
          <w:ilvl w:val="0"/>
          <w:numId w:val="15"/>
        </w:numPr>
        <w:spacing w:after="160" w:line="280" w:lineRule="auto"/>
        <w:ind w:left="720" w:hanging="360"/>
      </w:pPr>
      <w:r>
        <w:rPr>
          <w:rFonts w:ascii="Calibri" w:hAnsi="Calibri" w:eastAsia="Calibri"/>
          <w:i w:val="0"/>
          <w:color w:val="17232B"/>
          <w:sz w:val="22"/>
        </w:rPr>
        <w:t>Which authority dimensions have universal subset semantics, and which belong in domain packs?</w:t>
      </w:r>
    </w:p>
    <w:p>
      <w:pPr>
        <w:keepLines/>
        <w:numPr>
          <w:ilvl w:val="0"/>
          <w:numId w:val="15"/>
        </w:numPr>
        <w:spacing w:after="160" w:line="280" w:lineRule="auto"/>
        <w:ind w:left="720" w:hanging="360"/>
      </w:pPr>
      <w:r>
        <w:rPr>
          <w:rFonts w:ascii="Calibri" w:hAnsi="Calibri" w:eastAsia="Calibri"/>
          <w:i w:val="0"/>
          <w:color w:val="17232B"/>
          <w:sz w:val="22"/>
        </w:rPr>
        <w:t xml:space="preserve">Is </w:t>
      </w:r>
      <w:r>
        <w:rPr>
          <w:rFonts w:ascii="Consolas" w:hAnsi="Consolas" w:eastAsia="Consolas"/>
          <w:b/>
          <w:color w:val="007783"/>
          <w:sz w:val="21"/>
          <w:shd w:fill="E9F7F8"/>
        </w:rPr>
        <w:t>REVOKED</w:t>
      </w:r>
      <w:r>
        <w:rPr>
          <w:rFonts w:ascii="Calibri" w:hAnsi="Calibri" w:eastAsia="Calibri"/>
          <w:i w:val="0"/>
          <w:color w:val="17232B"/>
          <w:sz w:val="22"/>
        </w:rPr>
        <w:t xml:space="preserve"> a task state, an authority state, or both with explicit linkage?</w:t>
      </w:r>
    </w:p>
    <w:p>
      <w:pPr>
        <w:keepLines/>
        <w:numPr>
          <w:ilvl w:val="0"/>
          <w:numId w:val="15"/>
        </w:numPr>
        <w:spacing w:after="160" w:line="280" w:lineRule="auto"/>
        <w:ind w:left="720" w:hanging="360"/>
      </w:pPr>
      <w:r>
        <w:rPr>
          <w:rFonts w:ascii="Calibri" w:hAnsi="Calibri" w:eastAsia="Calibri"/>
          <w:i w:val="0"/>
          <w:color w:val="17232B"/>
          <w:sz w:val="22"/>
        </w:rPr>
        <w:t>How are partially satisfied missions represented without encouraging ambiguous “mostly complete” claims?</w:t>
      </w:r>
    </w:p>
    <w:p>
      <w:pPr>
        <w:keepLines/>
        <w:numPr>
          <w:ilvl w:val="0"/>
          <w:numId w:val="15"/>
        </w:numPr>
        <w:spacing w:after="160" w:line="280" w:lineRule="auto"/>
        <w:ind w:left="720" w:hanging="360"/>
      </w:pPr>
      <w:r>
        <w:rPr>
          <w:rFonts w:ascii="Calibri" w:hAnsi="Calibri" w:eastAsia="Calibri"/>
          <w:i w:val="0"/>
          <w:color w:val="17232B"/>
          <w:sz w:val="22"/>
        </w:rPr>
        <w:t>What is the default retention policy for receipts that contain sensitive metadata?</w:t>
      </w:r>
    </w:p>
    <w:p>
      <w:pPr>
        <w:keepLines/>
        <w:numPr>
          <w:ilvl w:val="0"/>
          <w:numId w:val="15"/>
        </w:numPr>
        <w:spacing w:after="160" w:line="280" w:lineRule="auto"/>
        <w:ind w:left="720" w:hanging="360"/>
      </w:pPr>
      <w:r>
        <w:rPr>
          <w:rFonts w:ascii="Calibri" w:hAnsi="Calibri" w:eastAsia="Calibri"/>
          <w:i w:val="0"/>
          <w:color w:val="17232B"/>
          <w:sz w:val="22"/>
        </w:rPr>
        <w:t>Which receipt types require signatures inside one trust domain versus only across domains?</w:t>
      </w:r>
    </w:p>
    <w:p>
      <w:pPr>
        <w:keepLines/>
        <w:numPr>
          <w:ilvl w:val="0"/>
          <w:numId w:val="15"/>
        </w:numPr>
        <w:spacing w:after="160" w:line="280" w:lineRule="auto"/>
        <w:ind w:left="720" w:hanging="360"/>
      </w:pPr>
      <w:r>
        <w:rPr>
          <w:rFonts w:ascii="Calibri" w:hAnsi="Calibri" w:eastAsia="Calibri"/>
          <w:i w:val="0"/>
          <w:color w:val="17232B"/>
          <w:sz w:val="22"/>
        </w:rPr>
        <w:t>How are confidence and uncertainty expressed without implying that numeric scores are calibrated?</w:t>
      </w:r>
    </w:p>
    <w:p>
      <w:pPr>
        <w:keepLines/>
        <w:numPr>
          <w:ilvl w:val="0"/>
          <w:numId w:val="15"/>
        </w:numPr>
        <w:spacing w:after="160" w:line="280" w:lineRule="auto"/>
        <w:ind w:left="720" w:hanging="360"/>
      </w:pPr>
      <w:r>
        <w:rPr>
          <w:rFonts w:ascii="Calibri" w:hAnsi="Calibri" w:eastAsia="Calibri"/>
          <w:i w:val="0"/>
          <w:color w:val="17232B"/>
          <w:sz w:val="22"/>
        </w:rPr>
        <w:t>Can OASF capability terms be adopted without imposing its directory architecture?</w:t>
      </w:r>
    </w:p>
    <w:p>
      <w:pPr>
        <w:keepLines/>
        <w:numPr>
          <w:ilvl w:val="0"/>
          <w:numId w:val="15"/>
        </w:numPr>
        <w:spacing w:after="160" w:line="280" w:lineRule="auto"/>
        <w:ind w:left="720" w:hanging="360"/>
      </w:pPr>
      <w:r>
        <w:rPr>
          <w:rFonts w:ascii="Calibri" w:hAnsi="Calibri" w:eastAsia="Calibri"/>
          <w:i w:val="0"/>
          <w:color w:val="17232B"/>
          <w:sz w:val="22"/>
        </w:rPr>
        <w:t>Which CELL//AP components should be proposed as A2A extensions, MCP extensions, OpenTelemetry conventions, or independent schemas?</w:t>
      </w:r>
    </w:p>
    <w:p>
      <w:pPr>
        <w:keepLines/>
        <w:numPr>
          <w:ilvl w:val="0"/>
          <w:numId w:val="15"/>
        </w:numPr>
        <w:spacing w:after="160" w:line="280" w:lineRule="auto"/>
        <w:ind w:left="720" w:hanging="360"/>
      </w:pPr>
      <w:r>
        <w:rPr>
          <w:rFonts w:ascii="Calibri" w:hAnsi="Calibri" w:eastAsia="Calibri"/>
          <w:i w:val="0"/>
          <w:color w:val="17232B"/>
          <w:sz w:val="22"/>
        </w:rPr>
        <w:t>Who is accountable when a validly authorized agent produces a substantively wrong outcome?</w:t>
      </w:r>
    </w:p>
    <w:p>
      <w:pPr>
        <w:pStyle w:val="Heading1"/>
        <w:keepNext/>
        <w:keepLines/>
      </w:pPr>
      <w:r>
        <w:t>Bottom line</w:t>
      </w:r>
    </w:p>
    <w:p>
      <w:r>
        <w:rPr>
          <w:rFonts w:ascii="Calibri" w:hAnsi="Calibri" w:eastAsia="Calibri"/>
          <w:i w:val="0"/>
          <w:color w:val="17232B"/>
          <w:sz w:val="22"/>
        </w:rPr>
        <w:t xml:space="preserve">CELL OS should pursue a standardized agentic protocol—but define the problem precisely. The ecosystem does not need another way for agents to send JSON or call tools. It needs a portable way to bind </w:t>
      </w:r>
      <w:r>
        <w:rPr>
          <w:rFonts w:ascii="Calibri" w:hAnsi="Calibri" w:eastAsia="Calibri"/>
          <w:b/>
          <w:i w:val="0"/>
          <w:color w:val="17232B"/>
          <w:sz w:val="22"/>
        </w:rPr>
        <w:t>intent, permission, and proof</w:t>
      </w:r>
      <w:r>
        <w:rPr>
          <w:rFonts w:ascii="Calibri" w:hAnsi="Calibri" w:eastAsia="Calibri"/>
          <w:i w:val="0"/>
          <w:color w:val="17232B"/>
          <w:sz w:val="22"/>
        </w:rPr>
        <w:t xml:space="preserve"> across agents, runtimes, Cells, and organizations.</w:t>
      </w:r>
    </w:p>
    <w:p>
      <w:r>
        <w:rPr>
          <w:rFonts w:ascii="Consolas" w:hAnsi="Consolas" w:eastAsia="Consolas"/>
          <w:b/>
          <w:color w:val="007783"/>
          <w:sz w:val="21"/>
          <w:shd w:fill="E9F7F8"/>
        </w:rPr>
        <w:t>CELL//AP = existing interoperability standards + a minimal MAP semantic spine + conformance tests.</w:t>
      </w:r>
    </w:p>
    <w:p>
      <w:r>
        <w:rPr>
          <w:rFonts w:ascii="Calibri" w:hAnsi="Calibri" w:eastAsia="Calibri"/>
          <w:i w:val="0"/>
          <w:color w:val="17232B"/>
          <w:sz w:val="22"/>
        </w:rPr>
        <w:t>That approach is differentiated enough to matter, conservative enough to implement, and aligned with the direction of NIST, IETF, A2A, MCP, observability, provenance, and runtime-control work. The disciplined objective for v0.1 is not “become the standard.” It is to prove that missions can cross boundaries without losing authority, evidence, or accountability.</w:t>
      </w:r>
    </w:p>
    <w:p>
      <w:pPr>
        <w:pStyle w:val="Heading1"/>
        <w:keepNext/>
        <w:keepLines/>
      </w:pPr>
      <w:r>
        <w:t>Research method and limitations</w:t>
      </w:r>
    </w:p>
    <w:p>
      <w:r>
        <w:rPr>
          <w:rFonts w:ascii="Calibri" w:hAnsi="Calibri" w:eastAsia="Calibri"/>
          <w:i w:val="0"/>
          <w:color w:val="17232B"/>
          <w:sz w:val="22"/>
        </w:rPr>
        <w:t>This report used an evidence-gap method: define the required protocol planes, survey primary standards and official project sources, identify overlaps and explicit exclusions, then synthesize only the missing semantics. Sources were prioritized in this order: released specifications and RFCs; official standards-body and government material; official project documentation; official release announcements. Vendor commentary was used only for the vendor’s own protocol or release.</w:t>
      </w:r>
    </w:p>
    <w:p>
      <w:r>
        <w:rPr>
          <w:rFonts w:ascii="Calibri" w:hAnsi="Calibri" w:eastAsia="Calibri"/>
          <w:i w:val="0"/>
          <w:color w:val="17232B"/>
          <w:sz w:val="22"/>
        </w:rPr>
        <w:t>Important limitations:</w:t>
      </w:r>
    </w:p>
    <w:p>
      <w:pPr>
        <w:keepLines/>
        <w:numPr>
          <w:ilvl w:val="0"/>
          <w:numId w:val="10"/>
        </w:numPr>
        <w:spacing w:after="160" w:line="280" w:lineRule="auto"/>
        <w:ind w:left="720" w:hanging="360"/>
      </w:pPr>
      <w:r>
        <w:rPr>
          <w:rFonts w:ascii="Calibri" w:hAnsi="Calibri" w:eastAsia="Calibri"/>
          <w:i w:val="0"/>
          <w:color w:val="17232B"/>
          <w:sz w:val="22"/>
        </w:rPr>
        <w:t>Agent standards are changing unusually quickly. This report is a point-in-time assessment as of 4 September 2026.</w:t>
      </w:r>
    </w:p>
    <w:p>
      <w:pPr>
        <w:keepLines/>
        <w:numPr>
          <w:ilvl w:val="0"/>
          <w:numId w:val="10"/>
        </w:numPr>
        <w:spacing w:after="160" w:line="280" w:lineRule="auto"/>
        <w:ind w:left="720" w:hanging="360"/>
      </w:pPr>
      <w:r>
        <w:rPr>
          <w:rFonts w:ascii="Calibri" w:hAnsi="Calibri" w:eastAsia="Calibri"/>
          <w:i w:val="0"/>
          <w:color w:val="17232B"/>
          <w:sz w:val="22"/>
        </w:rPr>
        <w:t>IETF Internet-Drafts cited here are works in progress and may change or expire; they are evidence of direction, not settled standards.</w:t>
      </w:r>
    </w:p>
    <w:p>
      <w:pPr>
        <w:keepLines/>
        <w:numPr>
          <w:ilvl w:val="0"/>
          <w:numId w:val="10"/>
        </w:numPr>
        <w:spacing w:after="160" w:line="280" w:lineRule="auto"/>
        <w:ind w:left="720" w:hanging="360"/>
      </w:pPr>
      <w:r>
        <w:rPr>
          <w:rFonts w:ascii="Calibri" w:hAnsi="Calibri" w:eastAsia="Calibri"/>
          <w:i w:val="0"/>
          <w:color w:val="17232B"/>
          <w:sz w:val="22"/>
        </w:rPr>
        <w:t>The Agent Control Standard was in public preview at the cutoff and should not be treated as a mature dependency.</w:t>
      </w:r>
    </w:p>
    <w:p>
      <w:pPr>
        <w:keepLines/>
        <w:numPr>
          <w:ilvl w:val="0"/>
          <w:numId w:val="10"/>
        </w:numPr>
        <w:spacing w:after="160" w:line="280" w:lineRule="auto"/>
        <w:ind w:left="720" w:hanging="360"/>
      </w:pPr>
      <w:r>
        <w:rPr>
          <w:rFonts w:ascii="Calibri" w:hAnsi="Calibri" w:eastAsia="Calibri"/>
          <w:i w:val="0"/>
          <w:color w:val="17232B"/>
          <w:sz w:val="22"/>
        </w:rPr>
        <w:t>No performance claims are empirical; thresholds are proposed acceptance criteria for the pilot.</w:t>
      </w:r>
    </w:p>
    <w:p>
      <w:pPr>
        <w:keepLines/>
        <w:numPr>
          <w:ilvl w:val="0"/>
          <w:numId w:val="10"/>
        </w:numPr>
        <w:spacing w:after="160" w:line="280" w:lineRule="auto"/>
        <w:ind w:left="720" w:hanging="360"/>
      </w:pPr>
      <w:r>
        <w:rPr>
          <w:rFonts w:ascii="Calibri" w:hAnsi="Calibri" w:eastAsia="Calibri"/>
          <w:i w:val="0"/>
          <w:color w:val="17232B"/>
          <w:sz w:val="22"/>
        </w:rPr>
        <w:t>This is technical and strategic analysis, not legal, regulatory, clinical, or compliance advice.</w:t>
      </w:r>
    </w:p>
    <w:p>
      <w:r>
        <w:br w:type="page"/>
      </w:r>
    </w:p>
    <w:p>
      <w:pPr>
        <w:pStyle w:val="Heading1"/>
        <w:keepNext/>
        <w:keepLines/>
      </w:pPr>
      <w:r>
        <w:t>References</w:t>
      </w:r>
    </w:p>
    <w:p>
      <w:pPr>
        <w:keepLines/>
        <w:numPr>
          <w:ilvl w:val="0"/>
          <w:numId w:val="16"/>
        </w:numPr>
        <w:spacing w:after="120" w:line="280" w:lineRule="auto"/>
        <w:ind w:left="720" w:hanging="360"/>
      </w:pPr>
      <w:r>
        <w:rPr>
          <w:rFonts w:ascii="Calibri" w:hAnsi="Calibri" w:eastAsia="Calibri"/>
          <w:i w:val="0"/>
          <w:color w:val="17232B"/>
          <w:sz w:val="20"/>
        </w:rPr>
        <w:t xml:space="preserve">Model Context Protocol, </w:t>
      </w:r>
      <w:r>
        <w:rPr>
          <w:rFonts w:ascii="Calibri" w:hAnsi="Calibri" w:eastAsia="Calibri"/>
          <w:b/>
          <w:i w:val="0"/>
          <w:color w:val="17232B"/>
          <w:sz w:val="20"/>
        </w:rPr>
        <w:t>Specification 2026-07-28</w:t>
      </w:r>
      <w:r>
        <w:rPr>
          <w:rFonts w:ascii="Calibri" w:hAnsi="Calibri" w:eastAsia="Calibri"/>
          <w:i w:val="0"/>
          <w:color w:val="17232B"/>
          <w:sz w:val="20"/>
        </w:rPr>
        <w:t xml:space="preserve">. </w:t>
      </w:r>
      <w:hyperlink r:id="rId13">
        <w:r>
          <w:rPr>
            <w:color w:val="007783"/>
            <w:u w:val="single"/>
            <w:rFonts w:ascii="Calibri" w:hAnsi="Calibri"/>
            <w:sz w:val="20"/>
          </w:rPr>
          <w:t>https://modelcontextprotocol.io/specification/2026-07-28</w:t>
        </w:r>
      </w:hyperlink>
    </w:p>
    <w:p>
      <w:pPr>
        <w:keepLines/>
        <w:numPr>
          <w:ilvl w:val="0"/>
          <w:numId w:val="16"/>
        </w:numPr>
        <w:spacing w:after="120" w:line="280" w:lineRule="auto"/>
        <w:ind w:left="720" w:hanging="360"/>
      </w:pPr>
      <w:r>
        <w:rPr>
          <w:rFonts w:ascii="Calibri" w:hAnsi="Calibri" w:eastAsia="Calibri"/>
          <w:i w:val="0"/>
          <w:color w:val="17232B"/>
          <w:sz w:val="20"/>
        </w:rPr>
        <w:t xml:space="preserve">Model Context Protocol, </w:t>
      </w:r>
      <w:r>
        <w:rPr>
          <w:rFonts w:ascii="Calibri" w:hAnsi="Calibri" w:eastAsia="Calibri"/>
          <w:b/>
          <w:i w:val="0"/>
          <w:color w:val="17232B"/>
          <w:sz w:val="20"/>
        </w:rPr>
        <w:t>Tools</w:t>
      </w:r>
      <w:r>
        <w:rPr>
          <w:rFonts w:ascii="Calibri" w:hAnsi="Calibri" w:eastAsia="Calibri"/>
          <w:i w:val="0"/>
          <w:color w:val="17232B"/>
          <w:sz w:val="20"/>
        </w:rPr>
        <w:t xml:space="preserve">. </w:t>
      </w:r>
      <w:hyperlink r:id="rId14">
        <w:r>
          <w:rPr>
            <w:color w:val="007783"/>
            <w:u w:val="single"/>
            <w:rFonts w:ascii="Calibri" w:hAnsi="Calibri"/>
            <w:sz w:val="20"/>
          </w:rPr>
          <w:t>https://modelcontextprotocol.io/specification/2026-07-28/server/tools</w:t>
        </w:r>
      </w:hyperlink>
    </w:p>
    <w:p>
      <w:pPr>
        <w:keepLines/>
        <w:numPr>
          <w:ilvl w:val="0"/>
          <w:numId w:val="16"/>
        </w:numPr>
        <w:spacing w:after="120" w:line="280" w:lineRule="auto"/>
        <w:ind w:left="720" w:hanging="360"/>
      </w:pPr>
      <w:r>
        <w:rPr>
          <w:rFonts w:ascii="Calibri" w:hAnsi="Calibri" w:eastAsia="Calibri"/>
          <w:i w:val="0"/>
          <w:color w:val="17232B"/>
          <w:sz w:val="20"/>
        </w:rPr>
        <w:t xml:space="preserve">A2A Protocol, </w:t>
      </w:r>
      <w:r>
        <w:rPr>
          <w:rFonts w:ascii="Calibri" w:hAnsi="Calibri" w:eastAsia="Calibri"/>
          <w:b/>
          <w:i w:val="0"/>
          <w:color w:val="17232B"/>
          <w:sz w:val="20"/>
        </w:rPr>
        <w:t>v1.0 release announcement</w:t>
      </w:r>
      <w:r>
        <w:rPr>
          <w:rFonts w:ascii="Calibri" w:hAnsi="Calibri" w:eastAsia="Calibri"/>
          <w:i w:val="0"/>
          <w:color w:val="17232B"/>
          <w:sz w:val="20"/>
        </w:rPr>
        <w:t xml:space="preserve">, 12 March 2026. </w:t>
      </w:r>
      <w:hyperlink r:id="rId15">
        <w:r>
          <w:rPr>
            <w:color w:val="007783"/>
            <w:u w:val="single"/>
            <w:rFonts w:ascii="Calibri" w:hAnsi="Calibri"/>
            <w:sz w:val="20"/>
          </w:rPr>
          <w:t>https://a2a-protocol.org/latest/blog/2026/03/12/a2a-protocol-ships-v10-production-ready-standard-for-agent-to-agent-communication/</w:t>
        </w:r>
      </w:hyperlink>
    </w:p>
    <w:p>
      <w:pPr>
        <w:keepLines/>
        <w:numPr>
          <w:ilvl w:val="0"/>
          <w:numId w:val="16"/>
        </w:numPr>
        <w:spacing w:after="120" w:line="280" w:lineRule="auto"/>
        <w:ind w:left="720" w:hanging="360"/>
      </w:pPr>
      <w:r>
        <w:rPr>
          <w:rFonts w:ascii="Calibri" w:hAnsi="Calibri" w:eastAsia="Calibri"/>
          <w:i w:val="0"/>
          <w:color w:val="17232B"/>
          <w:sz w:val="20"/>
        </w:rPr>
        <w:t xml:space="preserve">A2A Protocol, </w:t>
      </w:r>
      <w:r>
        <w:rPr>
          <w:rFonts w:ascii="Calibri" w:hAnsi="Calibri" w:eastAsia="Calibri"/>
          <w:b/>
          <w:i w:val="0"/>
          <w:color w:val="17232B"/>
          <w:sz w:val="20"/>
        </w:rPr>
        <w:t>Latest specification</w:t>
      </w:r>
      <w:r>
        <w:rPr>
          <w:rFonts w:ascii="Calibri" w:hAnsi="Calibri" w:eastAsia="Calibri"/>
          <w:i w:val="0"/>
          <w:color w:val="17232B"/>
          <w:sz w:val="20"/>
        </w:rPr>
        <w:t xml:space="preserve">. </w:t>
      </w:r>
      <w:hyperlink r:id="rId16">
        <w:r>
          <w:rPr>
            <w:color w:val="007783"/>
            <w:u w:val="single"/>
            <w:rFonts w:ascii="Calibri" w:hAnsi="Calibri"/>
            <w:sz w:val="20"/>
          </w:rPr>
          <w:t>https://a2a-protocol.org/latest/specification/</w:t>
        </w:r>
      </w:hyperlink>
    </w:p>
    <w:p>
      <w:pPr>
        <w:keepLines/>
        <w:numPr>
          <w:ilvl w:val="0"/>
          <w:numId w:val="16"/>
        </w:numPr>
        <w:spacing w:after="120" w:line="280" w:lineRule="auto"/>
        <w:ind w:left="720" w:hanging="360"/>
      </w:pPr>
      <w:r>
        <w:rPr>
          <w:rFonts w:ascii="Calibri" w:hAnsi="Calibri" w:eastAsia="Calibri"/>
          <w:i w:val="0"/>
          <w:color w:val="17232B"/>
          <w:sz w:val="20"/>
        </w:rPr>
        <w:t xml:space="preserve">NIST, </w:t>
      </w:r>
      <w:r>
        <w:rPr>
          <w:rFonts w:ascii="Calibri" w:hAnsi="Calibri" w:eastAsia="Calibri"/>
          <w:b/>
          <w:i w:val="0"/>
          <w:color w:val="17232B"/>
          <w:sz w:val="20"/>
        </w:rPr>
        <w:t>AI Agent Standards Initiative</w:t>
      </w:r>
      <w:r>
        <w:rPr>
          <w:rFonts w:ascii="Calibri" w:hAnsi="Calibri" w:eastAsia="Calibri"/>
          <w:i w:val="0"/>
          <w:color w:val="17232B"/>
          <w:sz w:val="20"/>
        </w:rPr>
        <w:t xml:space="preserve">. </w:t>
      </w:r>
      <w:hyperlink r:id="rId17">
        <w:r>
          <w:rPr>
            <w:color w:val="007783"/>
            <w:u w:val="single"/>
            <w:rFonts w:ascii="Calibri" w:hAnsi="Calibri"/>
            <w:sz w:val="20"/>
          </w:rPr>
          <w:t>https://www.nist.gov/artificial-intelligence/ai-agent-standards-initiative</w:t>
        </w:r>
      </w:hyperlink>
    </w:p>
    <w:p>
      <w:pPr>
        <w:keepLines/>
        <w:numPr>
          <w:ilvl w:val="0"/>
          <w:numId w:val="16"/>
        </w:numPr>
        <w:spacing w:after="120" w:line="280" w:lineRule="auto"/>
        <w:ind w:left="720" w:hanging="360"/>
      </w:pPr>
      <w:r>
        <w:rPr>
          <w:rFonts w:ascii="Calibri" w:hAnsi="Calibri" w:eastAsia="Calibri"/>
          <w:i w:val="0"/>
          <w:color w:val="17232B"/>
          <w:sz w:val="20"/>
        </w:rPr>
        <w:t xml:space="preserve">NIST NCCoE, </w:t>
      </w:r>
      <w:r>
        <w:rPr>
          <w:rFonts w:ascii="Calibri" w:hAnsi="Calibri" w:eastAsia="Calibri"/>
          <w:b/>
          <w:i w:val="0"/>
          <w:color w:val="17232B"/>
          <w:sz w:val="20"/>
        </w:rPr>
        <w:t>Accelerating the Adoption of Software and AI Agent Identity and Authorization</w:t>
      </w:r>
      <w:r>
        <w:rPr>
          <w:rFonts w:ascii="Calibri" w:hAnsi="Calibri" w:eastAsia="Calibri"/>
          <w:i w:val="0"/>
          <w:color w:val="17232B"/>
          <w:sz w:val="20"/>
        </w:rPr>
        <w:t xml:space="preserve">, draft concept paper, February 2026. </w:t>
      </w:r>
      <w:hyperlink r:id="rId18">
        <w:r>
          <w:rPr>
            <w:color w:val="007783"/>
            <w:u w:val="single"/>
            <w:rFonts w:ascii="Calibri" w:hAnsi="Calibri"/>
            <w:sz w:val="20"/>
          </w:rPr>
          <w:t>https://www.nccoe.nist.gov/sites/default/files/2026-02/accelerating-the-adoption-of-software-and-ai-agent-identity-and-authorization-concept-paper.pdf</w:t>
        </w:r>
      </w:hyperlink>
    </w:p>
    <w:p>
      <w:pPr>
        <w:keepLines/>
        <w:numPr>
          <w:ilvl w:val="0"/>
          <w:numId w:val="16"/>
        </w:numPr>
        <w:spacing w:after="120" w:line="280" w:lineRule="auto"/>
        <w:ind w:left="720" w:hanging="360"/>
      </w:pPr>
      <w:r>
        <w:rPr>
          <w:rFonts w:ascii="Calibri" w:hAnsi="Calibri" w:eastAsia="Calibri"/>
          <w:i w:val="0"/>
          <w:color w:val="17232B"/>
          <w:sz w:val="20"/>
        </w:rPr>
        <w:t xml:space="preserve">IETF Internet-Draft, </w:t>
      </w:r>
      <w:r>
        <w:rPr>
          <w:rFonts w:ascii="Calibri" w:hAnsi="Calibri" w:eastAsia="Calibri"/>
          <w:b/>
          <w:i w:val="0"/>
          <w:color w:val="17232B"/>
          <w:sz w:val="20"/>
        </w:rPr>
        <w:t>Agentic AI Use Cases and Requirements</w:t>
      </w:r>
      <w:r>
        <w:rPr>
          <w:rFonts w:ascii="Calibri" w:hAnsi="Calibri" w:eastAsia="Calibri"/>
          <w:i w:val="0"/>
          <w:color w:val="17232B"/>
          <w:sz w:val="20"/>
        </w:rPr>
        <w:t xml:space="preserve">, draft-agentic-ai-usecases-requirements-02, 26 August 2026. </w:t>
      </w:r>
      <w:hyperlink r:id="rId19">
        <w:r>
          <w:rPr>
            <w:color w:val="007783"/>
            <w:u w:val="single"/>
            <w:rFonts w:ascii="Calibri" w:hAnsi="Calibri"/>
            <w:sz w:val="20"/>
          </w:rPr>
          <w:t>https://www.ietf.org/archive/id/draft-agentic-ai-usecases-requirements-02.html</w:t>
        </w:r>
      </w:hyperlink>
    </w:p>
    <w:p>
      <w:pPr>
        <w:keepLines/>
        <w:numPr>
          <w:ilvl w:val="0"/>
          <w:numId w:val="16"/>
        </w:numPr>
        <w:spacing w:after="120" w:line="280" w:lineRule="auto"/>
        <w:ind w:left="720" w:hanging="360"/>
      </w:pPr>
      <w:r>
        <w:rPr>
          <w:rFonts w:ascii="Calibri" w:hAnsi="Calibri" w:eastAsia="Calibri"/>
          <w:i w:val="0"/>
          <w:color w:val="17232B"/>
          <w:sz w:val="20"/>
        </w:rPr>
        <w:t xml:space="preserve">IETF Internet-Draft, </w:t>
      </w:r>
      <w:r>
        <w:rPr>
          <w:rFonts w:ascii="Calibri" w:hAnsi="Calibri" w:eastAsia="Calibri"/>
          <w:b/>
          <w:i w:val="0"/>
          <w:color w:val="17232B"/>
          <w:sz w:val="20"/>
        </w:rPr>
        <w:t>AI Agent Identity and Access Management</w:t>
      </w:r>
      <w:r>
        <w:rPr>
          <w:rFonts w:ascii="Calibri" w:hAnsi="Calibri" w:eastAsia="Calibri"/>
          <w:i w:val="0"/>
          <w:color w:val="17232B"/>
          <w:sz w:val="20"/>
        </w:rPr>
        <w:t xml:space="preserve">, draft-klrc-aiagent-auth-03, 6 July 2026. </w:t>
      </w:r>
      <w:hyperlink r:id="rId20">
        <w:r>
          <w:rPr>
            <w:color w:val="007783"/>
            <w:u w:val="single"/>
            <w:rFonts w:ascii="Calibri" w:hAnsi="Calibri"/>
            <w:sz w:val="20"/>
          </w:rPr>
          <w:t>https://datatracker.ietf.org/doc/draft-klrc-aiagent-auth/</w:t>
        </w:r>
      </w:hyperlink>
    </w:p>
    <w:p>
      <w:pPr>
        <w:keepLines/>
        <w:numPr>
          <w:ilvl w:val="0"/>
          <w:numId w:val="16"/>
        </w:numPr>
        <w:spacing w:after="120" w:line="280" w:lineRule="auto"/>
        <w:ind w:left="720" w:hanging="360"/>
      </w:pPr>
      <w:r>
        <w:rPr>
          <w:rFonts w:ascii="Calibri" w:hAnsi="Calibri" w:eastAsia="Calibri"/>
          <w:i w:val="0"/>
          <w:color w:val="17232B"/>
          <w:sz w:val="20"/>
        </w:rPr>
        <w:t xml:space="preserve">IETF Internet-Draft, </w:t>
      </w:r>
      <w:r>
        <w:rPr>
          <w:rFonts w:ascii="Calibri" w:hAnsi="Calibri" w:eastAsia="Calibri"/>
          <w:b/>
          <w:i w:val="0"/>
          <w:color w:val="17232B"/>
          <w:sz w:val="20"/>
        </w:rPr>
        <w:t>Architectural Requirements for AI Agent Communication</w:t>
      </w:r>
      <w:r>
        <w:rPr>
          <w:rFonts w:ascii="Calibri" w:hAnsi="Calibri" w:eastAsia="Calibri"/>
          <w:i w:val="0"/>
          <w:color w:val="17232B"/>
          <w:sz w:val="20"/>
        </w:rPr>
        <w:t xml:space="preserve">, draft-daniel-ai-agent-internet-architecture-00, 14 August 2026. </w:t>
      </w:r>
      <w:hyperlink r:id="rId21">
        <w:r>
          <w:rPr>
            <w:color w:val="007783"/>
            <w:u w:val="single"/>
            <w:rFonts w:ascii="Calibri" w:hAnsi="Calibri"/>
            <w:sz w:val="20"/>
          </w:rPr>
          <w:t>https://www.ietf.org/archive/id/draft-daniel-ai-agent-internet-architecture-00.html</w:t>
        </w:r>
      </w:hyperlink>
    </w:p>
    <w:p>
      <w:pPr>
        <w:keepLines/>
        <w:numPr>
          <w:ilvl w:val="0"/>
          <w:numId w:val="16"/>
        </w:numPr>
        <w:spacing w:after="120" w:line="280" w:lineRule="auto"/>
        <w:ind w:left="720" w:hanging="360"/>
      </w:pPr>
      <w:r>
        <w:rPr>
          <w:rFonts w:ascii="Calibri" w:hAnsi="Calibri" w:eastAsia="Calibri"/>
          <w:i w:val="0"/>
          <w:color w:val="17232B"/>
          <w:sz w:val="20"/>
        </w:rPr>
        <w:t xml:space="preserve">AGNTCY, </w:t>
      </w:r>
      <w:r>
        <w:rPr>
          <w:rFonts w:ascii="Calibri" w:hAnsi="Calibri" w:eastAsia="Calibri"/>
          <w:b/>
          <w:i w:val="0"/>
          <w:color w:val="17232B"/>
          <w:sz w:val="20"/>
        </w:rPr>
        <w:t>Open Agentic Schema Framework</w:t>
      </w:r>
      <w:r>
        <w:rPr>
          <w:rFonts w:ascii="Calibri" w:hAnsi="Calibri" w:eastAsia="Calibri"/>
          <w:i w:val="0"/>
          <w:color w:val="17232B"/>
          <w:sz w:val="20"/>
        </w:rPr>
        <w:t xml:space="preserve">. </w:t>
      </w:r>
      <w:hyperlink r:id="rId22">
        <w:r>
          <w:rPr>
            <w:color w:val="007783"/>
            <w:u w:val="single"/>
            <w:rFonts w:ascii="Calibri" w:hAnsi="Calibri"/>
            <w:sz w:val="20"/>
          </w:rPr>
          <w:t>https://docs.agntcy.org/oasf/open-agentic-schema-framework/</w:t>
        </w:r>
      </w:hyperlink>
    </w:p>
    <w:p>
      <w:pPr>
        <w:keepLines/>
        <w:numPr>
          <w:ilvl w:val="0"/>
          <w:numId w:val="16"/>
        </w:numPr>
        <w:spacing w:after="120" w:line="280" w:lineRule="auto"/>
        <w:ind w:left="720" w:hanging="360"/>
      </w:pPr>
      <w:r>
        <w:rPr>
          <w:rFonts w:ascii="Calibri" w:hAnsi="Calibri" w:eastAsia="Calibri"/>
          <w:i w:val="0"/>
          <w:color w:val="17232B"/>
          <w:sz w:val="20"/>
        </w:rPr>
        <w:t xml:space="preserve">AGNTCY, </w:t>
      </w:r>
      <w:r>
        <w:rPr>
          <w:rFonts w:ascii="Calibri" w:hAnsi="Calibri" w:eastAsia="Calibri"/>
          <w:b/>
          <w:i w:val="0"/>
          <w:color w:val="17232B"/>
          <w:sz w:val="20"/>
        </w:rPr>
        <w:t>Agent Directory Service overview</w:t>
      </w:r>
      <w:r>
        <w:rPr>
          <w:rFonts w:ascii="Calibri" w:hAnsi="Calibri" w:eastAsia="Calibri"/>
          <w:i w:val="0"/>
          <w:color w:val="17232B"/>
          <w:sz w:val="20"/>
        </w:rPr>
        <w:t xml:space="preserve">. </w:t>
      </w:r>
      <w:hyperlink r:id="rId23">
        <w:r>
          <w:rPr>
            <w:color w:val="007783"/>
            <w:u w:val="single"/>
            <w:rFonts w:ascii="Calibri" w:hAnsi="Calibri"/>
            <w:sz w:val="20"/>
          </w:rPr>
          <w:t>https://dir.agntcy.org/latest/dir/dir-overview/</w:t>
        </w:r>
      </w:hyperlink>
    </w:p>
    <w:p>
      <w:pPr>
        <w:keepLines/>
        <w:numPr>
          <w:ilvl w:val="0"/>
          <w:numId w:val="16"/>
        </w:numPr>
        <w:spacing w:after="120" w:line="280" w:lineRule="auto"/>
        <w:ind w:left="720" w:hanging="360"/>
      </w:pPr>
      <w:r>
        <w:rPr>
          <w:rFonts w:ascii="Calibri" w:hAnsi="Calibri" w:eastAsia="Calibri"/>
          <w:i w:val="0"/>
          <w:color w:val="17232B"/>
          <w:sz w:val="20"/>
        </w:rPr>
        <w:t xml:space="preserve">AGNTCY, </w:t>
      </w:r>
      <w:r>
        <w:rPr>
          <w:rFonts w:ascii="Calibri" w:hAnsi="Calibri" w:eastAsia="Calibri"/>
          <w:b/>
          <w:i w:val="0"/>
          <w:color w:val="17232B"/>
          <w:sz w:val="20"/>
        </w:rPr>
        <w:t>Identity specification</w:t>
      </w:r>
      <w:r>
        <w:rPr>
          <w:rFonts w:ascii="Calibri" w:hAnsi="Calibri" w:eastAsia="Calibri"/>
          <w:i w:val="0"/>
          <w:color w:val="17232B"/>
          <w:sz w:val="20"/>
        </w:rPr>
        <w:t xml:space="preserve">. </w:t>
      </w:r>
      <w:hyperlink r:id="rId24">
        <w:r>
          <w:rPr>
            <w:color w:val="007783"/>
            <w:u w:val="single"/>
            <w:rFonts w:ascii="Calibri" w:hAnsi="Calibri"/>
            <w:sz w:val="20"/>
          </w:rPr>
          <w:t>https://spec.identity.agntcy.org/docs/intro/</w:t>
        </w:r>
      </w:hyperlink>
    </w:p>
    <w:p>
      <w:pPr>
        <w:keepLines/>
        <w:numPr>
          <w:ilvl w:val="0"/>
          <w:numId w:val="16"/>
        </w:numPr>
        <w:spacing w:after="120" w:line="280" w:lineRule="auto"/>
        <w:ind w:left="720" w:hanging="360"/>
      </w:pPr>
      <w:r>
        <w:rPr>
          <w:rFonts w:ascii="Calibri" w:hAnsi="Calibri" w:eastAsia="Calibri"/>
          <w:i w:val="0"/>
          <w:color w:val="17232B"/>
          <w:sz w:val="20"/>
        </w:rPr>
        <w:t xml:space="preserve">OpenAPI Initiative, </w:t>
      </w:r>
      <w:r>
        <w:rPr>
          <w:rFonts w:ascii="Calibri" w:hAnsi="Calibri" w:eastAsia="Calibri"/>
          <w:b/>
          <w:i w:val="0"/>
          <w:color w:val="17232B"/>
          <w:sz w:val="20"/>
        </w:rPr>
        <w:t>OpenAPI Specification</w:t>
      </w:r>
      <w:r>
        <w:rPr>
          <w:rFonts w:ascii="Calibri" w:hAnsi="Calibri" w:eastAsia="Calibri"/>
          <w:i w:val="0"/>
          <w:color w:val="17232B"/>
          <w:sz w:val="20"/>
        </w:rPr>
        <w:t xml:space="preserve">. </w:t>
      </w:r>
      <w:hyperlink r:id="rId25">
        <w:r>
          <w:rPr>
            <w:color w:val="007783"/>
            <w:u w:val="single"/>
            <w:rFonts w:ascii="Calibri" w:hAnsi="Calibri"/>
            <w:sz w:val="20"/>
          </w:rPr>
          <w:t>https://spec.openapis.org/oas/latest.html</w:t>
        </w:r>
      </w:hyperlink>
    </w:p>
    <w:p>
      <w:pPr>
        <w:keepLines/>
        <w:numPr>
          <w:ilvl w:val="0"/>
          <w:numId w:val="16"/>
        </w:numPr>
        <w:spacing w:after="120" w:line="280" w:lineRule="auto"/>
        <w:ind w:left="720" w:hanging="360"/>
      </w:pPr>
      <w:r>
        <w:rPr>
          <w:rFonts w:ascii="Calibri" w:hAnsi="Calibri" w:eastAsia="Calibri"/>
          <w:i w:val="0"/>
          <w:color w:val="17232B"/>
          <w:sz w:val="20"/>
        </w:rPr>
        <w:t xml:space="preserve">AsyncAPI Initiative, </w:t>
      </w:r>
      <w:r>
        <w:rPr>
          <w:rFonts w:ascii="Calibri" w:hAnsi="Calibri" w:eastAsia="Calibri"/>
          <w:b/>
          <w:i w:val="0"/>
          <w:color w:val="17232B"/>
          <w:sz w:val="20"/>
        </w:rPr>
        <w:t>AsyncAPI Specification 3.1.0</w:t>
      </w:r>
      <w:r>
        <w:rPr>
          <w:rFonts w:ascii="Calibri" w:hAnsi="Calibri" w:eastAsia="Calibri"/>
          <w:i w:val="0"/>
          <w:color w:val="17232B"/>
          <w:sz w:val="20"/>
        </w:rPr>
        <w:t xml:space="preserve">. </w:t>
      </w:r>
      <w:hyperlink r:id="rId26">
        <w:r>
          <w:rPr>
            <w:color w:val="007783"/>
            <w:u w:val="single"/>
            <w:rFonts w:ascii="Calibri" w:hAnsi="Calibri"/>
            <w:sz w:val="20"/>
          </w:rPr>
          <w:t>https://www.asyncapi.com/docs/reference/specification/v3.1.0</w:t>
        </w:r>
      </w:hyperlink>
    </w:p>
    <w:p>
      <w:pPr>
        <w:keepLines/>
        <w:numPr>
          <w:ilvl w:val="0"/>
          <w:numId w:val="16"/>
        </w:numPr>
        <w:spacing w:after="120" w:line="280" w:lineRule="auto"/>
        <w:ind w:left="720" w:hanging="360"/>
      </w:pPr>
      <w:r>
        <w:rPr>
          <w:rFonts w:ascii="Calibri" w:hAnsi="Calibri" w:eastAsia="Calibri"/>
          <w:i w:val="0"/>
          <w:color w:val="17232B"/>
          <w:sz w:val="20"/>
        </w:rPr>
        <w:t xml:space="preserve">Cloud Native Computing Foundation, </w:t>
      </w:r>
      <w:r>
        <w:rPr>
          <w:rFonts w:ascii="Calibri" w:hAnsi="Calibri" w:eastAsia="Calibri"/>
          <w:b/>
          <w:i w:val="0"/>
          <w:color w:val="17232B"/>
          <w:sz w:val="20"/>
        </w:rPr>
        <w:t>CloudEvents Specification</w:t>
      </w:r>
      <w:r>
        <w:rPr>
          <w:rFonts w:ascii="Calibri" w:hAnsi="Calibri" w:eastAsia="Calibri"/>
          <w:i w:val="0"/>
          <w:color w:val="17232B"/>
          <w:sz w:val="20"/>
        </w:rPr>
        <w:t xml:space="preserve">. </w:t>
      </w:r>
      <w:hyperlink r:id="rId27">
        <w:r>
          <w:rPr>
            <w:color w:val="007783"/>
            <w:u w:val="single"/>
            <w:rFonts w:ascii="Calibri" w:hAnsi="Calibri"/>
            <w:sz w:val="20"/>
          </w:rPr>
          <w:t>https://github.com/cloudevents/spec/blob/main/cloudevents/spec.md</w:t>
        </w:r>
      </w:hyperlink>
    </w:p>
    <w:p>
      <w:pPr>
        <w:keepLines/>
        <w:numPr>
          <w:ilvl w:val="0"/>
          <w:numId w:val="16"/>
        </w:numPr>
        <w:spacing w:after="120" w:line="280" w:lineRule="auto"/>
        <w:ind w:left="720" w:hanging="360"/>
      </w:pPr>
      <w:r>
        <w:rPr>
          <w:rFonts w:ascii="Calibri" w:hAnsi="Calibri" w:eastAsia="Calibri"/>
          <w:i w:val="0"/>
          <w:color w:val="17232B"/>
          <w:sz w:val="20"/>
        </w:rPr>
        <w:t xml:space="preserve">JSON Schema, </w:t>
      </w:r>
      <w:r>
        <w:rPr>
          <w:rFonts w:ascii="Calibri" w:hAnsi="Calibri" w:eastAsia="Calibri"/>
          <w:b/>
          <w:i w:val="0"/>
          <w:color w:val="17232B"/>
          <w:sz w:val="20"/>
        </w:rPr>
        <w:t>Draft 2020-12</w:t>
      </w:r>
      <w:r>
        <w:rPr>
          <w:rFonts w:ascii="Calibri" w:hAnsi="Calibri" w:eastAsia="Calibri"/>
          <w:i w:val="0"/>
          <w:color w:val="17232B"/>
          <w:sz w:val="20"/>
        </w:rPr>
        <w:t xml:space="preserve">. </w:t>
      </w:r>
      <w:hyperlink r:id="rId28">
        <w:r>
          <w:rPr>
            <w:color w:val="007783"/>
            <w:u w:val="single"/>
            <w:rFonts w:ascii="Calibri" w:hAnsi="Calibri"/>
            <w:sz w:val="20"/>
          </w:rPr>
          <w:t>https://json-schema.org/draft/2020-12</w:t>
        </w:r>
      </w:hyperlink>
    </w:p>
    <w:p>
      <w:pPr>
        <w:keepLines/>
        <w:numPr>
          <w:ilvl w:val="0"/>
          <w:numId w:val="16"/>
        </w:numPr>
        <w:spacing w:after="120" w:line="280" w:lineRule="auto"/>
        <w:ind w:left="720" w:hanging="360"/>
      </w:pPr>
      <w:r>
        <w:rPr>
          <w:rFonts w:ascii="Calibri" w:hAnsi="Calibri" w:eastAsia="Calibri"/>
          <w:i w:val="0"/>
          <w:color w:val="17232B"/>
          <w:sz w:val="20"/>
        </w:rPr>
        <w:t xml:space="preserve">IETF, </w:t>
      </w:r>
      <w:r>
        <w:rPr>
          <w:rFonts w:ascii="Calibri" w:hAnsi="Calibri" w:eastAsia="Calibri"/>
          <w:b/>
          <w:i w:val="0"/>
          <w:color w:val="17232B"/>
          <w:sz w:val="20"/>
        </w:rPr>
        <w:t>RFC 9396: OAuth 2.0 Rich Authorization Requests</w:t>
      </w:r>
      <w:r>
        <w:rPr>
          <w:rFonts w:ascii="Calibri" w:hAnsi="Calibri" w:eastAsia="Calibri"/>
          <w:i w:val="0"/>
          <w:color w:val="17232B"/>
          <w:sz w:val="20"/>
        </w:rPr>
        <w:t xml:space="preserve">. </w:t>
      </w:r>
      <w:hyperlink r:id="rId29">
        <w:r>
          <w:rPr>
            <w:color w:val="007783"/>
            <w:u w:val="single"/>
            <w:rFonts w:ascii="Calibri" w:hAnsi="Calibri"/>
            <w:sz w:val="20"/>
          </w:rPr>
          <w:t>https://www.rfc-editor.org/rfc/rfc9396.html</w:t>
        </w:r>
      </w:hyperlink>
    </w:p>
    <w:p>
      <w:pPr>
        <w:keepLines/>
        <w:numPr>
          <w:ilvl w:val="0"/>
          <w:numId w:val="16"/>
        </w:numPr>
        <w:spacing w:after="120" w:line="280" w:lineRule="auto"/>
        <w:ind w:left="720" w:hanging="360"/>
      </w:pPr>
      <w:r>
        <w:rPr>
          <w:rFonts w:ascii="Calibri" w:hAnsi="Calibri" w:eastAsia="Calibri"/>
          <w:i w:val="0"/>
          <w:color w:val="17232B"/>
          <w:sz w:val="20"/>
        </w:rPr>
        <w:t xml:space="preserve">SPIFFE, </w:t>
      </w:r>
      <w:r>
        <w:rPr>
          <w:rFonts w:ascii="Calibri" w:hAnsi="Calibri" w:eastAsia="Calibri"/>
          <w:b/>
          <w:i w:val="0"/>
          <w:color w:val="17232B"/>
          <w:sz w:val="20"/>
        </w:rPr>
        <w:t>The SPIFFE Standard</w:t>
      </w:r>
      <w:r>
        <w:rPr>
          <w:rFonts w:ascii="Calibri" w:hAnsi="Calibri" w:eastAsia="Calibri"/>
          <w:i w:val="0"/>
          <w:color w:val="17232B"/>
          <w:sz w:val="20"/>
        </w:rPr>
        <w:t xml:space="preserve">. </w:t>
      </w:r>
      <w:hyperlink r:id="rId30">
        <w:r>
          <w:rPr>
            <w:color w:val="007783"/>
            <w:u w:val="single"/>
            <w:rFonts w:ascii="Calibri" w:hAnsi="Calibri"/>
            <w:sz w:val="20"/>
          </w:rPr>
          <w:t>https://spiffe.io/docs/latest/spiffe-specs/</w:t>
        </w:r>
      </w:hyperlink>
    </w:p>
    <w:p>
      <w:pPr>
        <w:keepLines/>
        <w:numPr>
          <w:ilvl w:val="0"/>
          <w:numId w:val="16"/>
        </w:numPr>
        <w:spacing w:after="120" w:line="280" w:lineRule="auto"/>
        <w:ind w:left="720" w:hanging="360"/>
      </w:pPr>
      <w:r>
        <w:rPr>
          <w:rFonts w:ascii="Calibri" w:hAnsi="Calibri" w:eastAsia="Calibri"/>
          <w:i w:val="0"/>
          <w:color w:val="17232B"/>
          <w:sz w:val="20"/>
        </w:rPr>
        <w:t xml:space="preserve">W3C, </w:t>
      </w:r>
      <w:r>
        <w:rPr>
          <w:rFonts w:ascii="Calibri" w:hAnsi="Calibri" w:eastAsia="Calibri"/>
          <w:b/>
          <w:i w:val="0"/>
          <w:color w:val="17232B"/>
          <w:sz w:val="20"/>
        </w:rPr>
        <w:t>Verifiable Credentials Data Model v2.0</w:t>
      </w:r>
      <w:r>
        <w:rPr>
          <w:rFonts w:ascii="Calibri" w:hAnsi="Calibri" w:eastAsia="Calibri"/>
          <w:i w:val="0"/>
          <w:color w:val="17232B"/>
          <w:sz w:val="20"/>
        </w:rPr>
        <w:t xml:space="preserve">, Recommendation, 15 May 2025. </w:t>
      </w:r>
      <w:hyperlink r:id="rId31">
        <w:r>
          <w:rPr>
            <w:color w:val="007783"/>
            <w:u w:val="single"/>
            <w:rFonts w:ascii="Calibri" w:hAnsi="Calibri"/>
            <w:sz w:val="20"/>
          </w:rPr>
          <w:t>https://www.w3.org/TR/vc-data-model-2.0/</w:t>
        </w:r>
      </w:hyperlink>
    </w:p>
    <w:p>
      <w:pPr>
        <w:keepLines/>
        <w:numPr>
          <w:ilvl w:val="0"/>
          <w:numId w:val="16"/>
        </w:numPr>
        <w:spacing w:after="120" w:line="280" w:lineRule="auto"/>
        <w:ind w:left="720" w:hanging="360"/>
      </w:pPr>
      <w:r>
        <w:rPr>
          <w:rFonts w:ascii="Calibri" w:hAnsi="Calibri" w:eastAsia="Calibri"/>
          <w:i w:val="0"/>
          <w:color w:val="17232B"/>
          <w:sz w:val="20"/>
        </w:rPr>
        <w:t xml:space="preserve">W3C, </w:t>
      </w:r>
      <w:r>
        <w:rPr>
          <w:rFonts w:ascii="Calibri" w:hAnsi="Calibri" w:eastAsia="Calibri"/>
          <w:b/>
          <w:i w:val="0"/>
          <w:color w:val="17232B"/>
          <w:sz w:val="20"/>
        </w:rPr>
        <w:t>PROV Overview</w:t>
      </w:r>
      <w:r>
        <w:rPr>
          <w:rFonts w:ascii="Calibri" w:hAnsi="Calibri" w:eastAsia="Calibri"/>
          <w:i w:val="0"/>
          <w:color w:val="17232B"/>
          <w:sz w:val="20"/>
        </w:rPr>
        <w:t xml:space="preserve">. </w:t>
      </w:r>
      <w:hyperlink r:id="rId32">
        <w:r>
          <w:rPr>
            <w:color w:val="007783"/>
            <w:u w:val="single"/>
            <w:rFonts w:ascii="Calibri" w:hAnsi="Calibri"/>
            <w:sz w:val="20"/>
          </w:rPr>
          <w:t>https://www.w3.org/TR/prov-overview/</w:t>
        </w:r>
      </w:hyperlink>
    </w:p>
    <w:p>
      <w:pPr>
        <w:keepLines/>
        <w:numPr>
          <w:ilvl w:val="0"/>
          <w:numId w:val="16"/>
        </w:numPr>
        <w:spacing w:after="120" w:line="280" w:lineRule="auto"/>
        <w:ind w:left="720" w:hanging="360"/>
      </w:pPr>
      <w:r>
        <w:rPr>
          <w:rFonts w:ascii="Calibri" w:hAnsi="Calibri" w:eastAsia="Calibri"/>
          <w:i w:val="0"/>
          <w:color w:val="17232B"/>
          <w:sz w:val="20"/>
        </w:rPr>
        <w:t xml:space="preserve">W3C, </w:t>
      </w:r>
      <w:r>
        <w:rPr>
          <w:rFonts w:ascii="Calibri" w:hAnsi="Calibri" w:eastAsia="Calibri"/>
          <w:b/>
          <w:i w:val="0"/>
          <w:color w:val="17232B"/>
          <w:sz w:val="20"/>
        </w:rPr>
        <w:t>Trace Context</w:t>
      </w:r>
      <w:r>
        <w:rPr>
          <w:rFonts w:ascii="Calibri" w:hAnsi="Calibri" w:eastAsia="Calibri"/>
          <w:i w:val="0"/>
          <w:color w:val="17232B"/>
          <w:sz w:val="20"/>
        </w:rPr>
        <w:t xml:space="preserve">, Recommendation. </w:t>
      </w:r>
      <w:hyperlink r:id="rId33">
        <w:r>
          <w:rPr>
            <w:color w:val="007783"/>
            <w:u w:val="single"/>
            <w:rFonts w:ascii="Calibri" w:hAnsi="Calibri"/>
            <w:sz w:val="20"/>
          </w:rPr>
          <w:t>https://www.w3.org/TR/trace-context/</w:t>
        </w:r>
      </w:hyperlink>
    </w:p>
    <w:p>
      <w:pPr>
        <w:keepLines/>
        <w:numPr>
          <w:ilvl w:val="0"/>
          <w:numId w:val="16"/>
        </w:numPr>
        <w:spacing w:after="120" w:line="280" w:lineRule="auto"/>
        <w:ind w:left="720" w:hanging="360"/>
      </w:pPr>
      <w:r>
        <w:rPr>
          <w:rFonts w:ascii="Calibri" w:hAnsi="Calibri" w:eastAsia="Calibri"/>
          <w:i w:val="0"/>
          <w:color w:val="17232B"/>
          <w:sz w:val="20"/>
        </w:rPr>
        <w:t xml:space="preserve">OpenTelemetry, </w:t>
      </w:r>
      <w:r>
        <w:rPr>
          <w:rFonts w:ascii="Calibri" w:hAnsi="Calibri" w:eastAsia="Calibri"/>
          <w:b/>
          <w:i w:val="0"/>
          <w:color w:val="17232B"/>
          <w:sz w:val="20"/>
        </w:rPr>
        <w:t>Semantic Conventions 1.44.0</w:t>
      </w:r>
      <w:r>
        <w:rPr>
          <w:rFonts w:ascii="Calibri" w:hAnsi="Calibri" w:eastAsia="Calibri"/>
          <w:i w:val="0"/>
          <w:color w:val="17232B"/>
          <w:sz w:val="20"/>
        </w:rPr>
        <w:t xml:space="preserve">. </w:t>
      </w:r>
      <w:hyperlink r:id="rId34">
        <w:r>
          <w:rPr>
            <w:color w:val="007783"/>
            <w:u w:val="single"/>
            <w:rFonts w:ascii="Calibri" w:hAnsi="Calibri"/>
            <w:sz w:val="20"/>
          </w:rPr>
          <w:t>https://opentelemetry.io/docs/specs/semconv/</w:t>
        </w:r>
      </w:hyperlink>
    </w:p>
    <w:p>
      <w:pPr>
        <w:keepLines/>
        <w:numPr>
          <w:ilvl w:val="0"/>
          <w:numId w:val="16"/>
        </w:numPr>
        <w:spacing w:after="120" w:line="280" w:lineRule="auto"/>
        <w:ind w:left="720" w:hanging="360"/>
      </w:pPr>
      <w:r>
        <w:rPr>
          <w:rFonts w:ascii="Calibri" w:hAnsi="Calibri" w:eastAsia="Calibri"/>
          <w:i w:val="0"/>
          <w:color w:val="17232B"/>
          <w:sz w:val="20"/>
        </w:rPr>
        <w:t xml:space="preserve">in-toto, </w:t>
      </w:r>
      <w:r>
        <w:rPr>
          <w:rFonts w:ascii="Calibri" w:hAnsi="Calibri" w:eastAsia="Calibri"/>
          <w:b/>
          <w:i w:val="0"/>
          <w:color w:val="17232B"/>
          <w:sz w:val="20"/>
        </w:rPr>
        <w:t>Attestation and software supply-chain integrity framework</w:t>
      </w:r>
      <w:r>
        <w:rPr>
          <w:rFonts w:ascii="Calibri" w:hAnsi="Calibri" w:eastAsia="Calibri"/>
          <w:i w:val="0"/>
          <w:color w:val="17232B"/>
          <w:sz w:val="20"/>
        </w:rPr>
        <w:t xml:space="preserve">. </w:t>
      </w:r>
      <w:hyperlink r:id="rId35">
        <w:r>
          <w:rPr>
            <w:color w:val="007783"/>
            <w:u w:val="single"/>
            <w:rFonts w:ascii="Calibri" w:hAnsi="Calibri"/>
            <w:sz w:val="20"/>
          </w:rPr>
          <w:t>https://in-toto.io/</w:t>
        </w:r>
      </w:hyperlink>
    </w:p>
    <w:p>
      <w:pPr>
        <w:keepLines/>
        <w:numPr>
          <w:ilvl w:val="0"/>
          <w:numId w:val="16"/>
        </w:numPr>
        <w:spacing w:after="120" w:line="280" w:lineRule="auto"/>
        <w:ind w:left="720" w:hanging="360"/>
      </w:pPr>
      <w:r>
        <w:rPr>
          <w:rFonts w:ascii="Calibri" w:hAnsi="Calibri" w:eastAsia="Calibri"/>
          <w:i w:val="0"/>
          <w:color w:val="17232B"/>
          <w:sz w:val="20"/>
        </w:rPr>
        <w:t xml:space="preserve">OWASP, </w:t>
      </w:r>
      <w:r>
        <w:rPr>
          <w:rFonts w:ascii="Calibri" w:hAnsi="Calibri" w:eastAsia="Calibri"/>
          <w:b/>
          <w:i w:val="0"/>
          <w:color w:val="17232B"/>
          <w:sz w:val="20"/>
        </w:rPr>
        <w:t>Agent Control Standard</w:t>
      </w:r>
      <w:r>
        <w:rPr>
          <w:rFonts w:ascii="Calibri" w:hAnsi="Calibri" w:eastAsia="Calibri"/>
          <w:i w:val="0"/>
          <w:color w:val="17232B"/>
          <w:sz w:val="20"/>
        </w:rPr>
        <w:t xml:space="preserve">, public preview, 1 September 2026. </w:t>
      </w:r>
      <w:hyperlink r:id="rId36">
        <w:r>
          <w:rPr>
            <w:color w:val="007783"/>
            <w:u w:val="single"/>
            <w:rFonts w:ascii="Calibri" w:hAnsi="Calibri"/>
            <w:sz w:val="20"/>
          </w:rPr>
          <w:t>https://genai.owasp.org/resource/agent-control-standard-acs/</w:t>
        </w:r>
      </w:hyperlink>
    </w:p>
    <w:p>
      <w:pPr>
        <w:keepLines/>
        <w:numPr>
          <w:ilvl w:val="0"/>
          <w:numId w:val="16"/>
        </w:numPr>
        <w:spacing w:after="120" w:line="280" w:lineRule="auto"/>
        <w:ind w:left="720" w:hanging="360"/>
      </w:pPr>
      <w:r>
        <w:rPr>
          <w:rFonts w:ascii="Calibri" w:hAnsi="Calibri" w:eastAsia="Calibri"/>
          <w:i w:val="0"/>
          <w:color w:val="17232B"/>
          <w:sz w:val="20"/>
        </w:rPr>
        <w:t xml:space="preserve">Google, </w:t>
      </w:r>
      <w:r>
        <w:rPr>
          <w:rFonts w:ascii="Calibri" w:hAnsi="Calibri" w:eastAsia="Calibri"/>
          <w:b/>
          <w:i w:val="0"/>
          <w:color w:val="17232B"/>
          <w:sz w:val="20"/>
        </w:rPr>
        <w:t>Agent Payments Protocol (AP2)</w:t>
      </w:r>
      <w:r>
        <w:rPr>
          <w:rFonts w:ascii="Calibri" w:hAnsi="Calibri" w:eastAsia="Calibri"/>
          <w:i w:val="0"/>
          <w:color w:val="17232B"/>
          <w:sz w:val="20"/>
        </w:rPr>
        <w:t xml:space="preserve">, 16 September 2025. </w:t>
      </w:r>
      <w:hyperlink r:id="rId37">
        <w:r>
          <w:rPr>
            <w:color w:val="007783"/>
            <w:u w:val="single"/>
            <w:rFonts w:ascii="Calibri" w:hAnsi="Calibri"/>
            <w:sz w:val="20"/>
          </w:rPr>
          <w:t>https://cloud.google.com/blog/products/ai-machine-learning/announcing-agents-to-payments-ap2-protocol</w:t>
        </w:r>
      </w:hyperlink>
    </w:p>
    <w:p>
      <w:pPr>
        <w:keepLines/>
        <w:numPr>
          <w:ilvl w:val="0"/>
          <w:numId w:val="16"/>
        </w:numPr>
        <w:spacing w:after="120" w:line="280" w:lineRule="auto"/>
        <w:ind w:left="720" w:hanging="360"/>
      </w:pPr>
      <w:r>
        <w:rPr>
          <w:rFonts w:ascii="Calibri" w:hAnsi="Calibri" w:eastAsia="Calibri"/>
          <w:i w:val="0"/>
          <w:color w:val="17232B"/>
          <w:sz w:val="20"/>
        </w:rPr>
        <w:t xml:space="preserve">OWASP, </w:t>
      </w:r>
      <w:r>
        <w:rPr>
          <w:rFonts w:ascii="Calibri" w:hAnsi="Calibri" w:eastAsia="Calibri"/>
          <w:b/>
          <w:i w:val="0"/>
          <w:color w:val="17232B"/>
          <w:sz w:val="20"/>
        </w:rPr>
        <w:t>Top 10 for Agentic Applications 2026</w:t>
      </w:r>
      <w:r>
        <w:rPr>
          <w:rFonts w:ascii="Calibri" w:hAnsi="Calibri" w:eastAsia="Calibri"/>
          <w:i w:val="0"/>
          <w:color w:val="17232B"/>
          <w:sz w:val="20"/>
        </w:rPr>
        <w:t xml:space="preserve">. </w:t>
      </w:r>
      <w:hyperlink r:id="rId38">
        <w:r>
          <w:rPr>
            <w:color w:val="007783"/>
            <w:u w:val="single"/>
            <w:rFonts w:ascii="Calibri" w:hAnsi="Calibri"/>
            <w:sz w:val="20"/>
          </w:rPr>
          <w:t>https://genai.owasp.org/resource/owasp-top-10-for-agentic-applications-for-2026/</w:t>
        </w:r>
      </w:hyperlink>
    </w:p>
    <w:p>
      <w:pPr>
        <w:keepLines/>
        <w:numPr>
          <w:ilvl w:val="0"/>
          <w:numId w:val="16"/>
        </w:numPr>
        <w:spacing w:after="120" w:line="280" w:lineRule="auto"/>
        <w:ind w:left="720" w:hanging="360"/>
      </w:pPr>
      <w:r>
        <w:rPr>
          <w:rFonts w:ascii="Calibri" w:hAnsi="Calibri" w:eastAsia="Calibri"/>
          <w:i w:val="0"/>
          <w:color w:val="17232B"/>
          <w:sz w:val="20"/>
        </w:rPr>
        <w:t xml:space="preserve">NIST, </w:t>
      </w:r>
      <w:r>
        <w:rPr>
          <w:rFonts w:ascii="Calibri" w:hAnsi="Calibri" w:eastAsia="Calibri"/>
          <w:b/>
          <w:i w:val="0"/>
          <w:color w:val="17232B"/>
          <w:sz w:val="20"/>
        </w:rPr>
        <w:t>Artificial Intelligence Risk Management Framework: Generative AI Profile</w:t>
      </w:r>
      <w:r>
        <w:rPr>
          <w:rFonts w:ascii="Calibri" w:hAnsi="Calibri" w:eastAsia="Calibri"/>
          <w:i w:val="0"/>
          <w:color w:val="17232B"/>
          <w:sz w:val="20"/>
        </w:rPr>
        <w:t xml:space="preserve">. </w:t>
      </w:r>
      <w:hyperlink r:id="rId39">
        <w:r>
          <w:rPr>
            <w:color w:val="007783"/>
            <w:u w:val="single"/>
            <w:rFonts w:ascii="Calibri" w:hAnsi="Calibri"/>
            <w:sz w:val="20"/>
          </w:rPr>
          <w:t>https://www.nist.gov/publications/artificial-intelligence-risk-management-framework-generative-artificial-intelligence</w:t>
        </w:r>
      </w:hyperlink>
    </w:p>
    <w:p>
      <w:pPr>
        <w:keepLines/>
        <w:numPr>
          <w:ilvl w:val="0"/>
          <w:numId w:val="16"/>
        </w:numPr>
        <w:spacing w:after="120" w:line="280" w:lineRule="auto"/>
        <w:ind w:left="720" w:hanging="360"/>
      </w:pPr>
      <w:r>
        <w:rPr>
          <w:rFonts w:ascii="Calibri" w:hAnsi="Calibri" w:eastAsia="Calibri"/>
          <w:i w:val="0"/>
          <w:color w:val="17232B"/>
          <w:sz w:val="20"/>
        </w:rPr>
        <w:t xml:space="preserve">ISO, </w:t>
      </w:r>
      <w:r>
        <w:rPr>
          <w:rFonts w:ascii="Calibri" w:hAnsi="Calibri" w:eastAsia="Calibri"/>
          <w:b/>
          <w:i w:val="0"/>
          <w:color w:val="17232B"/>
          <w:sz w:val="20"/>
        </w:rPr>
        <w:t>ISO/IEC 42001: Artificial intelligence management system</w:t>
      </w:r>
      <w:r>
        <w:rPr>
          <w:rFonts w:ascii="Calibri" w:hAnsi="Calibri" w:eastAsia="Calibri"/>
          <w:i w:val="0"/>
          <w:color w:val="17232B"/>
          <w:sz w:val="20"/>
        </w:rPr>
        <w:t xml:space="preserve">. </w:t>
      </w:r>
      <w:hyperlink r:id="rId40">
        <w:r>
          <w:rPr>
            <w:color w:val="007783"/>
            <w:u w:val="single"/>
            <w:rFonts w:ascii="Calibri" w:hAnsi="Calibri"/>
            <w:sz w:val="20"/>
          </w:rPr>
          <w:t>https://www.iso.org/standard/42001</w:t>
        </w:r>
      </w:hyperlink>
    </w:p>
    <w:p>
      <w:pPr>
        <w:spacing w:before="360" w:after="0"/>
        <w:pBdr>
          <w:bottom w:val="single" w:sz="8" w:space="4" w:color="00A7B5"/>
        </w:pBdr>
      </w:pPr>
      <w:r>
        <w:rPr>
          <w:rFonts w:ascii="Calibri" w:hAnsi="Calibri" w:eastAsia="Calibri"/>
          <w:b/>
          <w:color w:val="5D6B73"/>
          <w:sz w:val="17"/>
        </w:rPr>
        <w:t xml:space="preserve">  END OF BRIEF  /  CELL//AP v0.1 RESEARCH CONCEPT</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eastAsia="Calibri"/>
        <w:b/>
        <w:color w:val="5D6B73"/>
        <w:sz w:val="17"/>
      </w:rPr>
      <w:t xml:space="preserve">RESEARCH BRIEF  •  4 SEP 2026    |    </w:t>
    </w:r>
    <w:r>
      <w:rPr>
        <w:rFonts w:ascii="Calibri" w:hAnsi="Calibri" w:eastAsia="Calibri"/>
        <w:b/>
        <w:color w:val="5D6B73"/>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color w:val="5D6B73"/>
        <w:sz w:val="16"/>
      </w:rPr>
      <w:t>WORKING DRAFT  •  RESEARCH HORIZON: 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D9E0E4"/>
      </w:pBdr>
    </w:pPr>
    <w:r>
      <w:rPr>
        <w:rFonts w:ascii="Calibri" w:hAnsi="Calibri" w:eastAsia="Calibri"/>
        <w:b/>
        <w:color w:val="5D6B73"/>
        <w:sz w:val="17"/>
      </w:rPr>
      <w:t>CELL//AP  /  AGENTIC OPERATIONS PROFILE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D6B73"/>
        <w:sz w:val="17"/>
      </w:rPr>
      <w:t>CELL OS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778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778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434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5D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modelcontextprotocol.io/specification/2026-07-28" TargetMode="External"/><Relationship Id="rId14" Type="http://schemas.openxmlformats.org/officeDocument/2006/relationships/hyperlink" Target="https://modelcontextprotocol.io/specification/2026-07-28/server/tools" TargetMode="External"/><Relationship Id="rId15" Type="http://schemas.openxmlformats.org/officeDocument/2006/relationships/hyperlink" Target="https://a2a-protocol.org/latest/blog/2026/03/12/a2a-protocol-ships-v10-production-ready-standard-for-agent-to-agent-communication/" TargetMode="External"/><Relationship Id="rId16" Type="http://schemas.openxmlformats.org/officeDocument/2006/relationships/hyperlink" Target="https://a2a-protocol.org/latest/specification/" TargetMode="External"/><Relationship Id="rId17" Type="http://schemas.openxmlformats.org/officeDocument/2006/relationships/hyperlink" Target="https://www.nist.gov/artificial-intelligence/ai-agent-standards-initiative" TargetMode="External"/><Relationship Id="rId18" Type="http://schemas.openxmlformats.org/officeDocument/2006/relationships/hyperlink" Target="https://www.nccoe.nist.gov/sites/default/files/2026-02/accelerating-the-adoption-of-software-and-ai-agent-identity-and-authorization-concept-paper.pdf" TargetMode="External"/><Relationship Id="rId19" Type="http://schemas.openxmlformats.org/officeDocument/2006/relationships/hyperlink" Target="https://www.ietf.org/archive/id/draft-agentic-ai-usecases-requirements-02.html" TargetMode="External"/><Relationship Id="rId20" Type="http://schemas.openxmlformats.org/officeDocument/2006/relationships/hyperlink" Target="https://datatracker.ietf.org/doc/draft-klrc-aiagent-auth/" TargetMode="External"/><Relationship Id="rId21" Type="http://schemas.openxmlformats.org/officeDocument/2006/relationships/hyperlink" Target="https://www.ietf.org/archive/id/draft-daniel-ai-agent-internet-architecture-00.html" TargetMode="External"/><Relationship Id="rId22" Type="http://schemas.openxmlformats.org/officeDocument/2006/relationships/hyperlink" Target="https://docs.agntcy.org/oasf/open-agentic-schema-framework/" TargetMode="External"/><Relationship Id="rId23" Type="http://schemas.openxmlformats.org/officeDocument/2006/relationships/hyperlink" Target="https://dir.agntcy.org/latest/dir/dir-overview/" TargetMode="External"/><Relationship Id="rId24" Type="http://schemas.openxmlformats.org/officeDocument/2006/relationships/hyperlink" Target="https://spec.identity.agntcy.org/docs/intro/" TargetMode="External"/><Relationship Id="rId25" Type="http://schemas.openxmlformats.org/officeDocument/2006/relationships/hyperlink" Target="https://spec.openapis.org/oas/latest.html" TargetMode="External"/><Relationship Id="rId26" Type="http://schemas.openxmlformats.org/officeDocument/2006/relationships/hyperlink" Target="https://www.asyncapi.com/docs/reference/specification/v3.1.0" TargetMode="External"/><Relationship Id="rId27" Type="http://schemas.openxmlformats.org/officeDocument/2006/relationships/hyperlink" Target="https://github.com/cloudevents/spec/blob/main/cloudevents/spec.md" TargetMode="External"/><Relationship Id="rId28" Type="http://schemas.openxmlformats.org/officeDocument/2006/relationships/hyperlink" Target="https://json-schema.org/draft/2020-12" TargetMode="External"/><Relationship Id="rId29" Type="http://schemas.openxmlformats.org/officeDocument/2006/relationships/hyperlink" Target="https://www.rfc-editor.org/rfc/rfc9396.html" TargetMode="External"/><Relationship Id="rId30" Type="http://schemas.openxmlformats.org/officeDocument/2006/relationships/hyperlink" Target="https://spiffe.io/docs/latest/spiffe-specs/" TargetMode="External"/><Relationship Id="rId31" Type="http://schemas.openxmlformats.org/officeDocument/2006/relationships/hyperlink" Target="https://www.w3.org/TR/vc-data-model-2.0/" TargetMode="External"/><Relationship Id="rId32" Type="http://schemas.openxmlformats.org/officeDocument/2006/relationships/hyperlink" Target="https://www.w3.org/TR/prov-overview/" TargetMode="External"/><Relationship Id="rId33" Type="http://schemas.openxmlformats.org/officeDocument/2006/relationships/hyperlink" Target="https://www.w3.org/TR/trace-context/" TargetMode="External"/><Relationship Id="rId34" Type="http://schemas.openxmlformats.org/officeDocument/2006/relationships/hyperlink" Target="https://opentelemetry.io/docs/specs/semconv/" TargetMode="External"/><Relationship Id="rId35" Type="http://schemas.openxmlformats.org/officeDocument/2006/relationships/hyperlink" Target="https://in-toto.io/" TargetMode="External"/><Relationship Id="rId36" Type="http://schemas.openxmlformats.org/officeDocument/2006/relationships/hyperlink" Target="https://genai.owasp.org/resource/agent-control-standard-acs/" TargetMode="External"/><Relationship Id="rId37" Type="http://schemas.openxmlformats.org/officeDocument/2006/relationships/hyperlink" Target="https://cloud.google.com/blog/products/ai-machine-learning/announcing-agents-to-payments-ap2-protocol" TargetMode="External"/><Relationship Id="rId38" Type="http://schemas.openxmlformats.org/officeDocument/2006/relationships/hyperlink" Target="https://genai.owasp.org/resource/owasp-top-10-for-agentic-applications-for-2026/" TargetMode="External"/><Relationship Id="rId39" Type="http://schemas.openxmlformats.org/officeDocument/2006/relationships/hyperlink" Target="https://www.nist.gov/publications/artificial-intelligence-risk-management-framework-generative-artificial-intelligence" TargetMode="External"/><Relationship Id="rId40" Type="http://schemas.openxmlformats.org/officeDocument/2006/relationships/hyperlink" Target="https://www.iso.org/standard/4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Standardized Agentic Protocol for CELL OS</dc:title>
  <dc:subject>Deep research decision brief on agent interoperability, governance, and assurance</dc:subject>
  <dc:creator>OpenAI — research synthesis</dc:creator>
  <cp:keywords>CELL OS, agentic protocol, MCP, A2A, governance, provenance</cp:keywords>
  <dc:description>generated by python-docx</dc:description>
  <cp:lastModifiedBy/>
  <cp:revision>1</cp:revision>
  <dcterms:created xsi:type="dcterms:W3CDTF">2013-12-23T23:15:00Z</dcterms:created>
  <dcterms:modified xsi:type="dcterms:W3CDTF">2013-12-23T23:15:00Z</dcterms:modified>
  <cp:category/>
</cp:coreProperties>
</file>