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00"/>
        <w:jc w:val="center"/>
      </w:pPr>
      <w:r>
        <w:rPr>
          <w:rFonts w:ascii="Calibri" w:hAnsi="Calibri"/>
          <w:b/>
          <w:color w:val="7A5A00"/>
          <w:sz w:val="21"/>
        </w:rPr>
        <w:t>TECHNICAL RESEARCH REPORT</w:t>
      </w:r>
    </w:p>
    <w:p>
      <w:pPr>
        <w:spacing w:after="200"/>
        <w:jc w:val="center"/>
      </w:pPr>
      <w:r>
        <w:rPr>
          <w:rFonts w:ascii="Calibri" w:hAnsi="Calibri"/>
          <w:b/>
          <w:color w:val="0B2545"/>
          <w:sz w:val="58"/>
        </w:rPr>
        <w:t>CELL//OS Futures Quant</w:t>
        <w:br/>
        <w:t>Research Platform</w:t>
      </w:r>
    </w:p>
    <w:p>
      <w:pPr>
        <w:spacing w:after="480"/>
        <w:jc w:val="center"/>
      </w:pPr>
      <w:r>
        <w:rPr>
          <w:rFonts w:ascii="Calibri" w:hAnsi="Calibri"/>
          <w:i/>
          <w:color w:val="1F4D78"/>
          <w:sz w:val="28"/>
        </w:rPr>
        <w:t>Architecture, evidence protocol, and a simulation-only operating model</w:t>
      </w:r>
    </w:p>
    <w:p>
      <w:pPr>
        <w:spacing w:before="80" w:after="520"/>
        <w:pBdr>
          <w:bottom w:val="single" w:sz="18" w:space="1" w:color="2E74B5"/>
        </w:pBdr>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2100"/>
        <w:gridCol w:w="7260"/>
      </w:tblGrid>
      <w:tr>
        <w:tc>
          <w:tcPr>
            <w:tcW w:type="dxa" w:w="2100"/>
            <w:tcMar>
              <w:top w:w="80" w:type="dxa"/>
              <w:start w:w="120" w:type="dxa"/>
              <w:bottom w:w="80" w:type="dxa"/>
              <w:end w:w="120" w:type="dxa"/>
            </w:tcMar>
            <w:shd w:fill="E8EEF5"/>
            <w:vAlign w:val="center"/>
          </w:tcPr>
          <w:p>
            <w:pPr>
              <w:pStyle w:val="CELLQTableText"/>
              <w:spacing w:after="60"/>
            </w:pPr>
            <w:r>
              <w:rPr>
                <w:rFonts w:ascii="Calibri" w:hAnsi="Calibri"/>
                <w:b/>
                <w:color w:val="0B2545"/>
                <w:sz w:val="17"/>
              </w:rPr>
              <w:t>RESEARCH DATE</w:t>
            </w:r>
          </w:p>
        </w:tc>
        <w:tc>
          <w:tcPr>
            <w:tcW w:type="dxa" w:w="7260"/>
            <w:tcMar>
              <w:top w:w="80" w:type="dxa"/>
              <w:start w:w="120" w:type="dxa"/>
              <w:bottom w:w="80" w:type="dxa"/>
              <w:end w:w="120" w:type="dxa"/>
            </w:tcMar>
            <w:vAlign w:val="center"/>
          </w:tcPr>
          <w:p>
            <w:pPr>
              <w:pStyle w:val="CELLQTableText"/>
              <w:spacing w:after="60"/>
            </w:pPr>
            <w:r>
              <w:rPr>
                <w:rFonts w:ascii="Calibri" w:hAnsi="Calibri"/>
                <w:b w:val="0"/>
                <w:color w:val="1A2733"/>
                <w:sz w:val="18"/>
              </w:rPr>
              <w:t>4 September 2026</w:t>
            </w:r>
          </w:p>
        </w:tc>
      </w:tr>
      <w:tr>
        <w:tc>
          <w:tcPr>
            <w:tcW w:type="dxa" w:w="2100"/>
            <w:tcMar>
              <w:top w:w="80" w:type="dxa"/>
              <w:start w:w="120" w:type="dxa"/>
              <w:bottom w:w="80" w:type="dxa"/>
              <w:end w:w="120" w:type="dxa"/>
            </w:tcMar>
            <w:shd w:fill="E8EEF5"/>
            <w:vAlign w:val="center"/>
          </w:tcPr>
          <w:p>
            <w:pPr>
              <w:pStyle w:val="CELLQTableText"/>
              <w:spacing w:after="60"/>
            </w:pPr>
            <w:r>
              <w:rPr>
                <w:rFonts w:ascii="Calibri" w:hAnsi="Calibri"/>
                <w:b/>
                <w:color w:val="0B2545"/>
                <w:sz w:val="17"/>
              </w:rPr>
              <w:t>REFERENCE BUILD</w:t>
            </w:r>
          </w:p>
        </w:tc>
        <w:tc>
          <w:tcPr>
            <w:tcW w:type="dxa" w:w="7260"/>
            <w:tcMar>
              <w:top w:w="80" w:type="dxa"/>
              <w:start w:w="120" w:type="dxa"/>
              <w:bottom w:w="80" w:type="dxa"/>
              <w:end w:w="120" w:type="dxa"/>
            </w:tcMar>
            <w:vAlign w:val="center"/>
          </w:tcPr>
          <w:p>
            <w:pPr>
              <w:pStyle w:val="CELLQTableText"/>
              <w:spacing w:after="60"/>
            </w:pPr>
            <w:r>
              <w:rPr>
                <w:rFonts w:ascii="Calibri" w:hAnsi="Calibri"/>
                <w:b w:val="0"/>
                <w:color w:val="1A2733"/>
                <w:sz w:val="18"/>
              </w:rPr>
              <w:t>Solo builder · Python + Rust · 12 weeks</w:t>
            </w:r>
          </w:p>
        </w:tc>
      </w:tr>
      <w:tr>
        <w:tc>
          <w:tcPr>
            <w:tcW w:type="dxa" w:w="2100"/>
            <w:tcMar>
              <w:top w:w="80" w:type="dxa"/>
              <w:start w:w="120" w:type="dxa"/>
              <w:bottom w:w="80" w:type="dxa"/>
              <w:end w:w="120" w:type="dxa"/>
            </w:tcMar>
            <w:shd w:fill="E8EEF5"/>
            <w:vAlign w:val="center"/>
          </w:tcPr>
          <w:p>
            <w:pPr>
              <w:pStyle w:val="CELLQTableText"/>
              <w:spacing w:after="60"/>
            </w:pPr>
            <w:r>
              <w:rPr>
                <w:rFonts w:ascii="Calibri" w:hAnsi="Calibri"/>
                <w:b/>
                <w:color w:val="0B2545"/>
                <w:sz w:val="17"/>
              </w:rPr>
              <w:t>RESEARCH SCOPE</w:t>
            </w:r>
          </w:p>
        </w:tc>
        <w:tc>
          <w:tcPr>
            <w:tcW w:type="dxa" w:w="7260"/>
            <w:tcMar>
              <w:top w:w="80" w:type="dxa"/>
              <w:start w:w="120" w:type="dxa"/>
              <w:bottom w:w="80" w:type="dxa"/>
              <w:end w:w="120" w:type="dxa"/>
            </w:tcMar>
            <w:vAlign w:val="center"/>
          </w:tcPr>
          <w:p>
            <w:pPr>
              <w:pStyle w:val="CELLQTableText"/>
              <w:spacing w:after="60"/>
            </w:pPr>
            <w:r>
              <w:rPr>
                <w:rFonts w:ascii="Calibri" w:hAnsi="Calibri"/>
                <w:b w:val="0"/>
                <w:color w:val="1A2733"/>
                <w:sz w:val="18"/>
              </w:rPr>
              <w:t>NQ/MNQ-style intraday data; historical, synthetic, and paper environments only</w:t>
            </w:r>
          </w:p>
        </w:tc>
      </w:tr>
      <w:tr>
        <w:tc>
          <w:tcPr>
            <w:tcW w:type="dxa" w:w="2100"/>
            <w:tcMar>
              <w:top w:w="80" w:type="dxa"/>
              <w:start w:w="120" w:type="dxa"/>
              <w:bottom w:w="80" w:type="dxa"/>
              <w:end w:w="120" w:type="dxa"/>
            </w:tcMar>
            <w:shd w:fill="E8EEF5"/>
            <w:vAlign w:val="center"/>
          </w:tcPr>
          <w:p>
            <w:pPr>
              <w:pStyle w:val="CELLQTableText"/>
              <w:spacing w:after="60"/>
            </w:pPr>
            <w:r>
              <w:rPr>
                <w:rFonts w:ascii="Calibri" w:hAnsi="Calibri"/>
                <w:b/>
                <w:color w:val="0B2545"/>
                <w:sz w:val="17"/>
              </w:rPr>
              <w:t>EVIDENCE STATUS</w:t>
            </w:r>
          </w:p>
        </w:tc>
        <w:tc>
          <w:tcPr>
            <w:tcW w:type="dxa" w:w="7260"/>
            <w:tcMar>
              <w:top w:w="80" w:type="dxa"/>
              <w:start w:w="120" w:type="dxa"/>
              <w:bottom w:w="80" w:type="dxa"/>
              <w:end w:w="120" w:type="dxa"/>
            </w:tcMar>
            <w:vAlign w:val="center"/>
          </w:tcPr>
          <w:p>
            <w:pPr>
              <w:pStyle w:val="CELLQTableText"/>
              <w:spacing w:after="60"/>
            </w:pPr>
            <w:r>
              <w:rPr>
                <w:rFonts w:ascii="Calibri" w:hAnsi="Calibri"/>
                <w:b w:val="0"/>
                <w:color w:val="1A2733"/>
                <w:sz w:val="18"/>
              </w:rPr>
              <w:t>Primary-source-led; dynamic claims date-stamped; gaps explicit</w:t>
            </w:r>
          </w:p>
        </w:tc>
      </w:tr>
    </w:tbl>
    <w:p>
      <w:pPr>
        <w:pStyle w:val="CELLQCallout"/>
        <w:spacing w:before="560"/>
        <w:shd w:fill="FFF8E8"/>
        <w:pBdr>
          <w:left w:val="single" w:sz="18" w:space="7" w:color="7A5A00"/>
        </w:pBdr>
      </w:pPr>
      <w:r>
        <w:rPr>
          <w:rFonts w:ascii="Calibri" w:hAnsi="Calibri"/>
          <w:b/>
          <w:color w:val="0B2545"/>
          <w:sz w:val="19"/>
        </w:rPr>
        <w:t>SIMULATION-ONLY BOUNDARY — This report excludes account opening, brokerage credentials, live routing, real-money execution, payout optimization, and buy/sell recommendations. Commercial rules appear only as a software-governance case study.</w:t>
      </w:r>
    </w:p>
    <w:p>
      <w:pPr>
        <w:spacing w:before="480" w:after="0"/>
        <w:jc w:val="center"/>
      </w:pPr>
      <w:r>
        <w:rPr>
          <w:rFonts w:ascii="Calibri" w:hAnsi="Calibri"/>
          <w:color w:val="5D6874"/>
          <w:sz w:val="19"/>
        </w:rPr>
        <w:t>Prepared for the CELL//OS Domain Plane</w:t>
      </w:r>
      <w:r>
        <w:br w:type="page"/>
      </w:r>
    </w:p>
    <w:p>
      <w:pPr>
        <w:pStyle w:val="Heading1"/>
        <w:spacing w:before="0"/>
      </w:pPr>
      <w:r>
        <w:t>Contents</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00"/>
        <w:gridCol w:w="8460"/>
      </w:tblGrid>
      <w:tr>
        <w:tc>
          <w:tcPr>
            <w:tcW w:type="dxa" w:w="900"/>
            <w:tcMar>
              <w:top w:w="80" w:type="dxa"/>
              <w:start w:w="120" w:type="dxa"/>
              <w:bottom w:w="80" w:type="dxa"/>
              <w:end w:w="120" w:type="dxa"/>
            </w:tcMar>
            <w:shd w:fill="0B2545"/>
            <w:vAlign w:val="center"/>
          </w:tcPr>
          <w:p>
            <w:pPr>
              <w:pStyle w:val="CELLQTableText"/>
              <w:jc w:val="center"/>
            </w:pPr>
            <w:r>
              <w:rPr>
                <w:rFonts w:ascii="Calibri" w:hAnsi="Calibri"/>
                <w:b/>
                <w:color w:val="FFFFFF"/>
                <w:sz w:val="21"/>
              </w:rPr>
              <w:t>1</w:t>
            </w:r>
          </w:p>
        </w:tc>
        <w:tc>
          <w:tcPr>
            <w:tcW w:type="dxa" w:w="8460"/>
            <w:tcMar>
              <w:top w:w="80" w:type="dxa"/>
              <w:start w:w="120" w:type="dxa"/>
              <w:bottom w:w="80" w:type="dxa"/>
              <w:end w:w="120" w:type="dxa"/>
            </w:tcMar>
          </w:tcPr>
          <w:p>
            <w:pPr>
              <w:pStyle w:val="CELLQTableText"/>
            </w:pPr>
            <w:r>
              <w:rPr>
                <w:rFonts w:ascii="Calibri" w:hAnsi="Calibri"/>
                <w:b/>
                <w:color w:val="0B2545"/>
                <w:sz w:val="20"/>
              </w:rPr>
              <w:t>Data pipelines a systematic futures research desk runs</w:t>
            </w:r>
          </w:p>
        </w:tc>
      </w:tr>
      <w:tr>
        <w:tc>
          <w:tcPr>
            <w:tcW w:type="dxa" w:w="900"/>
            <w:tcMar>
              <w:top w:w="80" w:type="dxa"/>
              <w:start w:w="120" w:type="dxa"/>
              <w:bottom w:w="80" w:type="dxa"/>
              <w:end w:w="120" w:type="dxa"/>
            </w:tcMar>
            <w:shd w:fill="2E74B5"/>
            <w:vAlign w:val="center"/>
          </w:tcPr>
          <w:p>
            <w:pPr>
              <w:pStyle w:val="CELLQTableText"/>
              <w:jc w:val="center"/>
            </w:pPr>
            <w:r>
              <w:rPr>
                <w:rFonts w:ascii="Calibri" w:hAnsi="Calibri"/>
                <w:b/>
                <w:color w:val="FFFFFF"/>
                <w:sz w:val="21"/>
              </w:rPr>
              <w:t>2</w:t>
            </w:r>
          </w:p>
        </w:tc>
        <w:tc>
          <w:tcPr>
            <w:tcW w:type="dxa" w:w="8460"/>
            <w:tcMar>
              <w:top w:w="80" w:type="dxa"/>
              <w:start w:w="120" w:type="dxa"/>
              <w:bottom w:w="80" w:type="dxa"/>
              <w:end w:w="120" w:type="dxa"/>
            </w:tcMar>
          </w:tcPr>
          <w:p>
            <w:pPr>
              <w:pStyle w:val="CELLQTableText"/>
            </w:pPr>
            <w:r>
              <w:rPr>
                <w:rFonts w:ascii="Calibri" w:hAnsi="Calibri"/>
                <w:b/>
                <w:color w:val="0B2545"/>
                <w:sz w:val="20"/>
              </w:rPr>
              <w:t>Model types, categorized by use case</w:t>
            </w:r>
          </w:p>
        </w:tc>
      </w:tr>
      <w:tr>
        <w:tc>
          <w:tcPr>
            <w:tcW w:type="dxa" w:w="900"/>
            <w:tcMar>
              <w:top w:w="80" w:type="dxa"/>
              <w:start w:w="120" w:type="dxa"/>
              <w:bottom w:w="80" w:type="dxa"/>
              <w:end w:w="120" w:type="dxa"/>
            </w:tcMar>
            <w:shd w:fill="0B2545"/>
            <w:vAlign w:val="center"/>
          </w:tcPr>
          <w:p>
            <w:pPr>
              <w:pStyle w:val="CELLQTableText"/>
              <w:jc w:val="center"/>
            </w:pPr>
            <w:r>
              <w:rPr>
                <w:rFonts w:ascii="Calibri" w:hAnsi="Calibri"/>
                <w:b/>
                <w:color w:val="FFFFFF"/>
                <w:sz w:val="21"/>
              </w:rPr>
              <w:t>3</w:t>
            </w:r>
          </w:p>
        </w:tc>
        <w:tc>
          <w:tcPr>
            <w:tcW w:type="dxa" w:w="8460"/>
            <w:tcMar>
              <w:top w:w="80" w:type="dxa"/>
              <w:start w:w="120" w:type="dxa"/>
              <w:bottom w:w="80" w:type="dxa"/>
              <w:end w:w="120" w:type="dxa"/>
            </w:tcMar>
          </w:tcPr>
          <w:p>
            <w:pPr>
              <w:pStyle w:val="CELLQTableText"/>
            </w:pPr>
            <w:r>
              <w:rPr>
                <w:rFonts w:ascii="Calibri" w:hAnsi="Calibri"/>
                <w:b/>
                <w:color w:val="0B2545"/>
                <w:sz w:val="20"/>
              </w:rPr>
              <w:t>Optimization and validation protocol, in strict order</w:t>
            </w:r>
          </w:p>
        </w:tc>
      </w:tr>
      <w:tr>
        <w:tc>
          <w:tcPr>
            <w:tcW w:type="dxa" w:w="900"/>
            <w:tcMar>
              <w:top w:w="80" w:type="dxa"/>
              <w:start w:w="120" w:type="dxa"/>
              <w:bottom w:w="80" w:type="dxa"/>
              <w:end w:w="120" w:type="dxa"/>
            </w:tcMar>
            <w:shd w:fill="2E74B5"/>
            <w:vAlign w:val="center"/>
          </w:tcPr>
          <w:p>
            <w:pPr>
              <w:pStyle w:val="CELLQTableText"/>
              <w:jc w:val="center"/>
            </w:pPr>
            <w:r>
              <w:rPr>
                <w:rFonts w:ascii="Calibri" w:hAnsi="Calibri"/>
                <w:b/>
                <w:color w:val="FFFFFF"/>
                <w:sz w:val="21"/>
              </w:rPr>
              <w:t>4</w:t>
            </w:r>
          </w:p>
        </w:tc>
        <w:tc>
          <w:tcPr>
            <w:tcW w:type="dxa" w:w="8460"/>
            <w:tcMar>
              <w:top w:w="80" w:type="dxa"/>
              <w:start w:w="120" w:type="dxa"/>
              <w:bottom w:w="80" w:type="dxa"/>
              <w:end w:w="120" w:type="dxa"/>
            </w:tcMar>
          </w:tcPr>
          <w:p>
            <w:pPr>
              <w:pStyle w:val="CELLQTableText"/>
            </w:pPr>
            <w:r>
              <w:rPr>
                <w:rFonts w:ascii="Calibri" w:hAnsi="Calibri"/>
                <w:b/>
                <w:color w:val="0B2545"/>
                <w:sz w:val="20"/>
              </w:rPr>
              <w:t>Feature engineering, ranking, and selection</w:t>
            </w:r>
          </w:p>
        </w:tc>
      </w:tr>
      <w:tr>
        <w:tc>
          <w:tcPr>
            <w:tcW w:type="dxa" w:w="900"/>
            <w:tcMar>
              <w:top w:w="80" w:type="dxa"/>
              <w:start w:w="120" w:type="dxa"/>
              <w:bottom w:w="80" w:type="dxa"/>
              <w:end w:w="120" w:type="dxa"/>
            </w:tcMar>
            <w:shd w:fill="0B2545"/>
            <w:vAlign w:val="center"/>
          </w:tcPr>
          <w:p>
            <w:pPr>
              <w:pStyle w:val="CELLQTableText"/>
              <w:jc w:val="center"/>
            </w:pPr>
            <w:r>
              <w:rPr>
                <w:rFonts w:ascii="Calibri" w:hAnsi="Calibri"/>
                <w:b/>
                <w:color w:val="FFFFFF"/>
                <w:sz w:val="21"/>
              </w:rPr>
              <w:t>5</w:t>
            </w:r>
          </w:p>
        </w:tc>
        <w:tc>
          <w:tcPr>
            <w:tcW w:type="dxa" w:w="8460"/>
            <w:tcMar>
              <w:top w:w="80" w:type="dxa"/>
              <w:start w:w="120" w:type="dxa"/>
              <w:bottom w:w="80" w:type="dxa"/>
              <w:end w:w="120" w:type="dxa"/>
            </w:tcMar>
          </w:tcPr>
          <w:p>
            <w:pPr>
              <w:pStyle w:val="CELLQTableText"/>
            </w:pPr>
            <w:r>
              <w:rPr>
                <w:rFonts w:ascii="Calibri" w:hAnsi="Calibri"/>
                <w:b/>
                <w:color w:val="0B2545"/>
                <w:sz w:val="20"/>
              </w:rPr>
              <w:t>Backtesting, execution simulation, and connectivity boundaries</w:t>
            </w:r>
          </w:p>
        </w:tc>
      </w:tr>
      <w:tr>
        <w:tc>
          <w:tcPr>
            <w:tcW w:type="dxa" w:w="900"/>
            <w:tcMar>
              <w:top w:w="80" w:type="dxa"/>
              <w:start w:w="120" w:type="dxa"/>
              <w:bottom w:w="80" w:type="dxa"/>
              <w:end w:w="120" w:type="dxa"/>
            </w:tcMar>
            <w:shd w:fill="2E74B5"/>
            <w:vAlign w:val="center"/>
          </w:tcPr>
          <w:p>
            <w:pPr>
              <w:pStyle w:val="CELLQTableText"/>
              <w:jc w:val="center"/>
            </w:pPr>
            <w:r>
              <w:rPr>
                <w:rFonts w:ascii="Calibri" w:hAnsi="Calibri"/>
                <w:b/>
                <w:color w:val="FFFFFF"/>
                <w:sz w:val="21"/>
              </w:rPr>
              <w:t>6</w:t>
            </w:r>
          </w:p>
        </w:tc>
        <w:tc>
          <w:tcPr>
            <w:tcW w:type="dxa" w:w="8460"/>
            <w:tcMar>
              <w:top w:w="80" w:type="dxa"/>
              <w:start w:w="120" w:type="dxa"/>
              <w:bottom w:w="80" w:type="dxa"/>
              <w:end w:w="120" w:type="dxa"/>
            </w:tcMar>
          </w:tcPr>
          <w:p>
            <w:pPr>
              <w:pStyle w:val="CELLQTableText"/>
            </w:pPr>
            <w:r>
              <w:rPr>
                <w:rFonts w:ascii="Calibri" w:hAnsi="Calibri"/>
                <w:b/>
                <w:color w:val="0B2545"/>
                <w:sz w:val="20"/>
              </w:rPr>
              <w:t>Public evaluation-firm rules as a governance case study</w:t>
            </w:r>
          </w:p>
        </w:tc>
      </w:tr>
      <w:tr>
        <w:tc>
          <w:tcPr>
            <w:tcW w:type="dxa" w:w="900"/>
            <w:tcMar>
              <w:top w:w="80" w:type="dxa"/>
              <w:start w:w="120" w:type="dxa"/>
              <w:bottom w:w="80" w:type="dxa"/>
              <w:end w:w="120" w:type="dxa"/>
            </w:tcMar>
            <w:shd w:fill="0B2545"/>
            <w:vAlign w:val="center"/>
          </w:tcPr>
          <w:p>
            <w:pPr>
              <w:pStyle w:val="CELLQTableText"/>
              <w:jc w:val="center"/>
            </w:pPr>
            <w:r>
              <w:rPr>
                <w:rFonts w:ascii="Calibri" w:hAnsi="Calibri"/>
                <w:b/>
                <w:color w:val="FFFFFF"/>
                <w:sz w:val="21"/>
              </w:rPr>
              <w:t>7</w:t>
            </w:r>
          </w:p>
        </w:tc>
        <w:tc>
          <w:tcPr>
            <w:tcW w:type="dxa" w:w="8460"/>
            <w:tcMar>
              <w:top w:w="80" w:type="dxa"/>
              <w:start w:w="120" w:type="dxa"/>
              <w:bottom w:w="80" w:type="dxa"/>
              <w:end w:w="120" w:type="dxa"/>
            </w:tcMar>
          </w:tcPr>
          <w:p>
            <w:pPr>
              <w:pStyle w:val="CELLQTableText"/>
            </w:pPr>
            <w:r>
              <w:rPr>
                <w:rFonts w:ascii="Calibri" w:hAnsi="Calibri"/>
                <w:b/>
                <w:color w:val="0B2545"/>
                <w:sz w:val="20"/>
              </w:rPr>
              <w:t>Agentic architecture on CELL//OS</w:t>
            </w:r>
          </w:p>
        </w:tc>
      </w:tr>
      <w:tr>
        <w:tc>
          <w:tcPr>
            <w:tcW w:type="dxa" w:w="900"/>
            <w:tcMar>
              <w:top w:w="80" w:type="dxa"/>
              <w:start w:w="120" w:type="dxa"/>
              <w:bottom w:w="80" w:type="dxa"/>
              <w:end w:w="120" w:type="dxa"/>
            </w:tcMar>
            <w:shd w:fill="2E74B5"/>
            <w:vAlign w:val="center"/>
          </w:tcPr>
          <w:p>
            <w:pPr>
              <w:pStyle w:val="CELLQTableText"/>
              <w:jc w:val="center"/>
            </w:pPr>
            <w:r>
              <w:rPr>
                <w:rFonts w:ascii="Calibri" w:hAnsi="Calibri"/>
                <w:b/>
                <w:color w:val="FFFFFF"/>
                <w:sz w:val="21"/>
              </w:rPr>
              <w:t>8</w:t>
            </w:r>
          </w:p>
        </w:tc>
        <w:tc>
          <w:tcPr>
            <w:tcW w:type="dxa" w:w="8460"/>
            <w:tcMar>
              <w:top w:w="80" w:type="dxa"/>
              <w:start w:w="120" w:type="dxa"/>
              <w:bottom w:w="80" w:type="dxa"/>
              <w:end w:w="120" w:type="dxa"/>
            </w:tcMar>
          </w:tcPr>
          <w:p>
            <w:pPr>
              <w:pStyle w:val="CELLQTableText"/>
            </w:pPr>
            <w:r>
              <w:rPr>
                <w:rFonts w:ascii="Calibri" w:hAnsi="Calibri"/>
                <w:b/>
                <w:color w:val="0B2545"/>
                <w:sz w:val="20"/>
              </w:rPr>
              <w:t>Gaps, warnings, and features to add</w:t>
            </w:r>
          </w:p>
        </w:tc>
      </w:tr>
    </w:tbl>
    <w:p>
      <w:pPr>
        <w:pStyle w:val="CELLQCallout"/>
        <w:shd w:fill="F4F6F9"/>
        <w:pBdr>
          <w:left w:val="single" w:sz="18" w:space="7" w:color="2E74B5"/>
        </w:pBdr>
      </w:pPr>
      <w:r>
        <w:rPr>
          <w:rFonts w:ascii="Calibri" w:hAnsi="Calibri"/>
          <w:b w:val="0"/>
          <w:color w:val="0B2545"/>
          <w:sz w:val="19"/>
        </w:rPr>
        <w:t>How to read: Established = mature theory and broad operational precedent. Promising = credible research without persuasive live futures evidence. Hype = claim strength exceeds reproducible, cost-aware, out-of-sample evidence.</w:t>
      </w:r>
    </w:p>
    <w:p>
      <w:r>
        <w:br w:type="page"/>
      </w:r>
    </w:p>
    <w:p>
      <w:pPr>
        <w:pStyle w:val="Heading1"/>
      </w:pPr>
      <w:r>
        <w:t>Executive findings</w:t>
      </w:r>
    </w:p>
    <w:p>
      <w:r>
        <w:rPr>
          <w:rFonts w:ascii="Calibri" w:hAnsi="Calibri"/>
          <w:b w:val="0"/>
          <w:color w:val="1A2733"/>
        </w:rPr>
        <w:t>The decisive design choice is not the forecasting model. It is whether CELL//OS can prove, after the fact, exactly what was known, which code and data produced a decision, which alternatives were tried, and why an artifact was promoted. A futures research platform that cannot reconstruct those facts is an experiment notebook with an execution-shaped user interface. The recommended CELL-Q Domain Plane therefore makes six controls non-negotiable.</w:t>
      </w:r>
    </w:p>
    <w:p>
      <w:pPr>
        <w:pStyle w:val="ListNumber"/>
        <w:numPr>
          <w:ilvl w:val="0"/>
          <w:numId w:val="9200"/>
        </w:numPr>
      </w:pPr>
      <w:r>
        <w:rPr>
          <w:rFonts w:ascii="Calibri" w:hAnsi="Calibri"/>
          <w:b/>
          <w:color w:val="1A2733"/>
        </w:rPr>
        <w:t>Bitemporal evidence is a platform invariant.</w:t>
      </w:r>
      <w:r>
        <w:rPr>
          <w:rFonts w:ascii="Calibri" w:hAnsi="Calibri"/>
          <w:b w:val="0"/>
          <w:color w:val="1A2733"/>
        </w:rPr>
        <w:t xml:space="preserve"> Every observation has an event or valid time and a system or knowledge time; revisable series also carry a vintage. Any feature query that cannot enforce </w:t>
      </w:r>
      <w:r>
        <w:rPr>
          <w:rFonts w:ascii="Liberation Mono" w:hAnsi="Liberation Mono"/>
          <w:color w:val="0B2545"/>
          <w:sz w:val="19"/>
          <w:shd w:fill="F2F4F7"/>
        </w:rPr>
        <w:t>known_at &lt;= decision_at</w:t>
      </w:r>
      <w:r>
        <w:rPr>
          <w:rFonts w:ascii="Calibri" w:hAnsi="Calibri"/>
          <w:b w:val="0"/>
          <w:color w:val="1A2733"/>
        </w:rPr>
        <w:t xml:space="preserve"> is rejected before a backtest starts.</w:t>
      </w:r>
    </w:p>
    <w:p>
      <w:pPr>
        <w:pStyle w:val="ListNumber"/>
        <w:numPr>
          <w:ilvl w:val="0"/>
          <w:numId w:val="9200"/>
        </w:numPr>
      </w:pPr>
      <w:r>
        <w:rPr>
          <w:rFonts w:ascii="Calibri" w:hAnsi="Calibri"/>
          <w:b/>
          <w:color w:val="1A2733"/>
        </w:rPr>
        <w:t>Tradable contracts are canonical; continuous contracts are derived views.</w:t>
      </w:r>
      <w:r>
        <w:rPr>
          <w:rFonts w:ascii="Calibri" w:hAnsi="Calibri"/>
          <w:b w:val="0"/>
          <w:color w:val="1A2733"/>
        </w:rPr>
        <w:t xml:space="preserve"> Rolls, adjustments, and symbol mappings are versioned transformations. The underlying contract records remain immutable.</w:t>
      </w:r>
    </w:p>
    <w:p>
      <w:pPr>
        <w:pStyle w:val="ListNumber"/>
        <w:numPr>
          <w:ilvl w:val="0"/>
          <w:numId w:val="9200"/>
        </w:numPr>
      </w:pPr>
      <w:r>
        <w:rPr>
          <w:rFonts w:ascii="Calibri" w:hAnsi="Calibri"/>
          <w:b/>
          <w:color w:val="1A2733"/>
        </w:rPr>
        <w:t>Research has a budget and a firewall.</w:t>
      </w:r>
      <w:r>
        <w:rPr>
          <w:rFonts w:ascii="Calibri" w:hAnsi="Calibri"/>
          <w:b w:val="0"/>
          <w:color w:val="1A2733"/>
        </w:rPr>
        <w:t xml:space="preserve"> Hypotheses, acceptance metrics, costs, data cuts, and the maximum number of adaptive trials are registered before evaluation. Generators cannot inspect hidden holdouts or receive path-level feedback from them.</w:t>
      </w:r>
    </w:p>
    <w:p>
      <w:pPr>
        <w:pStyle w:val="ListNumber"/>
        <w:numPr>
          <w:ilvl w:val="0"/>
          <w:numId w:val="9200"/>
        </w:numPr>
      </w:pPr>
      <w:r>
        <w:rPr>
          <w:rFonts w:ascii="Calibri" w:hAnsi="Calibri"/>
          <w:b/>
          <w:color w:val="1A2733"/>
        </w:rPr>
        <w:t>The simulation path is deterministic and LLM-free.</w:t>
      </w:r>
      <w:r>
        <w:rPr>
          <w:rFonts w:ascii="Calibri" w:hAnsi="Calibri"/>
          <w:b w:val="0"/>
          <w:color w:val="1A2733"/>
        </w:rPr>
        <w:t xml:space="preserve"> Replay, feature materialization, compiled policy evaluation, risk veto, fill simulation, and evidence capture run without an LLM. Language models may help frame hypotheses, write draft code, or structure documents; every output is treated as untrusted input to tests.</w:t>
      </w:r>
    </w:p>
    <w:p>
      <w:pPr>
        <w:pStyle w:val="ListNumber"/>
        <w:numPr>
          <w:ilvl w:val="0"/>
          <w:numId w:val="9200"/>
        </w:numPr>
      </w:pPr>
      <w:r>
        <w:rPr>
          <w:rFonts w:ascii="Calibri" w:hAnsi="Calibri"/>
          <w:b/>
          <w:color w:val="1A2733"/>
        </w:rPr>
        <w:t>Validation is a sequence, not a scorecard.</w:t>
      </w:r>
      <w:r>
        <w:rPr>
          <w:rFonts w:ascii="Calibri" w:hAnsi="Calibri"/>
          <w:b w:val="0"/>
          <w:color w:val="1A2733"/>
        </w:rPr>
        <w:t xml:space="preserve"> Time-respecting cross-validation, selection-bias correction, dependence-aware resampling, policy-conformance testing, robustness tests, and paper/shadow observation occur in order. A later strength cannot compensate for an earlier failure.</w:t>
      </w:r>
    </w:p>
    <w:p>
      <w:pPr>
        <w:pStyle w:val="ListNumber"/>
        <w:numPr>
          <w:ilvl w:val="0"/>
          <w:numId w:val="9200"/>
        </w:numPr>
      </w:pPr>
      <w:r>
        <w:rPr>
          <w:rFonts w:ascii="Calibri" w:hAnsi="Calibri"/>
          <w:b/>
          <w:color w:val="1A2733"/>
        </w:rPr>
        <w:t>CELL//OS owns governance; frameworks remain replaceable.</w:t>
      </w:r>
      <w:r>
        <w:rPr>
          <w:rFonts w:ascii="Calibri" w:hAnsi="Calibri"/>
          <w:b w:val="0"/>
          <w:color w:val="1A2733"/>
        </w:rPr>
        <w:t xml:space="preserve"> The native kernel owns identity, Intent Contracts, Org-IR, WorkGraphs, policy, evidence, registries, Cell Genomes, Cell Images, and promotion. Temporal supplies durable workflow execution; MCP supplies tool contracts; an agent SDK may implement a bounded cognitive worker, but none becomes the system of record.</w:t>
      </w:r>
    </w:p>
    <w:p>
      <w:r>
        <w:rPr>
          <w:rFonts w:ascii="Calibri" w:hAnsi="Calibri"/>
          <w:b w:val="0"/>
          <w:color w:val="1A2733"/>
        </w:rPr>
        <w:t xml:space="preserve">The evidence taxonomy used throughout is: </w:t>
      </w:r>
      <w:r>
        <w:rPr>
          <w:rFonts w:ascii="Calibri" w:hAnsi="Calibri"/>
          <w:b/>
          <w:color w:val="1A2733"/>
        </w:rPr>
        <w:t>Established</w:t>
      </w:r>
      <w:r>
        <w:rPr>
          <w:rFonts w:ascii="Calibri" w:hAnsi="Calibri"/>
          <w:b w:val="0"/>
          <w:color w:val="1A2733"/>
        </w:rPr>
        <w:t xml:space="preserve"> for methods with mature theory and broad operational precedent; </w:t>
      </w:r>
      <w:r>
        <w:rPr>
          <w:rFonts w:ascii="Calibri" w:hAnsi="Calibri"/>
          <w:b/>
          <w:color w:val="1A2733"/>
        </w:rPr>
        <w:t>Promising</w:t>
      </w:r>
      <w:r>
        <w:rPr>
          <w:rFonts w:ascii="Calibri" w:hAnsi="Calibri"/>
          <w:b w:val="0"/>
          <w:color w:val="1A2733"/>
        </w:rPr>
        <w:t xml:space="preserve"> for credible research without persuasive live futures evidence; and </w:t>
      </w:r>
      <w:r>
        <w:rPr>
          <w:rFonts w:ascii="Calibri" w:hAnsi="Calibri"/>
          <w:b/>
          <w:color w:val="1A2733"/>
        </w:rPr>
        <w:t>Hype</w:t>
      </w:r>
      <w:r>
        <w:rPr>
          <w:rFonts w:ascii="Calibri" w:hAnsi="Calibri"/>
          <w:b w:val="0"/>
          <w:color w:val="1A2733"/>
        </w:rPr>
        <w:t xml:space="preserve"> for claims that outrun reproducible, cost-aware, out-of-sample evidence. The distinction is deliberately about the strength of the claim, not the sophistication of the method.</w:t>
      </w:r>
    </w:p>
    <w:p>
      <w:r>
        <w:br w:type="page"/>
      </w:r>
    </w:p>
    <w:p>
      <w:pPr>
        <w:pStyle w:val="Heading1"/>
      </w:pPr>
      <w:r>
        <w:t>1. Data pipelines a systematic futures research desk runs</w:t>
      </w:r>
    </w:p>
    <w:p>
      <w:pPr>
        <w:pStyle w:val="Heading2"/>
      </w:pPr>
      <w:r>
        <w:t>1.1 The canonical data contract</w:t>
      </w:r>
    </w:p>
    <w:p>
      <w:r>
        <w:rPr>
          <w:rFonts w:ascii="Calibri" w:hAnsi="Calibri"/>
          <w:b w:val="0"/>
          <w:color w:val="1A2733"/>
        </w:rPr>
        <w:t xml:space="preserve">All pipelines should emit the same immutable event envelope. At minimum it contains </w:t>
      </w:r>
      <w:r>
        <w:rPr>
          <w:rFonts w:ascii="Liberation Mono" w:hAnsi="Liberation Mono"/>
          <w:color w:val="0B2545"/>
          <w:sz w:val="19"/>
          <w:shd w:fill="F2F4F7"/>
        </w:rPr>
        <w:t>source</w:t>
      </w:r>
      <w:r>
        <w:rPr>
          <w:rFonts w:ascii="Calibri" w:hAnsi="Calibri"/>
          <w:b w:val="0"/>
          <w:color w:val="1A2733"/>
        </w:rPr>
        <w:t xml:space="preserve">, </w:t>
      </w:r>
      <w:r>
        <w:rPr>
          <w:rFonts w:ascii="Liberation Mono" w:hAnsi="Liberation Mono"/>
          <w:color w:val="0B2545"/>
          <w:sz w:val="19"/>
          <w:shd w:fill="F2F4F7"/>
        </w:rPr>
        <w:t>dataset</w:t>
      </w:r>
      <w:r>
        <w:rPr>
          <w:rFonts w:ascii="Calibri" w:hAnsi="Calibri"/>
          <w:b w:val="0"/>
          <w:color w:val="1A2733"/>
        </w:rPr>
        <w:t xml:space="preserve">, </w:t>
      </w:r>
      <w:r>
        <w:rPr>
          <w:rFonts w:ascii="Liberation Mono" w:hAnsi="Liberation Mono"/>
          <w:color w:val="0B2545"/>
          <w:sz w:val="19"/>
          <w:shd w:fill="F2F4F7"/>
        </w:rPr>
        <w:t>instrument_id</w:t>
      </w:r>
      <w:r>
        <w:rPr>
          <w:rFonts w:ascii="Calibri" w:hAnsi="Calibri"/>
          <w:b w:val="0"/>
          <w:color w:val="1A2733"/>
        </w:rPr>
        <w:t xml:space="preserve">, </w:t>
      </w:r>
      <w:r>
        <w:rPr>
          <w:rFonts w:ascii="Liberation Mono" w:hAnsi="Liberation Mono"/>
          <w:color w:val="0B2545"/>
          <w:sz w:val="19"/>
          <w:shd w:fill="F2F4F7"/>
        </w:rPr>
        <w:t>contract_id</w:t>
      </w:r>
      <w:r>
        <w:rPr>
          <w:rFonts w:ascii="Calibri" w:hAnsi="Calibri"/>
          <w:b w:val="0"/>
          <w:color w:val="1A2733"/>
        </w:rPr>
        <w:t xml:space="preserve">, </w:t>
      </w:r>
      <w:r>
        <w:rPr>
          <w:rFonts w:ascii="Liberation Mono" w:hAnsi="Liberation Mono"/>
          <w:color w:val="0B2545"/>
          <w:sz w:val="19"/>
          <w:shd w:fill="F2F4F7"/>
        </w:rPr>
        <w:t>event_time</w:t>
      </w:r>
      <w:r>
        <w:rPr>
          <w:rFonts w:ascii="Calibri" w:hAnsi="Calibri"/>
          <w:b w:val="0"/>
          <w:color w:val="1A2733"/>
        </w:rPr>
        <w:t xml:space="preserve">, </w:t>
      </w:r>
      <w:r>
        <w:rPr>
          <w:rFonts w:ascii="Liberation Mono" w:hAnsi="Liberation Mono"/>
          <w:color w:val="0B2545"/>
          <w:sz w:val="19"/>
          <w:shd w:fill="F2F4F7"/>
        </w:rPr>
        <w:t>receive_time</w:t>
      </w:r>
      <w:r>
        <w:rPr>
          <w:rFonts w:ascii="Calibri" w:hAnsi="Calibri"/>
          <w:b w:val="0"/>
          <w:color w:val="1A2733"/>
        </w:rPr>
        <w:t xml:space="preserve">, </w:t>
      </w:r>
      <w:r>
        <w:rPr>
          <w:rFonts w:ascii="Liberation Mono" w:hAnsi="Liberation Mono"/>
          <w:color w:val="0B2545"/>
          <w:sz w:val="19"/>
          <w:shd w:fill="F2F4F7"/>
        </w:rPr>
        <w:t>known_at</w:t>
      </w:r>
      <w:r>
        <w:rPr>
          <w:rFonts w:ascii="Calibri" w:hAnsi="Calibri"/>
          <w:b w:val="0"/>
          <w:color w:val="1A2733"/>
        </w:rPr>
        <w:t xml:space="preserve">, </w:t>
      </w:r>
      <w:r>
        <w:rPr>
          <w:rFonts w:ascii="Liberation Mono" w:hAnsi="Liberation Mono"/>
          <w:color w:val="0B2545"/>
          <w:sz w:val="19"/>
          <w:shd w:fill="F2F4F7"/>
        </w:rPr>
        <w:t>revision_id</w:t>
      </w:r>
      <w:r>
        <w:rPr>
          <w:rFonts w:ascii="Calibri" w:hAnsi="Calibri"/>
          <w:b w:val="0"/>
          <w:color w:val="1A2733"/>
        </w:rPr>
        <w:t xml:space="preserve">, </w:t>
      </w:r>
      <w:r>
        <w:rPr>
          <w:rFonts w:ascii="Liberation Mono" w:hAnsi="Liberation Mono"/>
          <w:color w:val="0B2545"/>
          <w:sz w:val="19"/>
          <w:shd w:fill="F2F4F7"/>
        </w:rPr>
        <w:t>sequence</w:t>
      </w:r>
      <w:r>
        <w:rPr>
          <w:rFonts w:ascii="Calibri" w:hAnsi="Calibri"/>
          <w:b w:val="0"/>
          <w:color w:val="1A2733"/>
        </w:rPr>
        <w:t xml:space="preserve">, </w:t>
      </w:r>
      <w:r>
        <w:rPr>
          <w:rFonts w:ascii="Liberation Mono" w:hAnsi="Liberation Mono"/>
          <w:color w:val="0B2545"/>
          <w:sz w:val="19"/>
          <w:shd w:fill="F2F4F7"/>
        </w:rPr>
        <w:t>schema_version</w:t>
      </w:r>
      <w:r>
        <w:rPr>
          <w:rFonts w:ascii="Calibri" w:hAnsi="Calibri"/>
          <w:b w:val="0"/>
          <w:color w:val="1A2733"/>
        </w:rPr>
        <w:t xml:space="preserve">, </w:t>
      </w:r>
      <w:r>
        <w:rPr>
          <w:rFonts w:ascii="Liberation Mono" w:hAnsi="Liberation Mono"/>
          <w:color w:val="0B2545"/>
          <w:sz w:val="19"/>
          <w:shd w:fill="F2F4F7"/>
        </w:rPr>
        <w:t>payload_hash</w:t>
      </w:r>
      <w:r>
        <w:rPr>
          <w:rFonts w:ascii="Calibri" w:hAnsi="Calibri"/>
          <w:b w:val="0"/>
          <w:color w:val="1A2733"/>
        </w:rPr>
        <w:t xml:space="preserve">, </w:t>
      </w:r>
      <w:r>
        <w:rPr>
          <w:rFonts w:ascii="Liberation Mono" w:hAnsi="Liberation Mono"/>
          <w:color w:val="0B2545"/>
          <w:sz w:val="19"/>
          <w:shd w:fill="F2F4F7"/>
        </w:rPr>
        <w:t>ingest_run_id</w:t>
      </w:r>
      <w:r>
        <w:rPr>
          <w:rFonts w:ascii="Calibri" w:hAnsi="Calibri"/>
          <w:b w:val="0"/>
          <w:color w:val="1A2733"/>
        </w:rPr>
        <w:t xml:space="preserve">, and entitlements. </w:t>
      </w:r>
      <w:r>
        <w:rPr>
          <w:rFonts w:ascii="Liberation Mono" w:hAnsi="Liberation Mono"/>
          <w:color w:val="0B2545"/>
          <w:sz w:val="19"/>
          <w:shd w:fill="F2F4F7"/>
        </w:rPr>
        <w:t>event_time</w:t>
      </w:r>
      <w:r>
        <w:rPr>
          <w:rFonts w:ascii="Calibri" w:hAnsi="Calibri"/>
          <w:b w:val="0"/>
          <w:color w:val="1A2733"/>
        </w:rPr>
        <w:t xml:space="preserve"> is when the source says the event occurred; </w:t>
      </w:r>
      <w:r>
        <w:rPr>
          <w:rFonts w:ascii="Liberation Mono" w:hAnsi="Liberation Mono"/>
          <w:color w:val="0B2545"/>
          <w:sz w:val="19"/>
          <w:shd w:fill="F2F4F7"/>
        </w:rPr>
        <w:t>receive_time</w:t>
      </w:r>
      <w:r>
        <w:rPr>
          <w:rFonts w:ascii="Calibri" w:hAnsi="Calibri"/>
          <w:b w:val="0"/>
          <w:color w:val="1A2733"/>
        </w:rPr>
        <w:t xml:space="preserve"> is when CELL-Q observed it; </w:t>
      </w:r>
      <w:r>
        <w:rPr>
          <w:rFonts w:ascii="Liberation Mono" w:hAnsi="Liberation Mono"/>
          <w:color w:val="0B2545"/>
          <w:sz w:val="19"/>
          <w:shd w:fill="F2F4F7"/>
        </w:rPr>
        <w:t>known_at</w:t>
      </w:r>
      <w:r>
        <w:rPr>
          <w:rFonts w:ascii="Calibri" w:hAnsi="Calibri"/>
          <w:b w:val="0"/>
          <w:color w:val="1A2733"/>
        </w:rPr>
        <w:t xml:space="preserve"> is the first instant it was legally and technically available to the research system. They may differ materially. For revised macro data, </w:t>
      </w:r>
      <w:r>
        <w:rPr>
          <w:rFonts w:ascii="Liberation Mono" w:hAnsi="Liberation Mono"/>
          <w:color w:val="0B2545"/>
          <w:sz w:val="19"/>
          <w:shd w:fill="F2F4F7"/>
        </w:rPr>
        <w:t>valid_time</w:t>
      </w:r>
      <w:r>
        <w:rPr>
          <w:rFonts w:ascii="Calibri" w:hAnsi="Calibri"/>
          <w:b w:val="0"/>
          <w:color w:val="1A2733"/>
        </w:rPr>
        <w:t xml:space="preserve"> describes the economic period and </w:t>
      </w:r>
      <w:r>
        <w:rPr>
          <w:rFonts w:ascii="Liberation Mono" w:hAnsi="Liberation Mono"/>
          <w:color w:val="0B2545"/>
          <w:sz w:val="19"/>
          <w:shd w:fill="F2F4F7"/>
        </w:rPr>
        <w:t>vintage_time</w:t>
      </w:r>
      <w:r>
        <w:rPr>
          <w:rFonts w:ascii="Calibri" w:hAnsi="Calibri"/>
          <w:b w:val="0"/>
          <w:color w:val="1A2733"/>
        </w:rPr>
        <w:t xml:space="preserve"> identifies the published version.</w:t>
      </w:r>
    </w:p>
    <w:p>
      <w:r>
        <w:rPr>
          <w:rFonts w:ascii="Calibri" w:hAnsi="Calibri"/>
          <w:b w:val="0"/>
          <w:color w:val="1A2733"/>
        </w:rPr>
        <w:t>The physical pattern is bronze/silver/gold. Bronze preserves vendor bytes or lossless decoded records with checksums. Silver normalizes identifiers, types, calendars, and timestamps without changing economic meaning. Gold contains reproducible feature sets and point-in-time views. Apache Iceberg is the preferred lakehouse table layer because snapshots and time travel support audit and reproducible reads, while schema and partition evolution avoid rewriting history (</w:t>
      </w:r>
      <w:hyperlink r:id="rId11">
        <w:r>
          <w:rPr>
            <w:rFonts w:ascii="Calibri" w:hAnsi="Calibri"/>
            <w:color w:val="2E74B5"/>
            <w:u w:val="single"/>
          </w:rPr>
          <w:t>Iceberg specification</w:t>
        </w:r>
      </w:hyperlink>
      <w:r>
        <w:rPr>
          <w:rFonts w:ascii="Calibri" w:hAnsi="Calibri"/>
          <w:b w:val="0"/>
          <w:color w:val="1A2733"/>
        </w:rPr>
        <w:t>). Parquet/Arrow are the interoperable file and memory formats. TimescaleDB or ClickHouse can serve recent analytical windows; DuckDB and Polars are excellent local readers; Snowflake remains an optional governed warehouse, not the source of truth.</w:t>
      </w:r>
    </w:p>
    <w:p>
      <w:r>
        <w:rPr>
          <w:rFonts w:ascii="Calibri" w:hAnsi="Calibri"/>
          <w:b w:val="0"/>
          <w:color w:val="1A2733"/>
        </w:rPr>
        <w:t>Every run produces an OpenLineage-compatible graph of job, run, input dataset, output dataset, code image, configuration, and quality assertions. OpenLineage's job/run/dataset object model is simple enough to bridge into CELL//OS evidence objects, with Marquez as a useful reference implementation (</w:t>
      </w:r>
      <w:hyperlink r:id="rId12">
        <w:r>
          <w:rPr>
            <w:rFonts w:ascii="Calibri" w:hAnsi="Calibri"/>
            <w:color w:val="2E74B5"/>
            <w:u w:val="single"/>
          </w:rPr>
          <w:t>OpenLineage object model</w:t>
        </w:r>
      </w:hyperlink>
      <w:r>
        <w:rPr>
          <w:rFonts w:ascii="Calibri" w:hAnsi="Calibri"/>
          <w:b w:val="0"/>
          <w:color w:val="1A2733"/>
        </w:rPr>
        <w:t>). Exactly-once claims must be scoped: Kafka transactions provide strong guarantees within cooperating Kafka producers/consumers, but an external database or broker needs its own idempotency protocol (</w:t>
      </w:r>
      <w:hyperlink r:id="rId13">
        <w:r>
          <w:rPr>
            <w:rFonts w:ascii="Calibri" w:hAnsi="Calibri"/>
            <w:color w:val="2E74B5"/>
            <w:u w:val="single"/>
          </w:rPr>
          <w:t>Kafka design</w:t>
        </w:r>
      </w:hyperlink>
      <w:r>
        <w:rPr>
          <w:rFonts w:ascii="Calibri" w:hAnsi="Calibri"/>
          <w:b w:val="0"/>
          <w:color w:val="1A2733"/>
        </w:rPr>
        <w:t>).</w:t>
      </w:r>
    </w:p>
    <w:p>
      <w:pPr>
        <w:pStyle w:val="Heading2"/>
      </w:pPr>
      <w:r>
        <w:t>1.2 Pipeline inventory</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50"/>
        <w:gridCol w:w="2150"/>
        <w:gridCol w:w="1950"/>
        <w:gridCol w:w="2050"/>
        <w:gridCol w:w="1860"/>
      </w:tblGrid>
      <w:tr>
        <w:trPr>
          <w:tblHeader w:val="true"/>
        </w:trPr>
        <w:tc>
          <w:tcPr>
            <w:tcW w:type="dxa" w:w="1350"/>
            <w:tcMar>
              <w:top w:w="80" w:type="dxa"/>
              <w:start w:w="120" w:type="dxa"/>
              <w:bottom w:w="80" w:type="dxa"/>
              <w:end w:w="120" w:type="dxa"/>
            </w:tcMar>
            <w:vAlign w:val="top"/>
            <w:shd w:fill="E8EEF5"/>
          </w:tcPr>
          <w:p>
            <w:pPr>
              <w:pStyle w:val="CELLQTableText"/>
            </w:pPr>
            <w:r>
              <w:rPr>
                <w:rFonts w:ascii="Calibri" w:hAnsi="Calibri"/>
                <w:b/>
                <w:color w:val="0B2545"/>
                <w:sz w:val="15"/>
              </w:rPr>
              <w:t>Pipeline</w:t>
            </w:r>
          </w:p>
        </w:tc>
        <w:tc>
          <w:tcPr>
            <w:tcW w:type="dxa" w:w="2150"/>
            <w:tcMar>
              <w:top w:w="80" w:type="dxa"/>
              <w:start w:w="120" w:type="dxa"/>
              <w:bottom w:w="80" w:type="dxa"/>
              <w:end w:w="120" w:type="dxa"/>
            </w:tcMar>
            <w:vAlign w:val="top"/>
            <w:shd w:fill="E8EEF5"/>
          </w:tcPr>
          <w:p>
            <w:pPr>
              <w:pStyle w:val="CELLQTableText"/>
            </w:pPr>
            <w:r>
              <w:rPr>
                <w:rFonts w:ascii="Calibri" w:hAnsi="Calibri"/>
                <w:b/>
                <w:color w:val="0B2545"/>
                <w:sz w:val="15"/>
              </w:rPr>
              <w:t>Ingestion and validation</w:t>
            </w:r>
          </w:p>
        </w:tc>
        <w:tc>
          <w:tcPr>
            <w:tcW w:type="dxa" w:w="1950"/>
            <w:tcMar>
              <w:top w:w="80" w:type="dxa"/>
              <w:start w:w="120" w:type="dxa"/>
              <w:bottom w:w="80" w:type="dxa"/>
              <w:end w:w="120" w:type="dxa"/>
            </w:tcMar>
            <w:vAlign w:val="top"/>
            <w:shd w:fill="E8EEF5"/>
          </w:tcPr>
          <w:p>
            <w:pPr>
              <w:pStyle w:val="CELLQTableText"/>
            </w:pPr>
            <w:r>
              <w:rPr>
                <w:rFonts w:ascii="Calibri" w:hAnsi="Calibri"/>
                <w:b/>
                <w:color w:val="0B2545"/>
                <w:sz w:val="15"/>
              </w:rPr>
              <w:t>Storage and partitioning</w:t>
            </w:r>
          </w:p>
        </w:tc>
        <w:tc>
          <w:tcPr>
            <w:tcW w:type="dxa" w:w="2050"/>
            <w:tcMar>
              <w:top w:w="80" w:type="dxa"/>
              <w:start w:w="120" w:type="dxa"/>
              <w:bottom w:w="80" w:type="dxa"/>
              <w:end w:w="120" w:type="dxa"/>
            </w:tcMar>
            <w:vAlign w:val="top"/>
            <w:shd w:fill="E8EEF5"/>
          </w:tcPr>
          <w:p>
            <w:pPr>
              <w:pStyle w:val="CELLQTableText"/>
            </w:pPr>
            <w:r>
              <w:rPr>
                <w:rFonts w:ascii="Calibri" w:hAnsi="Calibri"/>
                <w:b/>
                <w:color w:val="0B2545"/>
                <w:sz w:val="15"/>
              </w:rPr>
              <w:t>Serving and lineage</w:t>
            </w:r>
          </w:p>
        </w:tc>
        <w:tc>
          <w:tcPr>
            <w:tcW w:type="dxa" w:w="1860"/>
            <w:tcMar>
              <w:top w:w="80" w:type="dxa"/>
              <w:start w:w="120" w:type="dxa"/>
              <w:bottom w:w="80" w:type="dxa"/>
              <w:end w:w="120" w:type="dxa"/>
            </w:tcMar>
            <w:vAlign w:val="top"/>
            <w:shd w:fill="E8EEF5"/>
          </w:tcPr>
          <w:p>
            <w:pPr>
              <w:pStyle w:val="CELLQTableText"/>
            </w:pPr>
            <w:r>
              <w:rPr>
                <w:rFonts w:ascii="Calibri" w:hAnsi="Calibri"/>
                <w:b/>
                <w:color w:val="0B2545"/>
                <w:sz w:val="15"/>
              </w:rPr>
              <w:t>Suitable tools and trade-offs</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L3/MBO order events</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Capture exchange/vendor sequence, order ID, action, side, price, size, exchange and receive timestamps. Validate monotone sequences per channel, duplicate hashes, crossed/locked-state rules, trade/book reconciliation, and recovery gaps. CME MDP 3.0 is event-based SBE over dual-feed UDP multicast; vendor MBO may be easier to license and decode (</w:t>
            </w:r>
            <w:hyperlink r:id="rId14">
              <w:r>
                <w:rPr>
                  <w:rFonts w:ascii="Calibri" w:hAnsi="Calibri"/>
                  <w:color w:val="2E74B5"/>
                  <w:u w:val="single"/>
                </w:rPr>
                <w:t>CME MDP 3.0</w:t>
              </w:r>
            </w:hyperlink>
            <w:r>
              <w:rPr>
                <w:rFonts w:ascii="Calibri" w:hAnsi="Calibri"/>
                <w:b w:val="0"/>
                <w:color w:val="1A2733"/>
                <w:sz w:val="15"/>
              </w:rPr>
              <w:t xml:space="preserve">, </w:t>
            </w:r>
            <w:hyperlink r:id="rId15">
              <w:r>
                <w:rPr>
                  <w:rFonts w:ascii="Calibri" w:hAnsi="Calibri"/>
                  <w:color w:val="2E74B5"/>
                  <w:u w:val="single"/>
                </w:rPr>
                <w:t>Databento MBO</w:t>
              </w:r>
            </w:hyperlink>
            <w:r>
              <w:rPr>
                <w:rFonts w:ascii="Calibri" w:hAnsi="Calibri"/>
                <w:b w:val="0"/>
                <w:color w:val="1A2733"/>
                <w:sz w:val="15"/>
              </w:rPr>
              <w:t>).</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Append-only Parquet/Iceberg, partition by venue/date/channel and sort by instrument/event time; never partition by high-cardinality order ID. Preserve original packet or vendor-record reference.</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Rust replay service exposes deterministic event iterators and snapshot checkpoints. Lineage includes feed schema and decoder version.</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Open-source: QuickFIX/SBE codecs plus Kafka/Redpanda; commercial: Databento or dxFeed. Direct exchange feeds maximize control but add licensing, networking, and recovery engineering.</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L2/MBP, top-of-book, trades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Apply sequence and timestamp checks; validate depth aggregation, non-negative sizes, tick alignment, and trade conditions. MBP10 exposes ten aggregated levels rather than individual orders (</w:t>
            </w:r>
            <w:hyperlink r:id="rId16">
              <w:r>
                <w:rPr>
                  <w:rFonts w:ascii="Calibri" w:hAnsi="Calibri"/>
                  <w:color w:val="2E74B5"/>
                  <w:u w:val="single"/>
                </w:rPr>
                <w:t>Databento MBP-10</w:t>
              </w:r>
            </w:hyperlink>
            <w:r>
              <w:rPr>
                <w:rFonts w:ascii="Calibri" w:hAnsi="Calibri"/>
                <w:b w:val="0"/>
                <w:color w:val="1A2733"/>
                <w:sz w:val="15"/>
              </w:rPr>
              <w:t>).</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Same immutable lake pattern; compact separately from MBO because the semantics and record widths differ.</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Query by contract/session and replay at original or controlled event speed.</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Databento, dxFeed, or licensed CME/ICE histories. L2 is smaller and simpler than L3 but cannot prove queue position.</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Time, tick, volume, dollar, and imbalance bars</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Derive only from validated trades/quotes. Persist boundary rules, session calendar, late-event policy, and the final source sequence consumed. Recompute samples and compare hashes.</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Gold Iceberg tables partitioned by bar family/product/date; feature keys include builder version and parameters.</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Point-in-time feature service; DuckDB/Polars for experiments; TimescaleDB/ClickHouse for recent windows.</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Polars, pandas, DuckDB; Flink or RisingWave for streaming. Non-time bars can reduce activity heteroskedasticity but create path-dependent boundaries that must be replayed exactly.</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Instrument master and contract lifecycle</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Pull venue reference data; validate tick size/value, currency, multiplier, session, first/last trade, delivery/notice dates, eligibility, and symbol aliases. CME's reference API exposes product and contract attributes and lifecycle dates (</w:t>
            </w:r>
            <w:hyperlink r:id="rId17">
              <w:r>
                <w:rPr>
                  <w:rFonts w:ascii="Calibri" w:hAnsi="Calibri"/>
                  <w:color w:val="2E74B5"/>
                  <w:u w:val="single"/>
                </w:rPr>
                <w:t>CME Reference Data API v3</w:t>
              </w:r>
            </w:hyperlink>
            <w:r>
              <w:rPr>
                <w:rFonts w:ascii="Calibri" w:hAnsi="Calibri"/>
                <w:b w:val="0"/>
                <w:color w:val="1A2733"/>
                <w:sz w:val="15"/>
              </w:rPr>
              <w:t>).</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Bitemporal dimension tables keyed by a stable internal instrument ID. Never overwrite a spec change.</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 xml:space="preserve">Join </w:t>
            </w:r>
            <w:r>
              <w:rPr>
                <w:rFonts w:ascii="Liberation Mono" w:hAnsi="Liberation Mono"/>
                <w:color w:val="0B2545"/>
                <w:sz w:val="14"/>
                <w:shd w:fill="F2F4F7"/>
              </w:rPr>
              <w:t>as known at</w:t>
            </w:r>
            <w:r>
              <w:rPr>
                <w:rFonts w:ascii="Calibri" w:hAnsi="Calibri"/>
                <w:b w:val="0"/>
                <w:color w:val="1A2733"/>
                <w:sz w:val="15"/>
              </w:rPr>
              <w:t xml:space="preserve"> the simulated decision time. Emit contract-spec evidence with each experiment.</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Venue APIs first; Databento symbology or OpenFIGI for assistance; hand-curated overrides only through reviewed patches.</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Roll calendar and continuous views</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Calculate calendar-, volume-, or open-interest-based roll decisions using only observations available at each decision. Validate against expiry constraints and store the chosen front/back contracts.</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Canonical per-contract prices plus a roll-event table. Derived continuous tables carry mapping rule, adjustment method, anchor, and build hash.</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Serve raw mapped, backward-difference, ratio-adjusted, or research-specific views explicitly. Databento maps a continuous symbol to a real contract while leaving prices unadjusted (</w:t>
            </w:r>
            <w:hyperlink r:id="rId18">
              <w:r>
                <w:rPr>
                  <w:rFonts w:ascii="Calibri" w:hAnsi="Calibri"/>
                  <w:color w:val="2E74B5"/>
                  <w:u w:val="single"/>
                </w:rPr>
                <w:t>Databento continuous contracts</w:t>
              </w:r>
            </w:hyperlink>
            <w:r>
              <w:rPr>
                <w:rFonts w:ascii="Calibri" w:hAnsi="Calibri"/>
                <w:b w:val="0"/>
                <w:color w:val="1A2733"/>
                <w:sz w:val="15"/>
              </w:rPr>
              <w:t>); LEAN documents mapping and normalization choices (</w:t>
            </w:r>
            <w:hyperlink r:id="rId19">
              <w:r>
                <w:rPr>
                  <w:rFonts w:ascii="Calibri" w:hAnsi="Calibri"/>
                  <w:color w:val="2E74B5"/>
                  <w:u w:val="single"/>
                </w:rPr>
                <w:t>LEAN futures normalization</w:t>
              </w:r>
            </w:hyperlink>
            <w:r>
              <w:rPr>
                <w:rFonts w:ascii="Calibri" w:hAnsi="Calibri"/>
                <w:b w:val="0"/>
                <w:color w:val="1A2733"/>
                <w:sz w:val="15"/>
              </w:rPr>
              <w:t>).</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Custom Polars/Rust builder; LEAN security master; vendor continuous products. Vendor series are convenient but can hide roll or back-adjustment revisions.</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Margins, fees, and trading calendars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Snapshot official schedules and notices with publication/effective times. Validate currency, tier, member status, and future-effective versus currently-effective records. CME notes margins vary by product and volatility and provides product-margin files (</w:t>
            </w:r>
            <w:hyperlink r:id="rId20">
              <w:r>
                <w:rPr>
                  <w:rFonts w:ascii="Calibri" w:hAnsi="Calibri"/>
                  <w:color w:val="2E74B5"/>
                  <w:u w:val="single"/>
                </w:rPr>
                <w:t>CME product margins</w:t>
              </w:r>
            </w:hyperlink>
            <w:r>
              <w:rPr>
                <w:rFonts w:ascii="Calibri" w:hAnsi="Calibri"/>
                <w:b w:val="0"/>
                <w:color w:val="1A2733"/>
                <w:sz w:val="15"/>
              </w:rPr>
              <w:t>); its fee archive is separately available (</w:t>
            </w:r>
            <w:hyperlink r:id="rId21">
              <w:r>
                <w:rPr>
                  <w:rFonts w:ascii="Calibri" w:hAnsi="Calibri"/>
                  <w:color w:val="2E74B5"/>
                  <w:u w:val="single"/>
                </w:rPr>
                <w:t>CME historical fees</w:t>
              </w:r>
            </w:hyperlink>
            <w:r>
              <w:rPr>
                <w:rFonts w:ascii="Calibri" w:hAnsi="Calibri"/>
                <w:b w:val="0"/>
                <w:color w:val="1A2733"/>
                <w:sz w:val="15"/>
              </w:rPr>
              <w:t>).</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Bitemporal reference tables plus immutable source documents. Partition by venue/effective year; hash every notice.</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Cost/margin service answers a point-in-time query and returns the source record IDs.</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Venue files and APIs; PDF/table extraction with review; commercial reference-data services. Never scrape into an overwrite-only table.</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Economic calendar and revisions</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Record planned release time, actual first-observed time, source period, consensus if licensed, first release, every revision, and embargo/holiday changes. Reject records whose knowledge time is inferred from the observation period.</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Bitemporal series plus raw release artifacts. Partition by agency/series/vintage year.</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A vintage-aware join API. ALFRED/FRED expose vintage dates and real-time periods (</w:t>
            </w:r>
            <w:hyperlink r:id="rId22">
              <w:r>
                <w:rPr>
                  <w:rFonts w:ascii="Calibri" w:hAnsi="Calibri"/>
                  <w:color w:val="2E74B5"/>
                  <w:u w:val="single"/>
                </w:rPr>
                <w:t>FRED vintage dates</w:t>
              </w:r>
            </w:hyperlink>
            <w:r>
              <w:rPr>
                <w:rFonts w:ascii="Calibri" w:hAnsi="Calibri"/>
                <w:b w:val="0"/>
                <w:color w:val="1A2733"/>
                <w:sz w:val="15"/>
              </w:rPr>
              <w:t>); BLS archives warn that later releases may revise earlier data (</w:t>
            </w:r>
            <w:hyperlink r:id="rId23">
              <w:r>
                <w:rPr>
                  <w:rFonts w:ascii="Calibri" w:hAnsi="Calibri"/>
                  <w:color w:val="2E74B5"/>
                  <w:u w:val="single"/>
                </w:rPr>
                <w:t>BLS release archive</w:t>
              </w:r>
            </w:hyperlink>
            <w:r>
              <w:rPr>
                <w:rFonts w:ascii="Calibri" w:hAnsi="Calibri"/>
                <w:b w:val="0"/>
                <w:color w:val="1A2733"/>
                <w:sz w:val="15"/>
              </w:rPr>
              <w:t>).</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 xml:space="preserve">Official APIs first; </w:t>
            </w:r>
            <w:r>
              <w:rPr>
                <w:rFonts w:ascii="Liberation Mono" w:hAnsi="Liberation Mono"/>
                <w:color w:val="0B2545"/>
                <w:sz w:val="14"/>
                <w:shd w:fill="F2F4F7"/>
              </w:rPr>
              <w:t>fredapi</w:t>
            </w:r>
            <w:r>
              <w:rPr>
                <w:rFonts w:ascii="Calibri" w:hAnsi="Calibri"/>
                <w:b w:val="0"/>
                <w:color w:val="1A2733"/>
                <w:sz w:val="15"/>
              </w:rPr>
              <w:t>, dbnomics, or licensed calendars. Consensus data often has restrictive redistribution rights.</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Commitments of Traders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Ingest report date, release timestamp, report family, market code, category, long/short/spread positions, and corrections. The date in a COT file describes the report, not necessarily when it became usable; weekly reports are generally released Friday for Tuesday positions (</w:t>
            </w:r>
            <w:hyperlink r:id="rId24">
              <w:r>
                <w:rPr>
                  <w:rFonts w:ascii="Calibri" w:hAnsi="Calibri"/>
                  <w:color w:val="2E74B5"/>
                  <w:u w:val="single"/>
                </w:rPr>
                <w:t>CFTC COT</w:t>
              </w:r>
            </w:hyperlink>
            <w:r>
              <w:rPr>
                <w:rFonts w:ascii="Calibri" w:hAnsi="Calibri"/>
                <w:b w:val="0"/>
                <w:color w:val="1A2733"/>
                <w:sz w:val="15"/>
              </w:rPr>
              <w:t>).</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Raw compressed archives plus normalized bitemporal tables.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Weekly feature service with an explicit publication lag.</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CFTC files/API, Nasdaq Data Link mirrors, or commercial normalized feeds. Mirrored datasets are easier but can erase corrections.</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Options-on-futures volatility surfaces</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Ingest option chains, settlements, underlying mapping, rates/dividends where relevant, exercise style, and contract specs. Validate no-arbitrage bounds, calendar/butterfly consistency, stale quotes, and surface coverage.</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Raw quotes/settlements plus fitted surface parameters and diagnostic residuals, partitioned by underlying/valuation date.</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Surface service returns data vintage, fit method, and confidence/coverage. CME CVOL derives implied-volatility measures from options on futures (</w:t>
            </w:r>
            <w:hyperlink r:id="rId25">
              <w:r>
                <w:rPr>
                  <w:rFonts w:ascii="Calibri" w:hAnsi="Calibri"/>
                  <w:color w:val="2E74B5"/>
                  <w:u w:val="single"/>
                </w:rPr>
                <w:t>CME CVOL</w:t>
              </w:r>
            </w:hyperlink>
            <w:r>
              <w:rPr>
                <w:rFonts w:ascii="Calibri" w:hAnsi="Calibri"/>
                <w:b w:val="0"/>
                <w:color w:val="1A2733"/>
                <w:sz w:val="15"/>
              </w:rPr>
              <w:t>).</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QuantLib, py_vollib, JAX; CME QuikStrike/CVOL or vendor surfaces. A fitted surface is a model artifact, not observed truth.</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Alternative data and news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Capture license, source identity, publication/edit/deletion times, language, parser version, and entitlements. Deduplicate syndicated text and prevent retroactively edited articles from replacing the observed copy.</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Encrypted raw object store; derived entities/embeddings with model and prompt hashes.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 xml:space="preserve">Retrieval service enforces entitlement and </w:t>
            </w:r>
            <w:r>
              <w:rPr>
                <w:rFonts w:ascii="Liberation Mono" w:hAnsi="Liberation Mono"/>
                <w:color w:val="0B2545"/>
                <w:sz w:val="14"/>
                <w:shd w:fill="F2F4F7"/>
              </w:rPr>
              <w:t>known_at</w:t>
            </w:r>
            <w:r>
              <w:rPr>
                <w:rFonts w:ascii="Calibri" w:hAnsi="Calibri"/>
                <w:b w:val="0"/>
                <w:color w:val="1A2733"/>
                <w:sz w:val="15"/>
              </w:rPr>
              <w:t>; structured events are evidence packets, not direct actions.</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GDELT/open agency feeds, spaCy/transformers, licensed news. Availability and legal provenance usually matter more than model novelty.</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Simulated execution exhaust</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Record every submitted hypothetical action, policy decision, synthetic acknowledgement, partial fill, cancel, reject, latency draw, queue estimate, fee, and state transition. Validate event conservation and state-machine invariants.</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Append-only event log plus reconstructable snapshots, partitioned by simulation run/container/date.</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Replay debugger, transaction-cost analysis, and policy-conformance service.</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Custom Rust event engine; NautilusTrader or hftbacktest adapters. This exhaust is the ground truth for evaluating a simulator.</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Datasets, features, experiments, and models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Register manifests, input snapshots, code image, environment lock, seed, parameters, trial-family ID, metrics, approvals, and invalidations. Validate artifact hashes and environment reproducibility.</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Object storage for artifacts; Postgres registry; optional MLflow metadata; Iceberg for feature matrices.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Immutable Evidence Pack and signed Cell Image.</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MLflow, DVC/lakeFS, Feast, Weights &amp; Biases. No single tool supplies CELL//OS promotion semantics; wrap them behind native registries.</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Agent and platform telemetry</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Emit WorkGraph transition, tool call, prompt/model version, token/cost, retry, policy decision, human approval, error class, and trace linkage. Redact secrets and sensitive payloads before persistence.</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OpenTelemetry traces/logs/metrics, Kafka/NATS event stream, cheap object-store archive, summarized Postgres records.</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SRE dashboards, Crucible evidence, FinOps controls, and agent-quality evals.</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OpenTelemetry, Prometheus/Grafana, ClickHouse, Langfuse. Observability is not a license to persist unrestricted prompts or market-data payloads.</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Public rule snapshots</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Retrieve public rule pages as dated evidence; store content hash, page title, observed time, effective date if stated, and a human-reviewed normalized state machine.</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Immutable source snapshot plus bitemporal rule table; never overwrite yesterday's terms.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Policy DSL compiler for historical simulation only.</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Browser/archive capture, Diffy/changedetection.io, Postgres. Dynamic commercial pages can change without schema discipline, so uncertainty must be explicit.</w:t>
            </w:r>
          </w:p>
        </w:tc>
      </w:tr>
    </w:tbl>
    <w:p>
      <w:pPr>
        <w:spacing w:before="20" w:after="60" w:line="240" w:lineRule="auto"/>
      </w:pPr>
    </w:p>
    <w:p>
      <w:pPr>
        <w:pStyle w:val="Heading2"/>
      </w:pPr>
      <w:r>
        <w:t>1.3 Point-in-time correctness and leakage prevention</w:t>
      </w:r>
    </w:p>
    <w:p>
      <w:r>
        <w:rPr>
          <w:rFonts w:ascii="Calibri" w:hAnsi="Calibri"/>
          <w:b w:val="0"/>
          <w:color w:val="1A2733"/>
        </w:rPr>
        <w:t xml:space="preserve">Three clocks are required. </w:t>
      </w:r>
      <w:r>
        <w:rPr>
          <w:rFonts w:ascii="Calibri" w:hAnsi="Calibri"/>
          <w:b/>
          <w:color w:val="1A2733"/>
        </w:rPr>
        <w:t>Event time</w:t>
      </w:r>
      <w:r>
        <w:rPr>
          <w:rFonts w:ascii="Calibri" w:hAnsi="Calibri"/>
          <w:b w:val="0"/>
          <w:color w:val="1A2733"/>
        </w:rPr>
        <w:t xml:space="preserve"> orders market events. </w:t>
      </w:r>
      <w:r>
        <w:rPr>
          <w:rFonts w:ascii="Calibri" w:hAnsi="Calibri"/>
          <w:b/>
          <w:color w:val="1A2733"/>
        </w:rPr>
        <w:t>Knowledge time</w:t>
      </w:r>
      <w:r>
        <w:rPr>
          <w:rFonts w:ascii="Calibri" w:hAnsi="Calibri"/>
          <w:b w:val="0"/>
          <w:color w:val="1A2733"/>
        </w:rPr>
        <w:t xml:space="preserve"> limits what a simulated actor could have known. </w:t>
      </w:r>
      <w:r>
        <w:rPr>
          <w:rFonts w:ascii="Calibri" w:hAnsi="Calibri"/>
          <w:b/>
          <w:color w:val="1A2733"/>
        </w:rPr>
        <w:t>Revision time</w:t>
      </w:r>
      <w:r>
        <w:rPr>
          <w:rFonts w:ascii="Calibri" w:hAnsi="Calibri"/>
          <w:b w:val="0"/>
          <w:color w:val="1A2733"/>
        </w:rPr>
        <w:t xml:space="preserve"> distinguishes successive claims about the same economic period. A valid join is not simply </w:t>
      </w:r>
      <w:r>
        <w:rPr>
          <w:rFonts w:ascii="Liberation Mono" w:hAnsi="Liberation Mono"/>
          <w:color w:val="0B2545"/>
          <w:sz w:val="19"/>
          <w:shd w:fill="F2F4F7"/>
        </w:rPr>
        <w:t>feature_date &lt;= trade_date</w:t>
      </w:r>
      <w:r>
        <w:rPr>
          <w:rFonts w:ascii="Calibri" w:hAnsi="Calibri"/>
          <w:b w:val="0"/>
          <w:color w:val="1A2733"/>
        </w:rPr>
        <w:t xml:space="preserve">; it is a temporal query whose every input satisfies </w:t>
      </w:r>
      <w:r>
        <w:rPr>
          <w:rFonts w:ascii="Liberation Mono" w:hAnsi="Liberation Mono"/>
          <w:color w:val="0B2545"/>
          <w:sz w:val="19"/>
          <w:shd w:fill="F2F4F7"/>
        </w:rPr>
        <w:t>known_at &lt;= decision_at</w:t>
      </w:r>
      <w:r>
        <w:rPr>
          <w:rFonts w:ascii="Calibri" w:hAnsi="Calibri"/>
          <w:b w:val="0"/>
          <w:color w:val="1A2733"/>
        </w:rPr>
        <w:t>, whose instrument specification was effective at that instant, and whose feature code was trained only on an admissible data cut.</w:t>
      </w:r>
    </w:p>
    <w:p>
      <w:r>
        <w:rPr>
          <w:rFonts w:ascii="Calibri" w:hAnsi="Calibri"/>
          <w:b w:val="0"/>
          <w:color w:val="1A2733"/>
        </w:rPr>
        <w:t xml:space="preserve">Common leaks include using a final revised macro value, selecting a universe with today's surviving contracts, deriving volume rolls from full-history volume, applying a global scaler before splitting folds, filling missing values backward, labeling through a contract transition that the feature builder did not model, and using a final bar whose close was not yet known. CELL-Q prevents these by compiling an </w:t>
      </w:r>
      <w:r>
        <w:rPr>
          <w:rFonts w:ascii="Calibri" w:hAnsi="Calibri"/>
          <w:b/>
          <w:color w:val="1A2733"/>
        </w:rPr>
        <w:t>Information Set Manifest</w:t>
      </w:r>
      <w:r>
        <w:rPr>
          <w:rFonts w:ascii="Calibri" w:hAnsi="Calibri"/>
          <w:b w:val="0"/>
          <w:color w:val="1A2733"/>
        </w:rPr>
        <w:t xml:space="preserve"> for each decision timestamp. The manifest names all admissible dataset snapshots and rejects mutable aliases such as </w:t>
      </w:r>
      <w:r>
        <w:rPr>
          <w:rFonts w:ascii="Liberation Mono" w:hAnsi="Liberation Mono"/>
          <w:color w:val="0B2545"/>
          <w:sz w:val="19"/>
          <w:shd w:fill="F2F4F7"/>
        </w:rPr>
        <w:t>latest</w:t>
      </w:r>
      <w:r>
        <w:rPr>
          <w:rFonts w:ascii="Calibri" w:hAnsi="Calibri"/>
          <w:b w:val="0"/>
          <w:color w:val="1A2733"/>
        </w:rPr>
        <w:t>.</w:t>
      </w:r>
    </w:p>
    <w:p>
      <w:r>
        <w:rPr>
          <w:rFonts w:ascii="Calibri" w:hAnsi="Calibri"/>
          <w:b w:val="0"/>
          <w:color w:val="1A2733"/>
        </w:rPr>
        <w:t>The quality gate should be executable: replay a random sample from raw bytes; reconcile sequence gaps; reconstruct book snapshots; compare independent bar builders; test calendar boundaries around daylight-saving changes and early closes; inject a revised release; and assert that an earlier experiment hash does not change. A red-team leakage suite belongs in Crucible and runs before model metrics are visible.</w:t>
      </w:r>
    </w:p>
    <w:p>
      <w:r>
        <w:rPr>
          <w:rFonts w:ascii="Calibri" w:hAnsi="Calibri"/>
          <w:b/>
          <w:color w:val="1A2733"/>
        </w:rPr>
        <w:t>CELL//OS mapping.</w:t>
      </w:r>
      <w:r>
        <w:rPr>
          <w:rFonts w:ascii="Calibri" w:hAnsi="Calibri"/>
          <w:b w:val="0"/>
          <w:color w:val="1A2733"/>
        </w:rPr>
        <w:t xml:space="preserve"> The Data Steward Operative owns source contracts, bitemporal schemas, quality assertions, and lineage. The Knowledge Broker serves point-in-time views. Kafka/NATS transports typed CellBus events; Iceberg and Postgres hold immutable data and registries; TimescaleDB/ClickHouse serve recent windows. Crucible certifies reconstruction and leakage tests. The Cell Image pins snapshot IDs, decoder/build versions, and entitlements.</w:t>
      </w:r>
    </w:p>
    <w:p>
      <w:r>
        <w:br w:type="page"/>
      </w:r>
    </w:p>
    <w:p>
      <w:pPr>
        <w:pStyle w:val="Heading1"/>
      </w:pPr>
      <w:r>
        <w:t>2. Model types, categorized by use case</w:t>
      </w:r>
    </w:p>
    <w:p>
      <w:pPr>
        <w:pStyle w:val="Heading2"/>
      </w:pPr>
      <w:r>
        <w:t>2.1 Model portfolio rather than model monoculture</w:t>
      </w:r>
    </w:p>
    <w:p>
      <w:r>
        <w:rPr>
          <w:rFonts w:ascii="Calibri" w:hAnsi="Calibri"/>
          <w:b w:val="0"/>
          <w:color w:val="1A2733"/>
        </w:rPr>
        <w:t>The platform should express each model as a typed component: target, horizon, information set, training protocol, output distribution, abstention rule, cost model, and failure modes. A model that forecasts returns is not interchangeable with one that estimates volatility, detects regime, predicts fill probability, or allocates research weight. This prevents the common error of ranking every method by a single Sharpe ratio.</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860"/>
        <w:gridCol w:w="1900"/>
      </w:tblGrid>
      <w:tr>
        <w:trPr>
          <w:tblHeader w:val="true"/>
        </w:trPr>
        <w:tc>
          <w:tcPr>
            <w:tcW w:type="dxa" w:w="1800"/>
            <w:tcMar>
              <w:top w:w="80" w:type="dxa"/>
              <w:start w:w="120" w:type="dxa"/>
              <w:bottom w:w="80" w:type="dxa"/>
              <w:end w:w="120" w:type="dxa"/>
            </w:tcMar>
            <w:vAlign w:val="top"/>
            <w:shd w:fill="E8EEF5"/>
          </w:tcPr>
          <w:p>
            <w:pPr>
              <w:pStyle w:val="CELLQTableText"/>
            </w:pPr>
            <w:r>
              <w:rPr>
                <w:rFonts w:ascii="Calibri" w:hAnsi="Calibri"/>
                <w:b/>
                <w:color w:val="0B2545"/>
                <w:sz w:val="16"/>
              </w:rPr>
              <w:t>Use case</w:t>
            </w:r>
          </w:p>
        </w:tc>
        <w:tc>
          <w:tcPr>
            <w:tcW w:type="dxa" w:w="2800"/>
            <w:tcMar>
              <w:top w:w="80" w:type="dxa"/>
              <w:start w:w="120" w:type="dxa"/>
              <w:bottom w:w="80" w:type="dxa"/>
              <w:end w:w="120" w:type="dxa"/>
            </w:tcMar>
            <w:vAlign w:val="top"/>
            <w:shd w:fill="E8EEF5"/>
          </w:tcPr>
          <w:p>
            <w:pPr>
              <w:pStyle w:val="CELLQTableText"/>
            </w:pPr>
            <w:r>
              <w:rPr>
                <w:rFonts w:ascii="Calibri" w:hAnsi="Calibri"/>
                <w:b/>
                <w:color w:val="0B2545"/>
                <w:sz w:val="16"/>
              </w:rPr>
              <w:t>Established baseline</w:t>
            </w:r>
          </w:p>
        </w:tc>
        <w:tc>
          <w:tcPr>
            <w:tcW w:type="dxa" w:w="2860"/>
            <w:tcMar>
              <w:top w:w="80" w:type="dxa"/>
              <w:start w:w="120" w:type="dxa"/>
              <w:bottom w:w="80" w:type="dxa"/>
              <w:end w:w="120" w:type="dxa"/>
            </w:tcMar>
            <w:vAlign w:val="top"/>
            <w:shd w:fill="E8EEF5"/>
          </w:tcPr>
          <w:p>
            <w:pPr>
              <w:pStyle w:val="CELLQTableText"/>
            </w:pPr>
            <w:r>
              <w:rPr>
                <w:rFonts w:ascii="Calibri" w:hAnsi="Calibri"/>
                <w:b/>
                <w:color w:val="0B2545"/>
                <w:sz w:val="16"/>
              </w:rPr>
              <w:t>More complex candidate</w:t>
            </w:r>
          </w:p>
        </w:tc>
        <w:tc>
          <w:tcPr>
            <w:tcW w:type="dxa" w:w="1900"/>
            <w:tcMar>
              <w:top w:w="80" w:type="dxa"/>
              <w:start w:w="120" w:type="dxa"/>
              <w:bottom w:w="80" w:type="dxa"/>
              <w:end w:w="120" w:type="dxa"/>
            </w:tcMar>
            <w:vAlign w:val="top"/>
            <w:shd w:fill="E8EEF5"/>
          </w:tcPr>
          <w:p>
            <w:pPr>
              <w:pStyle w:val="CELLQTableText"/>
            </w:pPr>
            <w:r>
              <w:rPr>
                <w:rFonts w:ascii="Calibri" w:hAnsi="Calibri"/>
                <w:b/>
                <w:color w:val="0B2545"/>
                <w:sz w:val="16"/>
              </w:rPr>
              <w:t>Evidence classification and decision rule</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Latent trend, level, and volatility</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Kalman/local-linear state space, ARIMA, GARCH-family, realized-volatility models</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Nonlinear state-space or neural SDE</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Established</w:t>
            </w:r>
            <w:r>
              <w:rPr>
                <w:rFonts w:ascii="Calibri" w:hAnsi="Calibri"/>
                <w:b w:val="0"/>
                <w:color w:val="1A2733"/>
                <w:sz w:val="16"/>
              </w:rPr>
              <w:t xml:space="preserve"> as measurement/risk tools. Promote only if probabilistic calibration and decision utility beat simple filters after costs.</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Regime inference</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Change-point tests, hidden Markov or Markov-switching AR models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Neural switching state-space, deep clustering</w:t>
            </w:r>
          </w:p>
        </w:tc>
        <w:tc>
          <w:tcPr>
            <w:tcW w:type="dxa" w:w="1900"/>
            <w:tcMar>
              <w:top w:w="80" w:type="dxa"/>
              <w:start w:w="120" w:type="dxa"/>
              <w:bottom w:w="80" w:type="dxa"/>
              <w:end w:w="120" w:type="dxa"/>
            </w:tcMar>
            <w:vAlign w:val="top"/>
            <w:shd w:fill="F9FAFB"/>
          </w:tcPr>
          <w:p>
            <w:pPr>
              <w:pStyle w:val="CELLQTableText"/>
            </w:pPr>
            <w:r>
              <w:rPr>
                <w:rFonts w:ascii="Calibri" w:hAnsi="Calibri"/>
                <w:b/>
                <w:color w:val="1A2733"/>
                <w:sz w:val="16"/>
              </w:rPr>
              <w:t>Established</w:t>
            </w:r>
            <w:r>
              <w:rPr>
                <w:rFonts w:ascii="Calibri" w:hAnsi="Calibri"/>
                <w:b w:val="0"/>
                <w:color w:val="1A2733"/>
                <w:sz w:val="16"/>
              </w:rPr>
              <w:t xml:space="preserve"> for parsimonious state descriptions; regime labels are uncertain estimates, not ground truth. Hamilton's Markov-switching model remains the canonical reference (</w:t>
            </w:r>
            <w:hyperlink r:id="rId26">
              <w:r>
                <w:rPr>
                  <w:rFonts w:ascii="Calibri" w:hAnsi="Calibri"/>
                  <w:color w:val="2E74B5"/>
                  <w:u w:val="single"/>
                </w:rPr>
                <w:t>Hamilton 1989</w:t>
              </w:r>
            </w:hyperlink>
            <w:r>
              <w:rPr>
                <w:rFonts w:ascii="Calibri" w:hAnsi="Calibri"/>
                <w:b w:val="0"/>
                <w:color w:val="1A2733"/>
                <w:sz w:val="16"/>
              </w:rPr>
              <w: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Cross-contract or cross-market equilibrium</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Spreads, error-correction models, Engle-Granger/Johansen cointegration</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Nonlinear representation or graph models</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Established</w:t>
            </w:r>
            <w:r>
              <w:rPr>
                <w:rFonts w:ascii="Calibri" w:hAnsi="Calibri"/>
                <w:b w:val="0"/>
                <w:color w:val="1A2733"/>
                <w:sz w:val="16"/>
              </w:rPr>
              <w:t xml:space="preserve"> when contract economics justify the relation. Test stability, roll handling, and breakpoints; statistical cointegration alone is not an economic thesis.</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Order-flow dynamics</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Imbalance, duration models, point processes/Hawkes, queue and fill hazards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Deep order-book encoders</w:t>
            </w:r>
          </w:p>
        </w:tc>
        <w:tc>
          <w:tcPr>
            <w:tcW w:type="dxa" w:w="1900"/>
            <w:tcMar>
              <w:top w:w="80" w:type="dxa"/>
              <w:start w:w="120" w:type="dxa"/>
              <w:bottom w:w="80" w:type="dxa"/>
              <w:end w:w="120" w:type="dxa"/>
            </w:tcMar>
            <w:vAlign w:val="top"/>
            <w:shd w:fill="F9FAFB"/>
          </w:tcPr>
          <w:p>
            <w:pPr>
              <w:pStyle w:val="CELLQTableText"/>
            </w:pPr>
            <w:r>
              <w:rPr>
                <w:rFonts w:ascii="Calibri" w:hAnsi="Calibri"/>
                <w:b/>
                <w:color w:val="1A2733"/>
                <w:sz w:val="16"/>
              </w:rPr>
              <w:t>Established-to-promising.</w:t>
            </w:r>
            <w:r>
              <w:rPr>
                <w:rFonts w:ascii="Calibri" w:hAnsi="Calibri"/>
                <w:b w:val="0"/>
                <w:color w:val="1A2733"/>
                <w:sz w:val="16"/>
              </w:rPr>
              <w:t xml:space="preserve"> Mechanistic models are interpretable and data-efficient; deep models may improve prediction while failing to improve net simulated utility.</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Tabular directional/risk classification</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Regularized linear/logistic model, shallow trees</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Gradient-boosted trees</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Established.</w:t>
            </w:r>
            <w:r>
              <w:rPr>
                <w:rFonts w:ascii="Calibri" w:hAnsi="Calibri"/>
                <w:b w:val="0"/>
                <w:color w:val="1A2733"/>
                <w:sz w:val="16"/>
              </w:rPr>
              <w:t xml:space="preserve"> XGBoost is a strong nonlinear baseline with regularization and sparsity handling (</w:t>
            </w:r>
            <w:hyperlink r:id="rId27">
              <w:r>
                <w:rPr>
                  <w:rFonts w:ascii="Calibri" w:hAnsi="Calibri"/>
                  <w:color w:val="2E74B5"/>
                  <w:u w:val="single"/>
                </w:rPr>
                <w:t>XGBoost paper</w:t>
              </w:r>
            </w:hyperlink>
            <w:r>
              <w:rPr>
                <w:rFonts w:ascii="Calibri" w:hAnsi="Calibri"/>
                <w:b w:val="0"/>
                <w:color w:val="1A2733"/>
                <w:sz w:val="16"/>
              </w:rPr>
              <w:t>). Require probability calibration and stability, not just rank accuracy.</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Horizon-aware forecasting</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Seasonal naive, exponential smoothing, linear autoregression</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TFT, PatchTST, N-BEATS/N-HiTS</w:t>
            </w:r>
          </w:p>
        </w:tc>
        <w:tc>
          <w:tcPr>
            <w:tcW w:type="dxa" w:w="1900"/>
            <w:tcMar>
              <w:top w:w="80" w:type="dxa"/>
              <w:start w:w="120" w:type="dxa"/>
              <w:bottom w:w="80" w:type="dxa"/>
              <w:end w:w="120" w:type="dxa"/>
            </w:tcMar>
            <w:vAlign w:val="top"/>
            <w:shd w:fill="F9FAFB"/>
          </w:tcPr>
          <w:p>
            <w:pPr>
              <w:pStyle w:val="CELLQTableText"/>
            </w:pPr>
            <w:r>
              <w:rPr>
                <w:rFonts w:ascii="Calibri" w:hAnsi="Calibri"/>
                <w:b/>
                <w:color w:val="1A2733"/>
                <w:sz w:val="16"/>
              </w:rPr>
              <w:t>Promising</w:t>
            </w:r>
            <w:r>
              <w:rPr>
                <w:rFonts w:ascii="Calibri" w:hAnsi="Calibri"/>
                <w:b w:val="0"/>
                <w:color w:val="1A2733"/>
                <w:sz w:val="16"/>
              </w:rPr>
              <w:t xml:space="preserve"> for multihorizon forecasts. TFT combines recurrence, attention, and variable selection (</w:t>
            </w:r>
            <w:hyperlink r:id="rId28">
              <w:r>
                <w:rPr>
                  <w:rFonts w:ascii="Calibri" w:hAnsi="Calibri"/>
                  <w:color w:val="2E74B5"/>
                  <w:u w:val="single"/>
                </w:rPr>
                <w:t>TFT</w:t>
              </w:r>
            </w:hyperlink>
            <w:r>
              <w:rPr>
                <w:rFonts w:ascii="Calibri" w:hAnsi="Calibri"/>
                <w:b w:val="0"/>
                <w:color w:val="1A2733"/>
                <w:sz w:val="16"/>
              </w:rPr>
              <w:t>); PatchTST tokenizes channel-independent time patches (</w:t>
            </w:r>
            <w:hyperlink r:id="rId29">
              <w:r>
                <w:rPr>
                  <w:rFonts w:ascii="Calibri" w:hAnsi="Calibri"/>
                  <w:color w:val="2E74B5"/>
                  <w:u w:val="single"/>
                </w:rPr>
                <w:t>PatchTST</w:t>
              </w:r>
            </w:hyperlink>
            <w:r>
              <w:rPr>
                <w:rFonts w:ascii="Calibri" w:hAnsi="Calibri"/>
                <w:b w:val="0"/>
                <w:color w:val="1A2733"/>
                <w:sz w:val="16"/>
              </w:rPr>
              <w:t>). Neither paper establishes durable live futures alpha after trading costs.</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Transfer/zero-shot forecasting</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Per-series classical baseline</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Chronos, TimesFM and other time-series foundation models</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Promising but unproven for alpha.</w:t>
            </w:r>
            <w:r>
              <w:rPr>
                <w:rFonts w:ascii="Calibri" w:hAnsi="Calibri"/>
                <w:b w:val="0"/>
                <w:color w:val="1A2733"/>
                <w:sz w:val="16"/>
              </w:rPr>
              <w:t xml:space="preserve"> Chronos reports probabilistic zero-shot forecasting (</w:t>
            </w:r>
            <w:hyperlink r:id="rId30">
              <w:r>
                <w:rPr>
                  <w:rFonts w:ascii="Calibri" w:hAnsi="Calibri"/>
                  <w:color w:val="2E74B5"/>
                  <w:u w:val="single"/>
                </w:rPr>
                <w:t>Chronos</w:t>
              </w:r>
            </w:hyperlink>
            <w:r>
              <w:rPr>
                <w:rFonts w:ascii="Calibri" w:hAnsi="Calibri"/>
                <w:b w:val="0"/>
                <w:color w:val="1A2733"/>
                <w:sz w:val="16"/>
              </w:rPr>
              <w:t>); TimesFM reports foundation-model forecasting results (</w:t>
            </w:r>
            <w:hyperlink r:id="rId31">
              <w:r>
                <w:rPr>
                  <w:rFonts w:ascii="Calibri" w:hAnsi="Calibri"/>
                  <w:color w:val="2E74B5"/>
                  <w:u w:val="single"/>
                </w:rPr>
                <w:t>TimesFM</w:t>
              </w:r>
            </w:hyperlink>
            <w:r>
              <w:rPr>
                <w:rFonts w:ascii="Calibri" w:hAnsi="Calibri"/>
                <w:b w:val="0"/>
                <w:color w:val="1A2733"/>
                <w:sz w:val="16"/>
              </w:rPr>
              <w:t>). Forecast benchmark wins do not imply tradable edge.</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Constrained sequential control</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Deterministic schedule, heuristic participation/impact model</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Offline or model-based RL</w:t>
            </w:r>
          </w:p>
        </w:tc>
        <w:tc>
          <w:tcPr>
            <w:tcW w:type="dxa" w:w="1900"/>
            <w:tcMar>
              <w:top w:w="80" w:type="dxa"/>
              <w:start w:w="120" w:type="dxa"/>
              <w:bottom w:w="80" w:type="dxa"/>
              <w:end w:w="120" w:type="dxa"/>
            </w:tcMar>
            <w:vAlign w:val="top"/>
            <w:shd w:fill="F9FAFB"/>
          </w:tcPr>
          <w:p>
            <w:pPr>
              <w:pStyle w:val="CELLQTableText"/>
            </w:pPr>
            <w:r>
              <w:rPr>
                <w:rFonts w:ascii="Calibri" w:hAnsi="Calibri"/>
                <w:b/>
                <w:color w:val="1A2733"/>
                <w:sz w:val="16"/>
              </w:rPr>
              <w:t>Promising</w:t>
            </w:r>
            <w:r>
              <w:rPr>
                <w:rFonts w:ascii="Calibri" w:hAnsi="Calibri"/>
                <w:b w:val="0"/>
                <w:color w:val="1A2733"/>
                <w:sz w:val="16"/>
              </w:rPr>
              <w:t xml:space="preserve"> for bounded execution/control experiments; fragile for end-to-end directional decisions because of nonstationarity, reward misspecification, simulator bias, and distribution shift.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Formula discovery</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Human-defined feature library with regularized selection</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Genetic programming, symbolic regression, quality-diversity search</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Promising</w:t>
            </w:r>
            <w:r>
              <w:rPr>
                <w:rFonts w:ascii="Calibri" w:hAnsi="Calibri"/>
                <w:b w:val="0"/>
                <w:color w:val="1A2733"/>
                <w:sz w:val="16"/>
              </w:rPr>
              <w:t xml:space="preserve"> only inside a hard trial budget. The original 101 Formulaic Alphas work demonstrates compact formula families, not an autonomous proof of out-of-sample profitability (</w:t>
            </w:r>
            <w:hyperlink r:id="rId32">
              <w:r>
                <w:rPr>
                  <w:rFonts w:ascii="Calibri" w:hAnsi="Calibri"/>
                  <w:color w:val="2E74B5"/>
                  <w:u w:val="single"/>
                </w:rPr>
                <w:t>Kakushadze 2016</w:t>
              </w:r>
            </w:hyperlink>
            <w:r>
              <w:rPr>
                <w:rFonts w:ascii="Calibri" w:hAnsi="Calibri"/>
                <w:b w:val="0"/>
                <w:color w:val="1A2733"/>
                <w:sz w:val="16"/>
              </w:rPr>
              <w: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Regime-conditional prediction</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Fixed blend, stacking on out-of-fold predictions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Mixture of experts with probabilistic gating</w:t>
            </w:r>
          </w:p>
        </w:tc>
        <w:tc>
          <w:tcPr>
            <w:tcW w:type="dxa" w:w="1900"/>
            <w:tcMar>
              <w:top w:w="80" w:type="dxa"/>
              <w:start w:w="120" w:type="dxa"/>
              <w:bottom w:w="80" w:type="dxa"/>
              <w:end w:w="120" w:type="dxa"/>
            </w:tcMar>
            <w:vAlign w:val="top"/>
            <w:shd w:fill="F9FAFB"/>
          </w:tcPr>
          <w:p>
            <w:pPr>
              <w:pStyle w:val="CELLQTableText"/>
            </w:pPr>
            <w:r>
              <w:rPr>
                <w:rFonts w:ascii="Calibri" w:hAnsi="Calibri"/>
                <w:b/>
                <w:color w:val="1A2733"/>
                <w:sz w:val="16"/>
              </w:rPr>
              <w:t>Established architecture, risky estimator.</w:t>
            </w:r>
            <w:r>
              <w:rPr>
                <w:rFonts w:ascii="Calibri" w:hAnsi="Calibri"/>
                <w:b w:val="0"/>
                <w:color w:val="1A2733"/>
                <w:sz w:val="16"/>
              </w:rPr>
              <w:t xml:space="preserve"> The gate must be trained and validated inside the same nested temporal protocol as the experts.</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Language and research operations</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Search, extraction, structured summaries, test drafting</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Multi-agent hypothesis generation and code generation</w:t>
            </w:r>
          </w:p>
        </w:tc>
        <w:tc>
          <w:tcPr>
            <w:tcW w:type="dxa" w:w="1900"/>
            <w:tcMar>
              <w:top w:w="80" w:type="dxa"/>
              <w:start w:w="120" w:type="dxa"/>
              <w:bottom w:w="80" w:type="dxa"/>
              <w:end w:w="120" w:type="dxa"/>
            </w:tcMar>
            <w:vAlign w:val="top"/>
          </w:tcPr>
          <w:p>
            <w:pPr>
              <w:pStyle w:val="CELLQTableText"/>
            </w:pPr>
            <w:r>
              <w:rPr>
                <w:rFonts w:ascii="Calibri" w:hAnsi="Calibri"/>
                <w:b/>
                <w:color w:val="1A2733"/>
                <w:sz w:val="16"/>
              </w:rPr>
              <w:t>Useful offline assistant.</w:t>
            </w:r>
            <w:r>
              <w:rPr>
                <w:rFonts w:ascii="Calibri" w:hAnsi="Calibri"/>
                <w:b w:val="0"/>
                <w:color w:val="1A2733"/>
                <w:sz w:val="16"/>
              </w:rPr>
              <w:t xml:space="preserve"> LLM-produced hypotheses are untrusted proposals. Claims of autonomous alpha discovery remain </w:t>
            </w:r>
            <w:r>
              <w:rPr>
                <w:rFonts w:ascii="Calibri" w:hAnsi="Calibri"/>
                <w:b/>
                <w:color w:val="1A2733"/>
                <w:sz w:val="16"/>
              </w:rPr>
              <w:t>promising or hype</w:t>
            </w:r>
            <w:r>
              <w:rPr>
                <w:rFonts w:ascii="Calibri" w:hAnsi="Calibri"/>
                <w:b w:val="0"/>
                <w:color w:val="1A2733"/>
                <w:sz w:val="16"/>
              </w:rPr>
              <w:t xml:space="preserve"> without locked trials and hidden evaluation.</w:t>
            </w:r>
          </w:p>
        </w:tc>
      </w:tr>
    </w:tbl>
    <w:p>
      <w:pPr>
        <w:spacing w:before="20" w:after="60" w:line="240" w:lineRule="auto"/>
      </w:pPr>
    </w:p>
    <w:p>
      <w:pPr>
        <w:pStyle w:val="Heading2"/>
      </w:pPr>
      <w:r>
        <w:t>2.2 Statistical and microstructure models</w:t>
      </w:r>
    </w:p>
    <w:p>
      <w:r>
        <w:rPr>
          <w:rFonts w:ascii="Calibri" w:hAnsi="Calibri"/>
          <w:b w:val="0"/>
          <w:color w:val="1A2733"/>
        </w:rPr>
        <w:t>State-space models deserve a central place because they separate a noisy observation from an evolving latent state and return uncertainty, not just a point estimate. Use them for local trend, hedge ratio, volatility, seasonality, and missing-observation handling. Regime-switching models can describe changes in mean, variance, or transition dynamics, but inferred states must be carried as posterior probabilities. Hard labels encourage a false certainty that then contaminates expert selection.</w:t>
      </w:r>
    </w:p>
    <w:p>
      <w:r>
        <w:rPr>
          <w:rFonts w:ascii="Calibri" w:hAnsi="Calibri"/>
          <w:b w:val="0"/>
          <w:color w:val="1A2733"/>
        </w:rPr>
        <w:t>Cointegration belongs to economically connected spreads and contract structures. Tests must be performed inside training folds, with multiple-testing correction and explicit structural-break analysis. A stationary historical spread can disappear after a product specification, liquidity, policy, or participant change. For expiring futures, the transformation and roll convention can manufacture or destroy apparent cointegration, so the contract-level result is primary.</w:t>
      </w:r>
    </w:p>
    <w:p>
      <w:r>
        <w:rPr>
          <w:rFonts w:ascii="Calibri" w:hAnsi="Calibri"/>
          <w:b w:val="0"/>
          <w:color w:val="1A2733"/>
        </w:rPr>
        <w:t>At L2/L3, Hawkes processes and survival/hazard models are useful for clustering of arrivals, cancel intensity, and conditional fill probability. They provide a more defensible simulator component than assuming every touched limit order fills. Their limitation is model misspecification in fast regime changes and during data gaps. A deep order-book encoder is a challenger, not a default: compare it to imbalance, spread, depth slope, and duration baselines under the identical event replay and latency draws.</w:t>
      </w:r>
    </w:p>
    <w:p>
      <w:pPr>
        <w:pStyle w:val="Heading2"/>
      </w:pPr>
      <w:r>
        <w:t>2.3 Supervised ML and labels</w:t>
      </w:r>
    </w:p>
    <w:p>
      <w:r>
        <w:rPr>
          <w:rFonts w:ascii="Calibri" w:hAnsi="Calibri"/>
          <w:b w:val="0"/>
          <w:color w:val="1A2733"/>
        </w:rPr>
        <w:t>Gradient boosting is the strongest default for mixed tabular features because it captures nonlinear interactions while remaining debuggable through ablations, monotonic constraints, calibration plots, and dependence diagnostics. Regularized linear models remain mandatory baselines. Meta-labeling can estimate whether to accept an independently generated candidate event; it must not be used to obscure where the original event came from. Triple-barrier labels are one way to express path-aware outcomes, but barrier widths, volatility estimates, and maximum holding time are hyperparameters included in the trial family. Overlapping labels require purging and an embargo around test folds.</w:t>
      </w:r>
    </w:p>
    <w:p>
      <w:r>
        <w:rPr>
          <w:rFonts w:ascii="Calibri" w:hAnsi="Calibri"/>
          <w:b w:val="0"/>
          <w:color w:val="1A2733"/>
        </w:rPr>
        <w:t>Sequence models are appropriate when the ordering and multiscale history cannot be represented economically by lagged features. TFT supports known future covariates and interpretable gating; PatchTST offers an efficient patch representation. The test is not whether a transformer forecasts a price better in squared error. It is whether its calibrated output, after a predeclared decision rule and conservative cost model, improves hidden out-of-sample utility across regimes without depending on a narrow parameter island.</w:t>
      </w:r>
    </w:p>
    <w:p>
      <w:r>
        <w:rPr>
          <w:rFonts w:ascii="Calibri" w:hAnsi="Calibri"/>
          <w:b w:val="0"/>
          <w:color w:val="1A2733"/>
        </w:rPr>
        <w:t>Time-series foundation models are best treated as research baselines and representation sources. Their strongest evidence is zero-shot or few-shot forecasting on broad benchmark collections. Futures returns are low signal-to-noise, adaptive, cost-sensitive, and subject to contract rolls and changing microstructure. Accordingly, a forecasting improvement is at most an intermediate result. CELL-Q should log the pretrained checkpoint, release date, license, context construction, any fine-tuning data, and contamination analysis. A model released on the report date, such as a newly announced generation, receives an extended quarantine because independent replications cannot yet exist.</w:t>
      </w:r>
    </w:p>
    <w:p>
      <w:pPr>
        <w:pStyle w:val="Heading2"/>
      </w:pPr>
      <w:r>
        <w:t>2.4 Reinforcement learning, evolution, ensembles, and LLMs</w:t>
      </w:r>
    </w:p>
    <w:p>
      <w:r>
        <w:rPr>
          <w:rFonts w:ascii="Calibri" w:hAnsi="Calibri"/>
          <w:b w:val="0"/>
          <w:color w:val="1A2733"/>
        </w:rPr>
        <w:t>RL is most credible where actions, constraints, and feedback are tightly specified: synthetic inventory control, order placement under a calibrated simulator, or dynamic research allocation with bounded actions. It fails most often when asked to discover both the market state and the objective from historical prices. The policy exploits simulator defects, changes behavior outside the training distribution, or learns a reward proxy that ignores tail risk and operational constraints. Use offline evaluation, conservative policy improvement, adversarial simulator perturbations, and action shields. No RL policy belongs in a live order path under this report's scope.</w:t>
      </w:r>
    </w:p>
    <w:p>
      <w:r>
        <w:rPr>
          <w:rFonts w:ascii="Calibri" w:hAnsi="Calibri"/>
          <w:b w:val="0"/>
          <w:color w:val="1A2733"/>
        </w:rPr>
        <w:t>Evolutionary search is valuable for exploring typed expression grammars, transformations, and sparse interactions. It also multiplies selection bias. Each distinct expression, seed family, data transformation, and restart consumes the registered budget; semantic hashing prevents cosmetically different formulas from pretending to be independent. Fitness must combine out-of-fold predictive utility, turnover/cost sensitivity, stability, complexity, and correlation to incumbents. Novelty search can be useful, but hidden evaluation is touched only once per promotion round.</w:t>
      </w:r>
    </w:p>
    <w:p>
      <w:r>
        <w:rPr>
          <w:rFonts w:ascii="Calibri" w:hAnsi="Calibri"/>
          <w:b w:val="0"/>
          <w:color w:val="1A2733"/>
        </w:rPr>
        <w:t>Ensembles should be constructed from out-of-fold predictions. Stacking, Bayesian model averaging, and regime-conditional mixtures can reduce model risk, but a gate or allocator is itself a model. It needs a training window, hyperparameters, cost model, uncertainty, and nested evaluation. Equal weight and inverse-volatility blends are required baselines. Hierarchical Risk Parity is a useful correlation-structure heuristic (</w:t>
      </w:r>
      <w:hyperlink r:id="rId33">
        <w:r>
          <w:rPr>
            <w:rFonts w:ascii="Calibri" w:hAnsi="Calibri"/>
            <w:color w:val="2E74B5"/>
            <w:u w:val="single"/>
          </w:rPr>
          <w:t>HRP</w:t>
        </w:r>
      </w:hyperlink>
      <w:r>
        <w:rPr>
          <w:rFonts w:ascii="Calibri" w:hAnsi="Calibri"/>
          <w:b w:val="0"/>
          <w:color w:val="1A2733"/>
        </w:rPr>
        <w:t>); it is not automatically superior and must be revalidated under estimation error and turnover.</w:t>
      </w:r>
    </w:p>
    <w:p>
      <w:r>
        <w:rPr>
          <w:rFonts w:ascii="Calibri" w:hAnsi="Calibri"/>
          <w:b w:val="0"/>
          <w:color w:val="1A2733"/>
        </w:rPr>
        <w:t>LLMs have four allowed roles: convert a research question into a draft HypothesisSpec; propose code that is compiled, statically checked, sandboxed, and tested; extract structured claims from documents with source spans; and summarize evidence for a human reviewer. They have no authority to approve their own hypotheses, reveal a hidden holdout, alter a trial budget, change a policy threshold, or emit an executable market action. Multi-agent debate does not remove correlated model errors; a generator and reviewer are useful only when an external oracle—tests, source evidence, or locked data—can falsify them.</w:t>
      </w:r>
    </w:p>
    <w:p>
      <w:r>
        <w:rPr>
          <w:rFonts w:ascii="Calibri" w:hAnsi="Calibri"/>
          <w:b/>
          <w:color w:val="1A2733"/>
        </w:rPr>
        <w:t>CELL//OS mapping.</w:t>
      </w:r>
      <w:r>
        <w:rPr>
          <w:rFonts w:ascii="Calibri" w:hAnsi="Calibri"/>
          <w:b w:val="0"/>
          <w:color w:val="1A2733"/>
        </w:rPr>
        <w:t xml:space="preserve"> Feature Scientist and Model Developer Operatives implement typed estimators behind a common Model Contract. The Hypothesis Generator emits proposals; Crucible owns independent tests and hidden evaluation; Blackbox runs budgeted search over a typed grammar. The Model Registry, Dataset Registry, Experiment Registry, and Evidence Ledger live in the Memory &amp; Data layer. The Policy Engine forbids LLM and unapproved model calls inside the deterministic simulation path.</w:t>
      </w:r>
    </w:p>
    <w:p>
      <w:r>
        <w:br w:type="page"/>
      </w:r>
    </w:p>
    <w:p>
      <w:pPr>
        <w:pStyle w:val="Heading1"/>
      </w:pPr>
      <w:r>
        <w:t>3. Optimization and validation protocol, in strict order</w:t>
      </w:r>
    </w:p>
    <w:p>
      <w:r>
        <w:rPr>
          <w:rFonts w:ascii="Calibri" w:hAnsi="Calibri"/>
          <w:b w:val="0"/>
          <w:color w:val="1A2733"/>
        </w:rPr>
        <w:t>The protocol below is intentionally serial. A failed data gate cannot be rescued by an attractive performance statistic, and robustness work cannot legitimize a hypothesis that exhausted its declared trial budget.</w:t>
      </w:r>
    </w:p>
    <w:p>
      <w:pPr>
        <w:pStyle w:val="Heading2"/>
      </w:pPr>
      <w:r>
        <w:t>3.1 Step-by-step protocol</w:t>
      </w:r>
    </w:p>
    <w:p>
      <w:pPr>
        <w:pStyle w:val="ListNumber"/>
        <w:numPr>
          <w:ilvl w:val="0"/>
          <w:numId w:val="9201"/>
        </w:numPr>
      </w:pPr>
      <w:r>
        <w:rPr>
          <w:rFonts w:ascii="Calibri" w:hAnsi="Calibri"/>
          <w:b/>
          <w:color w:val="1A2733"/>
        </w:rPr>
        <w:t>Pre-register the hypothesis and adaptive budget.</w:t>
      </w:r>
      <w:r>
        <w:rPr>
          <w:rFonts w:ascii="Calibri" w:hAnsi="Calibri"/>
          <w:b w:val="0"/>
          <w:color w:val="1A2733"/>
        </w:rPr>
        <w:t xml:space="preserve"> Create a signed HypothesisSpec containing the economic/mechanical rationale; null and alternative; instruments; session; horizon; admissible data vintages; labels; baseline; costs and latency assumptions; risk and abstention behavior; target metrics; subgroup/regime analyses; maximum number of distinct feature, parameter, model, seed, and restart trials; stopping rule; and one hidden-holdout access rule. Related experiments share a </w:t>
      </w:r>
      <w:r>
        <w:rPr>
          <w:rFonts w:ascii="Liberation Mono" w:hAnsi="Liberation Mono"/>
          <w:color w:val="0B2545"/>
          <w:sz w:val="19"/>
          <w:shd w:fill="F2F4F7"/>
        </w:rPr>
        <w:t>trial_family_id</w:t>
      </w:r>
      <w:r>
        <w:rPr>
          <w:rFonts w:ascii="Calibri" w:hAnsi="Calibri"/>
          <w:b w:val="0"/>
          <w:color w:val="1A2733"/>
        </w:rPr>
        <w:t>, so changing a variable name does not reset the budget. The backtest-overfitting literature exists because selecting the best among many trials biases the apparent winner (</w:t>
      </w:r>
      <w:hyperlink r:id="rId34">
        <w:r>
          <w:rPr>
            <w:rFonts w:ascii="Calibri" w:hAnsi="Calibri"/>
            <w:color w:val="2E74B5"/>
            <w:u w:val="single"/>
          </w:rPr>
          <w:t>Bailey et al., Probability of Backtest Overfitting</w:t>
        </w:r>
      </w:hyperlink>
      <w:r>
        <w:rPr>
          <w:rFonts w:ascii="Calibri" w:hAnsi="Calibri"/>
          <w:b w:val="0"/>
          <w:color w:val="1A2733"/>
        </w:rPr>
        <w:t>).</w:t>
      </w:r>
    </w:p>
    <w:p>
      <w:pPr>
        <w:pStyle w:val="ListNumber"/>
        <w:numPr>
          <w:ilvl w:val="0"/>
          <w:numId w:val="9201"/>
        </w:numPr>
      </w:pPr>
      <w:r>
        <w:rPr>
          <w:rFonts w:ascii="Calibri" w:hAnsi="Calibri"/>
          <w:b/>
          <w:color w:val="1A2733"/>
        </w:rPr>
        <w:t>Pass data hygiene gates.</w:t>
      </w:r>
      <w:r>
        <w:rPr>
          <w:rFonts w:ascii="Calibri" w:hAnsi="Calibri"/>
          <w:b w:val="0"/>
          <w:color w:val="1A2733"/>
        </w:rPr>
        <w:t xml:space="preserve"> Resolve sequence gaps, duplicated events, corrupt ticks, session/calendar defects, corporate/reference changes, invalid contract mappings, late and revised data, and entitlement gaps. Produce a Data Quality Certificate naming the raw snapshot, normalized snapshot, decoder, validation results, exclusions, and unresolved uncertainty. Run the temporal leakage suite before the Feature Scientist receives the data.</w:t>
      </w:r>
    </w:p>
    <w:p>
      <w:pPr>
        <w:pStyle w:val="ListNumber"/>
        <w:numPr>
          <w:ilvl w:val="0"/>
          <w:numId w:val="9201"/>
        </w:numPr>
      </w:pPr>
      <w:r>
        <w:rPr>
          <w:rFonts w:ascii="Calibri" w:hAnsi="Calibri"/>
          <w:b/>
          <w:color w:val="1A2733"/>
        </w:rPr>
        <w:t>Define labels with availability semantics.</w:t>
      </w:r>
      <w:r>
        <w:rPr>
          <w:rFonts w:ascii="Calibri" w:hAnsi="Calibri"/>
          <w:b w:val="0"/>
          <w:color w:val="1A2733"/>
        </w:rPr>
        <w:t xml:space="preserve"> A label specifies event start, horizon/end, barrier/termination rule if any, overlap policy, price convention, roll behavior, and the earliest time it becomes known. If labels overlap, record the interval so cross-validation can purge training examples whose information overlaps the test interval. Parameterized label families consume trial budget.</w:t>
      </w:r>
    </w:p>
    <w:p>
      <w:pPr>
        <w:pStyle w:val="ListNumber"/>
        <w:numPr>
          <w:ilvl w:val="0"/>
          <w:numId w:val="9201"/>
        </w:numPr>
      </w:pPr>
      <w:r>
        <w:rPr>
          <w:rFonts w:ascii="Calibri" w:hAnsi="Calibri"/>
          <w:b/>
          <w:color w:val="1A2733"/>
        </w:rPr>
        <w:t>Evaluate features before modeling.</w:t>
      </w:r>
      <w:r>
        <w:rPr>
          <w:rFonts w:ascii="Calibri" w:hAnsi="Calibri"/>
          <w:b w:val="0"/>
          <w:color w:val="1A2733"/>
        </w:rPr>
        <w:t xml:space="preserve"> Measure information coefficient and its confidence interval, IC information ratio, mutual information estimated only on training data, missingness, turnover, latency, redundancy clusters, clustered permutation importance, regime/fold sign stability, and sensitivity to winsorization/normalization. Fit transforms inside each training fold. Reject a feature whose apparent value comes from one fold, one contract, one release vintage, or one isolated parameter value.</w:t>
      </w:r>
    </w:p>
    <w:p>
      <w:pPr>
        <w:pStyle w:val="ListNumber"/>
        <w:numPr>
          <w:ilvl w:val="0"/>
          <w:numId w:val="9201"/>
        </w:numPr>
      </w:pPr>
      <w:r>
        <w:rPr>
          <w:rFonts w:ascii="Calibri" w:hAnsi="Calibri"/>
          <w:b/>
          <w:color w:val="1A2733"/>
        </w:rPr>
        <w:t>Run time-respecting cross-validation.</w:t>
      </w:r>
      <w:r>
        <w:rPr>
          <w:rFonts w:ascii="Calibri" w:hAnsi="Calibri"/>
          <w:b w:val="0"/>
          <w:color w:val="1A2733"/>
        </w:rPr>
        <w:t xml:space="preserve"> Start with anchored or rolling walk-forward splits that reflect deployment chronology. Use purged K-fold with an embargo for overlapping samples. CPCV can estimate a distribution of paths rather than a single historical trajectory, but it does not create new information. Hyperparameter and feature selection occur in the inner temporal loop; the outer loop estimates the entire selection procedure. Allocators and regime gates follow the same nesting.</w:t>
      </w:r>
    </w:p>
    <w:p>
      <w:pPr>
        <w:pStyle w:val="ListNumber"/>
        <w:numPr>
          <w:ilvl w:val="0"/>
          <w:numId w:val="9201"/>
        </w:numPr>
      </w:pPr>
      <w:r>
        <w:rPr>
          <w:rFonts w:ascii="Calibri" w:hAnsi="Calibri"/>
          <w:b/>
          <w:color w:val="1A2733"/>
        </w:rPr>
        <w:t>Correct for multiple testing.</w:t>
      </w:r>
      <w:r>
        <w:rPr>
          <w:rFonts w:ascii="Calibri" w:hAnsi="Calibri"/>
          <w:b w:val="0"/>
          <w:color w:val="1A2733"/>
        </w:rPr>
        <w:t xml:space="preserve"> Report the total and effective number of tried configurations. Use the Deflated Sharpe Ratio to adjust for non-normal returns and selection among trials (</w:t>
      </w:r>
      <w:hyperlink r:id="rId35">
        <w:r>
          <w:rPr>
            <w:rFonts w:ascii="Calibri" w:hAnsi="Calibri"/>
            <w:color w:val="2E74B5"/>
            <w:u w:val="single"/>
          </w:rPr>
          <w:t>Bailey &amp; López de Prado, DSR</w:t>
        </w:r>
      </w:hyperlink>
      <w:r>
        <w:rPr>
          <w:rFonts w:ascii="Calibri" w:hAnsi="Calibri"/>
          <w:b w:val="0"/>
          <w:color w:val="1A2733"/>
        </w:rPr>
        <w:t>); estimate PBO with combinatorially symmetric cross-validation; and apply White's Reality Check or Hansen's Superior Predictive Ability test when comparing a family to a benchmark (</w:t>
      </w:r>
      <w:hyperlink r:id="rId36">
        <w:r>
          <w:rPr>
            <w:rFonts w:ascii="Calibri" w:hAnsi="Calibri"/>
            <w:color w:val="2E74B5"/>
            <w:u w:val="single"/>
          </w:rPr>
          <w:t>White 2000</w:t>
        </w:r>
      </w:hyperlink>
      <w:r>
        <w:rPr>
          <w:rFonts w:ascii="Calibri" w:hAnsi="Calibri"/>
          <w:b w:val="0"/>
          <w:color w:val="1A2733"/>
        </w:rPr>
        <w:t xml:space="preserve">, </w:t>
      </w:r>
      <w:hyperlink r:id="rId37">
        <w:r>
          <w:rPr>
            <w:rFonts w:ascii="Calibri" w:hAnsi="Calibri"/>
            <w:color w:val="2E74B5"/>
            <w:u w:val="single"/>
          </w:rPr>
          <w:t>Hansen SPA</w:t>
        </w:r>
      </w:hyperlink>
      <w:r>
        <w:rPr>
          <w:rFonts w:ascii="Calibri" w:hAnsi="Calibri"/>
          <w:b w:val="0"/>
          <w:color w:val="1A2733"/>
        </w:rPr>
        <w:t>). Harvey, Liu, and Zhu show why a conventional unadjusted t-statistic is too weak after extensive factor search (</w:t>
      </w:r>
      <w:hyperlink r:id="rId38">
        <w:r>
          <w:rPr>
            <w:rFonts w:ascii="Calibri" w:hAnsi="Calibri"/>
            <w:color w:val="2E74B5"/>
            <w:u w:val="single"/>
          </w:rPr>
          <w:t>Harvey, Liu &amp; Zhu 2016</w:t>
        </w:r>
      </w:hyperlink>
      <w:r>
        <w:rPr>
          <w:rFonts w:ascii="Calibri" w:hAnsi="Calibri"/>
          <w:b w:val="0"/>
          <w:color w:val="1A2733"/>
        </w:rPr>
        <w:t>).</w:t>
      </w:r>
    </w:p>
    <w:p>
      <w:pPr>
        <w:pStyle w:val="ListNumber"/>
        <w:numPr>
          <w:ilvl w:val="0"/>
          <w:numId w:val="9201"/>
        </w:numPr>
      </w:pPr>
      <w:r>
        <w:rPr>
          <w:rFonts w:ascii="Calibri" w:hAnsi="Calibri"/>
          <w:b/>
          <w:color w:val="1A2733"/>
        </w:rPr>
        <w:t>Compute backtest statistics with uncertainty.</w:t>
      </w:r>
      <w:r>
        <w:rPr>
          <w:rFonts w:ascii="Calibri" w:hAnsi="Calibri"/>
          <w:b w:val="0"/>
          <w:color w:val="1A2733"/>
        </w:rPr>
        <w:t xml:space="preserve"> Report return/utility, volatility, downside and tail measures, maximum and expected drawdown, time under water, turnover, exposure, capacity proxy, win/loss distribution, skew/kurtosis, serial correlation, calibration, and cost attribution. Use block bootstrap or dependence-aware intervals. Calculate a probabilistic Sharpe ratio and minimum track-record length at the chosen confidence; do not impose a universal number of months (</w:t>
      </w:r>
      <w:hyperlink r:id="rId39">
        <w:r>
          <w:rPr>
            <w:rFonts w:ascii="Calibri" w:hAnsi="Calibri"/>
            <w:color w:val="2E74B5"/>
            <w:u w:val="single"/>
          </w:rPr>
          <w:t>Bailey &amp; López de Prado, Sharpe inference</w:t>
        </w:r>
      </w:hyperlink>
      <w:r>
        <w:rPr>
          <w:rFonts w:ascii="Calibri" w:hAnsi="Calibri"/>
          <w:b w:val="0"/>
          <w:color w:val="1A2733"/>
        </w:rPr>
        <w:t>). Separate gross edge, explicit fees, spread, market impact proxy, adverse selection, and modelled latency.</w:t>
      </w:r>
    </w:p>
    <w:p>
      <w:pPr>
        <w:pStyle w:val="ListNumber"/>
        <w:numPr>
          <w:ilvl w:val="0"/>
          <w:numId w:val="9201"/>
        </w:numPr>
      </w:pPr>
      <w:r>
        <w:rPr>
          <w:rFonts w:ascii="Calibri" w:hAnsi="Calibri"/>
          <w:b/>
          <w:color w:val="1A2733"/>
        </w:rPr>
        <w:t>Run dependence-aware Monte Carlo and policy-conformance tests.</w:t>
      </w:r>
      <w:r>
        <w:rPr>
          <w:rFonts w:ascii="Calibri" w:hAnsi="Calibri"/>
          <w:b w:val="0"/>
          <w:color w:val="1A2733"/>
        </w:rPr>
        <w:t xml:space="preserve"> Use block bootstraps to preserve dependence, trade/order reshuffling only when its independence assumption is stated, parameter perturbations, latency/slippage draws, missed-event and data-gap injections, and regime-conditional resampling. A generic policy harness reports invariant coverage, violations, clock/reset defects, and differences among plausible textual interpretations. It must not estimate how to pass a commercial program, optimize a target, or translate any result into account size.</w:t>
      </w:r>
    </w:p>
    <w:p>
      <w:pPr>
        <w:pStyle w:val="ListNumber"/>
        <w:numPr>
          <w:ilvl w:val="0"/>
          <w:numId w:val="9201"/>
        </w:numPr>
      </w:pPr>
      <w:r>
        <w:rPr>
          <w:rFonts w:ascii="Calibri" w:hAnsi="Calibri"/>
          <w:b/>
          <w:color w:val="1A2733"/>
        </w:rPr>
        <w:t>Test robustness and transfer.</w:t>
      </w:r>
      <w:r>
        <w:rPr>
          <w:rFonts w:ascii="Calibri" w:hAnsi="Calibri"/>
          <w:b w:val="0"/>
          <w:color w:val="1A2733"/>
        </w:rPr>
        <w:t xml:space="preserve"> Plot a parameter surface rather than a single optimum; require a neighborhood of acceptable utility. Replay stress periods without retuning, perturb session boundaries and roll choices, test adjacent contracts/products where the economic thesis applies, remove the best day/week, widen costs and latency, and degrade fill probability. Cross-product failure is diagnostic, not always disqualifying; unexplained dependence on one contract is.</w:t>
      </w:r>
    </w:p>
    <w:p>
      <w:pPr>
        <w:pStyle w:val="ListNumber"/>
        <w:numPr>
          <w:ilvl w:val="0"/>
          <w:numId w:val="9201"/>
        </w:numPr>
      </w:pPr>
      <w:r>
        <w:rPr>
          <w:rFonts w:ascii="Calibri" w:hAnsi="Calibri"/>
          <w:b/>
          <w:color w:val="1A2733"/>
        </w:rPr>
        <w:t>Select on a Pareto frontier.</w:t>
      </w:r>
      <w:r>
        <w:rPr>
          <w:rFonts w:ascii="Calibri" w:hAnsi="Calibri"/>
          <w:b w:val="0"/>
          <w:color w:val="1A2733"/>
        </w:rPr>
        <w:t xml:space="preserve"> Optimize multiple objectives—adjusted predictive utility, drawdown/tail loss, turnover/cost sensitivity, stability, complexity, novelty, and compute cost—rather than a weighted score whose weights can be tuned after inspection. NSGA-II's nondominated sorting and crowding distance remain a practical baseline (</w:t>
      </w:r>
      <w:hyperlink r:id="rId40">
        <w:r>
          <w:rPr>
            <w:rFonts w:ascii="Calibri" w:hAnsi="Calibri"/>
            <w:color w:val="2E74B5"/>
            <w:u w:val="single"/>
          </w:rPr>
          <w:t>Deb et al. 2002</w:t>
        </w:r>
      </w:hyperlink>
      <w:r>
        <w:rPr>
          <w:rFonts w:ascii="Calibri" w:hAnsi="Calibri"/>
          <w:b w:val="0"/>
          <w:color w:val="1A2733"/>
        </w:rPr>
        <w:t>). NSGA-III is useful only when the objective count and population justify the complexity. The Risk Officer can impose hard constraints outside the frontier.</w:t>
      </w:r>
    </w:p>
    <w:p>
      <w:pPr>
        <w:pStyle w:val="ListNumber"/>
        <w:numPr>
          <w:ilvl w:val="0"/>
          <w:numId w:val="9201"/>
        </w:numPr>
      </w:pPr>
      <w:r>
        <w:rPr>
          <w:rFonts w:ascii="Calibri" w:hAnsi="Calibri"/>
          <w:b/>
          <w:color w:val="1A2733"/>
        </w:rPr>
        <w:t>Promote through forward, paper, and shadow states.</w:t>
      </w:r>
      <w:r>
        <w:rPr>
          <w:rFonts w:ascii="Calibri" w:hAnsi="Calibri"/>
          <w:b w:val="0"/>
          <w:color w:val="1A2733"/>
        </w:rPr>
        <w:t xml:space="preserve"> Freeze code, data schema, parameters, dependencies, and policy into a Cell Image. Observe it on future data without retraining or discretionary exclusions. Compare predicted and realized distributions, simulator-versus-paper fills, latency, cost attribution, abstention, data incidents, and policy decisions. Promotion is to a stronger simulation certification state only; this report defines no live boundary.</w:t>
      </w:r>
    </w:p>
    <w:p>
      <w:pPr>
        <w:pStyle w:val="ListNumber"/>
        <w:numPr>
          <w:ilvl w:val="0"/>
          <w:numId w:val="9201"/>
        </w:numPr>
      </w:pPr>
      <w:r>
        <w:rPr>
          <w:rFonts w:ascii="Calibri" w:hAnsi="Calibri"/>
          <w:b/>
          <w:color w:val="1A2733"/>
        </w:rPr>
        <w:t>Validate the portfolio allocator as a model.</w:t>
      </w:r>
      <w:r>
        <w:rPr>
          <w:rFonts w:ascii="Calibri" w:hAnsi="Calibri"/>
          <w:b w:val="0"/>
          <w:color w:val="1A2733"/>
        </w:rPr>
        <w:t xml:space="preserve"> Feed it only out-of-fold strategy returns/predictions. Compare equal weight, inverse volatility, constrained mean-variance, HRP, Bayesian model averaging, and risk-aware bandits. Nest estimation, turnover costs, regime classification, and hyperparameters. Stress correlation spikes, strategy disappearance, stale predictions, capacity limits, and allocator failure. A dynamic allocator that is not nested usually launders strategy selection bias into a portfolio result.</w:t>
      </w:r>
    </w:p>
    <w:p>
      <w:pPr>
        <w:pStyle w:val="ListNumber"/>
        <w:numPr>
          <w:ilvl w:val="0"/>
          <w:numId w:val="9201"/>
        </w:numPr>
      </w:pPr>
      <w:r>
        <w:rPr>
          <w:rFonts w:ascii="Calibri" w:hAnsi="Calibri"/>
          <w:b/>
          <w:color w:val="1A2733"/>
        </w:rPr>
        <w:t>Detect decay and de-risk automatically.</w:t>
      </w:r>
      <w:r>
        <w:rPr>
          <w:rFonts w:ascii="Calibri" w:hAnsi="Calibri"/>
          <w:b w:val="0"/>
          <w:color w:val="1A2733"/>
        </w:rPr>
        <w:t xml:space="preserve"> Monitor rolling performance with uncertainty, CUSUM/change-point alarms, feature Population Stability Index and KS tests, prediction calibration, slippage and fill-model residuals, rule-buffer distance, data-quality incidents, and cross-strategy correlation. Use a deterministic ladder: observe → cap new simulated exposure → reduce risk budget → quarantine new actions → flatten the simulation state → retire/research. Restoration requires a new Evidence Pack; an LLM cannot override a ladder state.</w:t>
      </w:r>
    </w:p>
    <w:p>
      <w:pPr>
        <w:pStyle w:val="Heading2"/>
      </w:pPr>
      <w:r>
        <w:t>3.2 Commercial-rule conformance as a policy test</w:t>
      </w:r>
    </w:p>
    <w:p>
      <w:r>
        <w:rPr>
          <w:rFonts w:ascii="Calibri" w:hAnsi="Calibri"/>
          <w:b w:val="0"/>
          <w:color w:val="1A2733"/>
        </w:rPr>
        <w:t>A commercial rule page should become a versioned policy specification, not remain a paragraph in an agent prompt. The specification records state variables, update clocks, reset events, thresholds, units, and prohibited transitions. Ambiguity is modeled as multiple interpretations; the most conservative valid interpretation governs certification.</w:t>
      </w:r>
    </w:p>
    <w:p>
      <w:r>
        <w:rPr>
          <w:rFonts w:ascii="Calibri" w:hAnsi="Calibri"/>
          <w:b w:val="0"/>
          <w:color w:val="1A2733"/>
        </w:rPr>
        <w:t>Property-based and boundary-value testing should generate clocks, resets, partial state updates, stale observations, and conflicting interpretations, then prove that prohibited transitions are rejected and uncertainty fails closed. Separate policy versions are tested independently. The harness is for software assurance only; it does not estimate success probabilities or produce instructions for entering, sizing, or managing accounts.</w:t>
      </w:r>
    </w:p>
    <w:p>
      <w:pPr>
        <w:pStyle w:val="Heading2"/>
      </w:pPr>
      <w:r>
        <w:t>3.3 Promotion gate table</w:t>
      </w:r>
    </w:p>
    <w:p>
      <w:r>
        <w:rPr>
          <w:rFonts w:ascii="Calibri" w:hAnsi="Calibri"/>
          <w:b w:val="0"/>
          <w:color w:val="1A2733"/>
        </w:rPr>
        <w:t xml:space="preserve">The numeric values below are </w:t>
      </w:r>
      <w:r>
        <w:rPr>
          <w:rFonts w:ascii="Calibri" w:hAnsi="Calibri"/>
          <w:b/>
          <w:color w:val="1A2733"/>
        </w:rPr>
        <w:t>starter governance defaults for CELL-Q</w:t>
      </w:r>
      <w:r>
        <w:rPr>
          <w:rFonts w:ascii="Calibri" w:hAnsi="Calibri"/>
          <w:b w:val="0"/>
          <w:color w:val="1A2733"/>
        </w:rPr>
        <w:t>, not universal claims from the cited literature. They should be calibrated through false-promotion/false-rejection studies and tightened when the trial family is large or the data are weak.</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860"/>
        <w:gridCol w:w="1900"/>
      </w:tblGrid>
      <w:tr>
        <w:trPr>
          <w:tblHeader w:val="true"/>
        </w:trPr>
        <w:tc>
          <w:tcPr>
            <w:tcW w:type="dxa" w:w="1800"/>
            <w:tcMar>
              <w:top w:w="80" w:type="dxa"/>
              <w:start w:w="120" w:type="dxa"/>
              <w:bottom w:w="80" w:type="dxa"/>
              <w:end w:w="120" w:type="dxa"/>
            </w:tcMar>
            <w:vAlign w:val="top"/>
            <w:shd w:fill="E8EEF5"/>
          </w:tcPr>
          <w:p>
            <w:pPr>
              <w:pStyle w:val="CELLQTableText"/>
            </w:pPr>
            <w:r>
              <w:rPr>
                <w:rFonts w:ascii="Calibri" w:hAnsi="Calibri"/>
                <w:b/>
                <w:color w:val="0B2545"/>
                <w:sz w:val="16"/>
              </w:rPr>
              <w:t>Stage</w:t>
            </w:r>
          </w:p>
        </w:tc>
        <w:tc>
          <w:tcPr>
            <w:tcW w:type="dxa" w:w="2800"/>
            <w:tcMar>
              <w:top w:w="80" w:type="dxa"/>
              <w:start w:w="120" w:type="dxa"/>
              <w:bottom w:w="80" w:type="dxa"/>
              <w:end w:w="120" w:type="dxa"/>
            </w:tcMar>
            <w:vAlign w:val="top"/>
            <w:shd w:fill="E8EEF5"/>
          </w:tcPr>
          <w:p>
            <w:pPr>
              <w:pStyle w:val="CELLQTableText"/>
            </w:pPr>
            <w:r>
              <w:rPr>
                <w:rFonts w:ascii="Calibri" w:hAnsi="Calibri"/>
                <w:b/>
                <w:color w:val="0B2545"/>
                <w:sz w:val="16"/>
              </w:rPr>
              <w:t>Required metrics/evidence</w:t>
            </w:r>
          </w:p>
        </w:tc>
        <w:tc>
          <w:tcPr>
            <w:tcW w:type="dxa" w:w="2860"/>
            <w:tcMar>
              <w:top w:w="80" w:type="dxa"/>
              <w:start w:w="120" w:type="dxa"/>
              <w:bottom w:w="80" w:type="dxa"/>
              <w:end w:w="120" w:type="dxa"/>
            </w:tcMar>
            <w:vAlign w:val="top"/>
            <w:shd w:fill="E8EEF5"/>
          </w:tcPr>
          <w:p>
            <w:pPr>
              <w:pStyle w:val="CELLQTableText"/>
            </w:pPr>
            <w:r>
              <w:rPr>
                <w:rFonts w:ascii="Calibri" w:hAnsi="Calibri"/>
                <w:b/>
                <w:color w:val="0B2545"/>
                <w:sz w:val="16"/>
              </w:rPr>
              <w:t>Starter gate</w:t>
            </w:r>
          </w:p>
        </w:tc>
        <w:tc>
          <w:tcPr>
            <w:tcW w:type="dxa" w:w="1900"/>
            <w:tcMar>
              <w:top w:w="80" w:type="dxa"/>
              <w:start w:w="120" w:type="dxa"/>
              <w:bottom w:w="80" w:type="dxa"/>
              <w:end w:w="120" w:type="dxa"/>
            </w:tcMar>
            <w:vAlign w:val="top"/>
            <w:shd w:fill="E8EEF5"/>
          </w:tcPr>
          <w:p>
            <w:pPr>
              <w:pStyle w:val="CELLQTableText"/>
            </w:pPr>
            <w:r>
              <w:rPr>
                <w:rFonts w:ascii="Calibri" w:hAnsi="Calibri"/>
                <w:b/>
                <w:color w:val="0B2545"/>
                <w:sz w:val="16"/>
              </w:rPr>
              <w:t>Owning role</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G0 Intent and preregistration</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HypothesisSpec, null, information set, costs, trial family/budget, locked metrics</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100% required fields; no evaluation job until signed</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Hypothesis Generator; Research Lead approval</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G1 Data certificate</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Sequence/duplicate checks, point-in-time joins, revision and calendar tests, replay hashes, entitlements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Zero unresolved critical gaps; 100% snapshot and lineage IDs; leakage suite passes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Data Steward; Crucible red team</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G2 Feature screen</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OOS IC/MI intervals, fold/regime signs, redundancy cluster, latency, turnover</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Direction stable in at least 70% of admissible outer folds; no single fold contributes over 50% of total utility; transforms fit inside folds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Feature Scientist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G3 Model selection</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Nested temporal CV, calibration, baseline delta, ablations, trial count</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Median outer-fold improvement positive; uncertainty reported; no hidden-holdout access; all trials charged</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Model Developer; Evaluator</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G4 Selection-bias correction</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DSR, PBO, Reality Check/SPA, effective trials, MinTRL</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DSR probability at least 0.95; PBO below 0.20; family test p below 0.05 where assumptions hold; MinTRL satisfied</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Backtest Engineer; Red-team Reviewer</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G5 Cost and robustness</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Conservative costs, latency/fill perturbation, parameter surface, block bootstrap, crisis/stress replay</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Positive adjusted utility under the registered conservative case; adjacent parameter neighborhood retains at least 70% of peak utility; no single day/week is essential</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Backtest Engineer; Risk Officer</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G6 Policy conformance</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Invariant coverage, rejected transitions, reset/clock fixtures, interpretation sensitivity</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All registered invariants pass under every plausible conservative interpretation; ambiguity fails closed</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Prop-rule Warden; Risk Officer</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G7 Frozen forward/paper</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Future-only observations, drift, fill residuals, incidents, reproducibility</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At least 60 relevant sessions or computed MinTRL, whichever is longer; no critical policy/data incident; fill/slippage residuals inside predeclared tolerance</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Execution Simulator; SRE; Human approver</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G8 Certified simulation</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Signed Evidence Pack, reproducible Cell Image, rollback, monitor plan</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Independent rerun reproduces metrics within numerical tolerance; all vetoes cleared; scope remains simulation-only</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Crucible; Risk Officer; Human approver</w:t>
            </w:r>
          </w:p>
        </w:tc>
      </w:tr>
    </w:tbl>
    <w:p>
      <w:pPr>
        <w:spacing w:before="20" w:after="60" w:line="240" w:lineRule="auto"/>
      </w:pPr>
    </w:p>
    <w:p>
      <w:r>
        <w:rPr>
          <w:rFonts w:ascii="Calibri" w:hAnsi="Calibri"/>
          <w:b/>
          <w:color w:val="1A2733"/>
        </w:rPr>
        <w:t>CELL//OS mapping.</w:t>
      </w:r>
      <w:r>
        <w:rPr>
          <w:rFonts w:ascii="Calibri" w:hAnsi="Calibri"/>
          <w:b w:val="0"/>
          <w:color w:val="1A2733"/>
        </w:rPr>
        <w:t xml:space="preserve"> The Intent Engine materializes HypothesisSpec; Planning compiles the validation WorkGraph; Execution dispatches sandboxed jobs; Memory stores immutable trial and artifact registries; Evaluation is Crucible; Learning records falsified and supported claims; Evolution is Blackbox under a hard budget. The Risk Officer and Prop-rule Warden have independent, deterministic veto authority. Promotion produces a versioned Cell Image rather than mutating a running Operative.</w:t>
      </w:r>
    </w:p>
    <w:p>
      <w:r>
        <w:br w:type="page"/>
      </w:r>
    </w:p>
    <w:p>
      <w:pPr>
        <w:pStyle w:val="Heading1"/>
      </w:pPr>
      <w:r>
        <w:t>4. Modern architectures for feature engineering, ranking, and selection</w:t>
      </w:r>
    </w:p>
    <w:p>
      <w:pPr>
        <w:pStyle w:val="Heading2"/>
      </w:pPr>
      <w:r>
        <w:t>4.1 A typed alpha language</w:t>
      </w:r>
    </w:p>
    <w:p>
      <w:r>
        <w:rPr>
          <w:rFonts w:ascii="Calibri" w:hAnsi="Calibri"/>
          <w:b w:val="0"/>
          <w:color w:val="1A2733"/>
        </w:rPr>
        <w:t>Formulaic mining should operate on a typed intermediate representation rather than arbitrary Python. Each terminal carries units, sampling clock, availability delay, contract scope, and missingness semantics. Each operator declares accepted types, output type, lookback, state, and whether it is safe under streaming replay. For example, adding a price to a volume is rejected by dimensional analysis; a centered rolling mean is rejected because it consumes the future; an option surface feature cannot be joined before its source observation time; and a front-contract operator must cite a versioned roll map.</w:t>
      </w:r>
    </w:p>
    <w:p>
      <w:r>
        <w:rPr>
          <w:rFonts w:ascii="Calibri" w:hAnsi="Calibri"/>
          <w:b w:val="0"/>
          <w:color w:val="1A2733"/>
        </w:rPr>
        <w:t>The grammar can include lag, difference, ratio, rank, robust z-score, exponentially weighted state, rolling moments, signed volume, book imbalance, duration, cross-sectional transform, and economically justified cross-contract operations. Complexity is measured by expression depth, number of state variables, effective lookback, data-source count, and compute cost. Canonicalization performs constant folding, commutative ordering, algebraic simplification, and correlation/behavioral fingerprinting so equivalent ideas share one trial charge.</w:t>
      </w:r>
    </w:p>
    <w:p>
      <w:r>
        <w:rPr>
          <w:rFonts w:ascii="Calibri" w:hAnsi="Calibri"/>
          <w:b w:val="0"/>
          <w:color w:val="1A2733"/>
        </w:rPr>
        <w:t>Evolution proceeds in two loops. Blackbox explores on training/development folds using multiobjective fitness. Crucible then evaluates a small frozen candidate set using data and tests Blackbox cannot access. Genetic search is not evidence of efficacy: Allen and Karjalainen's genetic-rule study illustrates the method and the fragility of apparent rule discovery (</w:t>
      </w:r>
      <w:hyperlink r:id="rId41">
        <w:r>
          <w:rPr>
            <w:rFonts w:ascii="Calibri" w:hAnsi="Calibri"/>
            <w:color w:val="2E74B5"/>
            <w:u w:val="single"/>
          </w:rPr>
          <w:t>Allen &amp; Karjalainen 1999</w:t>
        </w:r>
      </w:hyperlink>
      <w:r>
        <w:rPr>
          <w:rFonts w:ascii="Calibri" w:hAnsi="Calibri"/>
          <w:b w:val="0"/>
          <w:color w:val="1A2733"/>
        </w:rPr>
        <w:t>). Each individual, restart, seed family, and modified grammar remains part of the effective search count used by DSR/PBO and family tests.</w:t>
      </w:r>
    </w:p>
    <w:p>
      <w:pPr>
        <w:pStyle w:val="Heading2"/>
      </w:pPr>
      <w:r>
        <w:t>4.2 LLM-proposed, automatically tested hypotheses</w:t>
      </w:r>
    </w:p>
    <w:p>
      <w:r>
        <w:rPr>
          <w:rFonts w:ascii="Calibri" w:hAnsi="Calibri"/>
          <w:b w:val="0"/>
          <w:color w:val="1A2733"/>
        </w:rPr>
        <w:t>An LLM may produce only a declarative HypothesisSpec:</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3550"/>
        <w:gridCol w:w="3710"/>
      </w:tblGrid>
      <w:tr>
        <w:trPr>
          <w:tblHeader w:val="true"/>
        </w:trPr>
        <w:tc>
          <w:tcPr>
            <w:tcW w:type="dxa" w:w="2100"/>
            <w:tcMar>
              <w:top w:w="80" w:type="dxa"/>
              <w:start w:w="120" w:type="dxa"/>
              <w:bottom w:w="80" w:type="dxa"/>
              <w:end w:w="120" w:type="dxa"/>
            </w:tcMar>
            <w:vAlign w:val="top"/>
            <w:shd w:fill="E8EEF5"/>
          </w:tcPr>
          <w:p>
            <w:pPr>
              <w:pStyle w:val="CELLQTableText"/>
            </w:pPr>
            <w:r>
              <w:rPr>
                <w:rFonts w:ascii="Calibri" w:hAnsi="Calibri"/>
                <w:b/>
                <w:color w:val="0B2545"/>
                <w:sz w:val="16"/>
              </w:rPr>
              <w:t>Field</w:t>
            </w:r>
          </w:p>
        </w:tc>
        <w:tc>
          <w:tcPr>
            <w:tcW w:type="dxa" w:w="3550"/>
            <w:tcMar>
              <w:top w:w="80" w:type="dxa"/>
              <w:start w:w="120" w:type="dxa"/>
              <w:bottom w:w="80" w:type="dxa"/>
              <w:end w:w="120" w:type="dxa"/>
            </w:tcMar>
            <w:vAlign w:val="top"/>
            <w:shd w:fill="E8EEF5"/>
          </w:tcPr>
          <w:p>
            <w:pPr>
              <w:pStyle w:val="CELLQTableText"/>
            </w:pPr>
            <w:r>
              <w:rPr>
                <w:rFonts w:ascii="Calibri" w:hAnsi="Calibri"/>
                <w:b/>
                <w:color w:val="0B2545"/>
                <w:sz w:val="16"/>
              </w:rPr>
              <w:t>Required content</w:t>
            </w:r>
          </w:p>
        </w:tc>
        <w:tc>
          <w:tcPr>
            <w:tcW w:type="dxa" w:w="3710"/>
            <w:tcMar>
              <w:top w:w="80" w:type="dxa"/>
              <w:start w:w="120" w:type="dxa"/>
              <w:bottom w:w="80" w:type="dxa"/>
              <w:end w:w="120" w:type="dxa"/>
            </w:tcMar>
            <w:vAlign w:val="top"/>
            <w:shd w:fill="E8EEF5"/>
          </w:tcPr>
          <w:p>
            <w:pPr>
              <w:pStyle w:val="CELLQTableText"/>
            </w:pPr>
            <w:r>
              <w:rPr>
                <w:rFonts w:ascii="Calibri" w:hAnsi="Calibri"/>
                <w:b/>
                <w:color w:val="0B2545"/>
                <w:sz w:val="16"/>
              </w:rPr>
              <w:t>Automatic rejection examples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Rationale</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Market mechanism and falsifiable causal chain</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Pure pattern description; appeal to authority; hidden future information</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Information set</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Exact datasets, fields, delays, sessions, and vintages</w:t>
            </w:r>
          </w:p>
        </w:tc>
        <w:tc>
          <w:tcPr>
            <w:tcW w:type="dxa" w:w="3710"/>
            <w:tcMar>
              <w:top w:w="80" w:type="dxa"/>
              <w:start w:w="120" w:type="dxa"/>
              <w:bottom w:w="80" w:type="dxa"/>
              <w:end w:w="120" w:type="dxa"/>
            </w:tcMar>
            <w:vAlign w:val="top"/>
            <w:shd w:fill="F9FAFB"/>
          </w:tcPr>
          <w:p>
            <w:pPr>
              <w:pStyle w:val="CELLQTableText"/>
            </w:pPr>
            <w:r>
              <w:rPr>
                <w:rFonts w:ascii="Liberation Mono" w:hAnsi="Liberation Mono"/>
                <w:color w:val="0B2545"/>
                <w:sz w:val="15"/>
                <w:shd w:fill="F2F4F7"/>
              </w:rPr>
              <w:t>latest</w:t>
            </w:r>
            <w:r>
              <w:rPr>
                <w:rFonts w:ascii="Calibri" w:hAnsi="Calibri"/>
                <w:b w:val="0"/>
                <w:color w:val="1A2733"/>
                <w:sz w:val="16"/>
              </w:rPr>
              <w:t xml:space="preserve"> aliases; revised values without publication lag</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Transform</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Typed DSL expression or testable pseudocode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Network calls, arbitrary file reads, dynamic code execution</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Prediction/decision target</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Horizon, label, probabilistic output, abstention</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Undefined horizon; target derived from an unavailable close</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Baseline and ablations</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Simplest plausible comparator and removal tests</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Comparison only with a deliberately weak model</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Failure conditions</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Regimes and observations that would falsify the claim</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No possible falsifier; threshold changed after results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Budget</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Trial family, variants, seeds, maximum evaluations</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New project identity used to evade exhausted budget</w:t>
            </w:r>
          </w:p>
        </w:tc>
      </w:tr>
    </w:tbl>
    <w:p>
      <w:pPr>
        <w:spacing w:before="20" w:after="60" w:line="240" w:lineRule="auto"/>
      </w:pPr>
    </w:p>
    <w:p>
      <w:r>
        <w:rPr>
          <w:rFonts w:ascii="Calibri" w:hAnsi="Calibri"/>
          <w:b w:val="0"/>
          <w:color w:val="1A2733"/>
        </w:rPr>
        <w:t>The compiler checks schema, temporal safety, units, allowed operators, computational bounds, and semantic duplication. Generated code runs in a network-disabled sandbox against synthetic fixtures before it sees research data. Static analysis and property-based tests verify causality, determinism, bounded memory, missing data, session resets, and identical streaming/batch output. The evaluator returns a signed coarse verdict and predeclared diagnostic categories, not holdout predictions, daily P&amp;L, exact weak regimes, or an optimization direction. This limits adaptive overfitting.</w:t>
      </w:r>
    </w:p>
    <w:p>
      <w:r>
        <w:rPr>
          <w:rFonts w:ascii="Calibri" w:hAnsi="Calibri"/>
          <w:b w:val="0"/>
          <w:color w:val="1A2733"/>
        </w:rPr>
        <w:t>The research-firewall pattern follows work on reusable holdouts: repeated adaptive inspection of a holdout invalidates ordinary confidence, so information released from evaluation must be budgeted and minimized (</w:t>
      </w:r>
      <w:hyperlink r:id="rId42">
        <w:r>
          <w:rPr>
            <w:rFonts w:ascii="Calibri" w:hAnsi="Calibri"/>
            <w:color w:val="2E74B5"/>
            <w:u w:val="single"/>
          </w:rPr>
          <w:t>Dwork et al., Reusable Holdout</w:t>
        </w:r>
      </w:hyperlink>
      <w:r>
        <w:rPr>
          <w:rFonts w:ascii="Calibri" w:hAnsi="Calibri"/>
          <w:b w:val="0"/>
          <w:color w:val="1A2733"/>
        </w:rPr>
        <w:t>). In CELL-Q, generator and evaluator have separate identities, storage namespaces, tool capabilities, and encryption keys. A one-way Evidence Request crosses the boundary; a signed Evidence Verdict returns. When the disclosure budget is exhausted, a new future window must accumulate rather than recycling the old holdout under a new name.</w:t>
      </w:r>
    </w:p>
    <w:p>
      <w:pPr>
        <w:pStyle w:val="Heading2"/>
      </w:pPr>
      <w:r>
        <w:t>4.3 Representation and regime layers</w:t>
      </w:r>
    </w:p>
    <w:p>
      <w:r>
        <w:rPr>
          <w:rFonts w:ascii="Calibri" w:hAnsi="Calibri"/>
          <w:b w:val="0"/>
          <w:color w:val="1A2733"/>
        </w:rPr>
        <w:t>Self-supervised encoders such as contrastive time-series representations can be trained on the admissible past and exposed as versioned feature generators. They are useful when labels are scarce, but they introduce hidden degrees of freedom: pretraining universe, augmentations, receptive field, checkpoint selection, and fine-tuning all consume budget. TS2Vec and CoST demonstrate general-purpose representation learning on time-series benchmarks, not net futures performance (</w:t>
      </w:r>
      <w:hyperlink r:id="rId43">
        <w:r>
          <w:rPr>
            <w:rFonts w:ascii="Calibri" w:hAnsi="Calibri"/>
            <w:color w:val="2E74B5"/>
            <w:u w:val="single"/>
          </w:rPr>
          <w:t>TS2Vec</w:t>
        </w:r>
      </w:hyperlink>
      <w:r>
        <w:rPr>
          <w:rFonts w:ascii="Calibri" w:hAnsi="Calibri"/>
          <w:b w:val="0"/>
          <w:color w:val="1A2733"/>
        </w:rPr>
        <w:t xml:space="preserve">, </w:t>
      </w:r>
      <w:hyperlink r:id="rId44">
        <w:r>
          <w:rPr>
            <w:rFonts w:ascii="Calibri" w:hAnsi="Calibri"/>
            <w:color w:val="2E74B5"/>
            <w:u w:val="single"/>
          </w:rPr>
          <w:t>CoST</w:t>
        </w:r>
      </w:hyperlink>
      <w:r>
        <w:rPr>
          <w:rFonts w:ascii="Calibri" w:hAnsi="Calibri"/>
          <w:b w:val="0"/>
          <w:color w:val="1A2733"/>
        </w:rPr>
        <w:t>). A frozen encoder must therefore beat raw-feature and random/fixed-projection baselines inside outer folds.</w:t>
      </w:r>
    </w:p>
    <w:p>
      <w:r>
        <w:rPr>
          <w:rFonts w:ascii="Calibri" w:hAnsi="Calibri"/>
          <w:b w:val="0"/>
          <w:color w:val="1A2733"/>
        </w:rPr>
        <w:t>The regime layer outputs a posterior vector rather than a hard label. Inputs may include volatility, correlation, liquidity, spread/depth, trend, macro-event state, and data-quality flags. A mixture-of-experts consumes the posterior along with uncertainty. It can interpolate between experts or abstain when the state is unfamiliar. To avoid gate-gaming, the gate is trained only from inner-fold outputs; outer folds jointly evaluate gate plus experts. Stress tests force delayed, incorrect, and ambiguous regime estimates. A fixed blend is the mandatory baseline.</w:t>
      </w:r>
    </w:p>
    <w:p>
      <w:pPr>
        <w:pStyle w:val="Heading2"/>
      </w:pPr>
      <w:r>
        <w:t>4.4 Tournaments, lifecycle, and evidence-based ranking</w:t>
      </w:r>
    </w:p>
    <w:p>
      <w:r>
        <w:rPr>
          <w:rFonts w:ascii="Calibri" w:hAnsi="Calibri"/>
          <w:b w:val="0"/>
          <w:color w:val="1A2733"/>
        </w:rPr>
        <w:t>Elo or TrueSkill can summarize noisy pairwise contests across folds, regimes, stress tests, and objectives. TrueSkill models uncertainty in latent skill (</w:t>
      </w:r>
      <w:hyperlink r:id="rId45">
        <w:r>
          <w:rPr>
            <w:rFonts w:ascii="Calibri" w:hAnsi="Calibri"/>
            <w:color w:val="2E74B5"/>
            <w:u w:val="single"/>
          </w:rPr>
          <w:t>Herbrich, Minka &amp; Graepel 2006</w:t>
        </w:r>
      </w:hyperlink>
      <w:r>
        <w:rPr>
          <w:rFonts w:ascii="Calibri" w:hAnsi="Calibri"/>
          <w:b w:val="0"/>
          <w:color w:val="1A2733"/>
        </w:rPr>
        <w:t>). For strategies, however, outcomes are correlated and nonstationary, and competitors enter after selection. A rating is therefore routing metadata, not proof. Pairwise wins should be based on predeclared utilities and block-bootstrap uncertainty; missing comparisons remain missing rather than inferred as certainty.</w:t>
      </w:r>
    </w:p>
    <w:p>
      <w:r>
        <w:rPr>
          <w:rFonts w:ascii="Calibri" w:hAnsi="Calibri"/>
          <w:b w:val="0"/>
          <w:color w:val="1A2733"/>
        </w:rPr>
        <w:t>Survival analysis adds time-to-quarantine or time-to-decay, with censoring for strategies still under observation. It can reveal that a class wins short tournaments but decays quickly. It cannot repair survivor bias if failed candidates were not registered. The trial ledger must retain rejected and invalid candidates, reasons, and observation time.</w:t>
      </w:r>
    </w:p>
    <w:p>
      <w:r>
        <w:rPr>
          <w:rFonts w:ascii="Calibri" w:hAnsi="Calibri"/>
          <w:b w:val="0"/>
          <w:color w:val="1A2733"/>
        </w:rPr>
        <w:t>The lifecycle is a state machine:</w:t>
      </w:r>
    </w:p>
    <w:p>
      <w:r>
        <w:rPr>
          <w:rFonts w:ascii="Liberation Mono" w:hAnsi="Liberation Mono"/>
          <w:color w:val="0B2545"/>
          <w:sz w:val="19"/>
          <w:shd w:fill="F2F4F7"/>
        </w:rPr>
        <w:t>DRAFT → STATICALLY_VALID → TRAINED → OUTER_VALIDATED → ROBUSTNESS_TESTED → FROZEN_FORWARD → PAPER_OBSERVED → CERTIFIED_SIMULATION → DEGRADED → QUARANTINED → RETIRED</w:t>
      </w:r>
    </w:p>
    <w:p>
      <w:r>
        <w:rPr>
          <w:rFonts w:ascii="Calibri" w:hAnsi="Calibri"/>
          <w:b w:val="0"/>
          <w:color w:val="1A2733"/>
        </w:rPr>
        <w:t xml:space="preserve">No transition skips a gate. </w:t>
      </w:r>
      <w:r>
        <w:rPr>
          <w:rFonts w:ascii="Liberation Mono" w:hAnsi="Liberation Mono"/>
          <w:color w:val="0B2545"/>
          <w:sz w:val="19"/>
          <w:shd w:fill="F2F4F7"/>
        </w:rPr>
        <w:t>DEGRADED</w:t>
      </w:r>
      <w:r>
        <w:rPr>
          <w:rFonts w:ascii="Calibri" w:hAnsi="Calibri"/>
          <w:b w:val="0"/>
          <w:color w:val="1A2733"/>
        </w:rPr>
        <w:t xml:space="preserve"> can return to a new </w:t>
      </w:r>
      <w:r>
        <w:rPr>
          <w:rFonts w:ascii="Liberation Mono" w:hAnsi="Liberation Mono"/>
          <w:color w:val="0B2545"/>
          <w:sz w:val="19"/>
          <w:shd w:fill="F2F4F7"/>
        </w:rPr>
        <w:t>DRAFT</w:t>
      </w:r>
      <w:r>
        <w:rPr>
          <w:rFonts w:ascii="Calibri" w:hAnsi="Calibri"/>
          <w:b w:val="0"/>
          <w:color w:val="1A2733"/>
        </w:rPr>
        <w:t xml:space="preserve"> lineage only through a new hypothesis and budget; it cannot silently mutate a certified artifact. </w:t>
      </w:r>
      <w:r>
        <w:rPr>
          <w:rFonts w:ascii="Liberation Mono" w:hAnsi="Liberation Mono"/>
          <w:color w:val="0B2545"/>
          <w:sz w:val="19"/>
          <w:shd w:fill="F2F4F7"/>
        </w:rPr>
        <w:t>RETIRED</w:t>
      </w:r>
      <w:r>
        <w:rPr>
          <w:rFonts w:ascii="Calibri" w:hAnsi="Calibri"/>
          <w:b w:val="0"/>
          <w:color w:val="1A2733"/>
        </w:rPr>
        <w:t xml:space="preserve"> remains reproducible and discoverable so future agents do not rediscover the same failed idea.</w:t>
      </w:r>
    </w:p>
    <w:p>
      <w:r>
        <w:rPr>
          <w:rFonts w:ascii="Calibri" w:hAnsi="Calibri"/>
          <w:b/>
          <w:color w:val="1A2733"/>
        </w:rPr>
        <w:t>CELL//OS mapping.</w:t>
      </w:r>
      <w:r>
        <w:rPr>
          <w:rFonts w:ascii="Calibri" w:hAnsi="Calibri"/>
          <w:b w:val="0"/>
          <w:color w:val="1A2733"/>
        </w:rPr>
        <w:t xml:space="preserve"> Blackbox owns the typed search population and Pareto archive. The Hypothesis Generator can call an LLM but writes only HypothesisSpec. Feature Scientist and Model Developer compile approved specifications. Crucible runs in an isolated trust domain with hidden datasets and disclosure budgets. The Strategy Registry stores lifecycle state; the Evidence Ledger stores every transition; the Organization Compiler prevents a Cell Image from granting the generator evaluator capabilities.</w:t>
      </w:r>
    </w:p>
    <w:p>
      <w:r>
        <w:br w:type="page"/>
      </w:r>
    </w:p>
    <w:p>
      <w:pPr>
        <w:pStyle w:val="Heading1"/>
      </w:pPr>
      <w:r>
        <w:t>5. Backtesting, execution simulation, and connectivity boundaries</w:t>
      </w:r>
    </w:p>
    <w:p>
      <w:pPr>
        <w:pStyle w:val="Heading2"/>
      </w:pPr>
      <w:r>
        <w:t>5.1 Fidelity is a ladder</w:t>
      </w:r>
    </w:p>
    <w:p>
      <w:r>
        <w:rPr>
          <w:rFonts w:ascii="Calibri" w:hAnsi="Calibri"/>
          <w:b w:val="0"/>
          <w:color w:val="1A2733"/>
        </w:rPr>
        <w:t>A single backtester should not be stretched across every research stage. Vectorized engines are valuable for cheap rejection; event-driven engines add portfolio state and realistic ordering; depth replay adds queue and latency questions; a narrow custom kernel is justified only when a documented fidelity gap changes conclusions. Promotion moves a frozen candidate upward through this ladder. Results from two levels are not pooled as though their assumptions were equal.</w:t>
      </w:r>
    </w:p>
    <w:p>
      <w:r>
        <w:rPr>
          <w:rFonts w:ascii="Calibri" w:hAnsi="Calibri"/>
          <w:b w:val="0"/>
          <w:color w:val="1A2733"/>
        </w:rPr>
        <w:t>Versions below were verified on 4 September 2026. A prerelease is identified as such. Capability means documented functionality, not an endorsement or proof of accuracy.</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50"/>
        <w:gridCol w:w="2150"/>
        <w:gridCol w:w="1950"/>
        <w:gridCol w:w="2050"/>
        <w:gridCol w:w="1860"/>
      </w:tblGrid>
      <w:tr>
        <w:trPr>
          <w:tblHeader w:val="true"/>
        </w:trPr>
        <w:tc>
          <w:tcPr>
            <w:tcW w:type="dxa" w:w="1350"/>
            <w:tcMar>
              <w:top w:w="80" w:type="dxa"/>
              <w:start w:w="120" w:type="dxa"/>
              <w:bottom w:w="80" w:type="dxa"/>
              <w:end w:w="120" w:type="dxa"/>
            </w:tcMar>
            <w:vAlign w:val="top"/>
            <w:shd w:fill="E8EEF5"/>
          </w:tcPr>
          <w:p>
            <w:pPr>
              <w:pStyle w:val="CELLQTableText"/>
            </w:pPr>
            <w:r>
              <w:rPr>
                <w:rFonts w:ascii="Calibri" w:hAnsi="Calibri"/>
                <w:b/>
                <w:color w:val="0B2545"/>
                <w:sz w:val="15"/>
              </w:rPr>
              <w:t>Engine and checked version</w:t>
            </w:r>
          </w:p>
        </w:tc>
        <w:tc>
          <w:tcPr>
            <w:tcW w:type="dxa" w:w="2150"/>
            <w:tcMar>
              <w:top w:w="80" w:type="dxa"/>
              <w:start w:w="120" w:type="dxa"/>
              <w:bottom w:w="80" w:type="dxa"/>
              <w:end w:w="120" w:type="dxa"/>
            </w:tcMar>
            <w:vAlign w:val="top"/>
            <w:shd w:fill="E8EEF5"/>
          </w:tcPr>
          <w:p>
            <w:pPr>
              <w:pStyle w:val="CELLQTableText"/>
            </w:pPr>
            <w:r>
              <w:rPr>
                <w:rFonts w:ascii="Calibri" w:hAnsi="Calibri"/>
                <w:b/>
                <w:color w:val="0B2545"/>
                <w:sz w:val="15"/>
              </w:rPr>
              <w:t>Data/fill fidelity</w:t>
            </w:r>
          </w:p>
        </w:tc>
        <w:tc>
          <w:tcPr>
            <w:tcW w:type="dxa" w:w="1950"/>
            <w:tcMar>
              <w:top w:w="80" w:type="dxa"/>
              <w:start w:w="120" w:type="dxa"/>
              <w:bottom w:w="80" w:type="dxa"/>
              <w:end w:w="120" w:type="dxa"/>
            </w:tcMar>
            <w:vAlign w:val="top"/>
            <w:shd w:fill="E8EEF5"/>
          </w:tcPr>
          <w:p>
            <w:pPr>
              <w:pStyle w:val="CELLQTableText"/>
            </w:pPr>
            <w:r>
              <w:rPr>
                <w:rFonts w:ascii="Calibri" w:hAnsi="Calibri"/>
                <w:b/>
                <w:color w:val="0B2545"/>
                <w:sz w:val="15"/>
              </w:rPr>
              <w:t>Futures mechanics</w:t>
            </w:r>
          </w:p>
        </w:tc>
        <w:tc>
          <w:tcPr>
            <w:tcW w:type="dxa" w:w="2050"/>
            <w:tcMar>
              <w:top w:w="80" w:type="dxa"/>
              <w:start w:w="120" w:type="dxa"/>
              <w:bottom w:w="80" w:type="dxa"/>
              <w:end w:w="120" w:type="dxa"/>
            </w:tcMar>
            <w:vAlign w:val="top"/>
            <w:shd w:fill="E8EEF5"/>
          </w:tcPr>
          <w:p>
            <w:pPr>
              <w:pStyle w:val="CELLQTableText"/>
            </w:pPr>
            <w:r>
              <w:rPr>
                <w:rFonts w:ascii="Calibri" w:hAnsi="Calibri"/>
                <w:b/>
                <w:color w:val="0B2545"/>
                <w:sz w:val="15"/>
              </w:rPr>
              <w:t>Best CELL-Q role</w:t>
            </w:r>
          </w:p>
        </w:tc>
        <w:tc>
          <w:tcPr>
            <w:tcW w:type="dxa" w:w="1860"/>
            <w:tcMar>
              <w:top w:w="80" w:type="dxa"/>
              <w:start w:w="120" w:type="dxa"/>
              <w:bottom w:w="80" w:type="dxa"/>
              <w:end w:w="120" w:type="dxa"/>
            </w:tcMar>
            <w:vAlign w:val="top"/>
            <w:shd w:fill="E8EEF5"/>
          </w:tcPr>
          <w:p>
            <w:pPr>
              <w:pStyle w:val="CELLQTableText"/>
            </w:pPr>
            <w:r>
              <w:rPr>
                <w:rFonts w:ascii="Calibri" w:hAnsi="Calibri"/>
                <w:b/>
                <w:color w:val="0B2545"/>
                <w:sz w:val="15"/>
              </w:rPr>
              <w:t>Principal limitations</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vectorbt 1.1.0 (5 Jul 2026)</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Vectorized/array order simulation; no documented L2/L3 queue replay</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User-defined data transformations and costs</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Large, cheap Stage-1 screens and diagnostic sweeps</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Fast approximations can hide event ordering, partial fills, queue state, and margin interactions (</w:t>
            </w:r>
            <w:hyperlink r:id="rId46">
              <w:r>
                <w:rPr>
                  <w:rFonts w:ascii="Calibri" w:hAnsi="Calibri"/>
                  <w:color w:val="2E74B5"/>
                  <w:u w:val="single"/>
                </w:rPr>
                <w:t>official releases</w:t>
              </w:r>
            </w:hyperlink>
            <w:r>
              <w:rPr>
                <w:rFonts w:ascii="Calibri" w:hAnsi="Calibri"/>
                <w:b w:val="0"/>
                <w:color w:val="1A2733"/>
                <w:sz w:val="15"/>
              </w:rPr>
              <w:t>).</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NautilusTrader 1.231.0 Beta (2 Aug 2026); 2.0.0rc4 prerelease (2 Sep 2026)</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Event-driven; documented L2/L3 queue tracking, configurable fill, liquidity, latency, fee, and margin models</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Strong accounting primitives; roll construction remains a data/application responsibility</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Primary event-driven qualification and reproducibility harness</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Historical books are immutable, hidden liquidity is unknowable, and default fill assumptions must be inspected. Version 2 was still a release candidate (</w:t>
            </w:r>
            <w:hyperlink r:id="rId47">
              <w:r>
                <w:rPr>
                  <w:rFonts w:ascii="Calibri" w:hAnsi="Calibri"/>
                  <w:color w:val="2E74B5"/>
                  <w:u w:val="single"/>
                </w:rPr>
                <w:t>releases</w:t>
              </w:r>
            </w:hyperlink>
            <w:r>
              <w:rPr>
                <w:rFonts w:ascii="Calibri" w:hAnsi="Calibri"/>
                <w:b w:val="0"/>
                <w:color w:val="1A2733"/>
                <w:sz w:val="15"/>
              </w:rPr>
              <w:t xml:space="preserve">, </w:t>
            </w:r>
            <w:hyperlink r:id="rId48">
              <w:r>
                <w:rPr>
                  <w:rFonts w:ascii="Calibri" w:hAnsi="Calibri"/>
                  <w:color w:val="2E74B5"/>
                  <w:u w:val="single"/>
                </w:rPr>
                <w:t>fill models</w:t>
              </w:r>
            </w:hyperlink>
            <w:r>
              <w:rPr>
                <w:rFonts w:ascii="Calibri" w:hAnsi="Calibri"/>
                <w:b w:val="0"/>
                <w:color w:val="1A2733"/>
                <w:sz w:val="15"/>
              </w:rPr>
              <w:t>).</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hftbacktest 2.4.4 (10 Dec 2025)</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Tick replay, MBP/MBO reconstruction, feed/order latency, deterministic and probabilistic queue models</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Specialist rather than full portfolio/roll/margin system</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Second opinion for microstructure hypotheses whose result depends on queue or latency</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Queue models require calibration; CME L3 limitations include unavailable implied-order detail; accelerated modes omit fidelity (</w:t>
            </w:r>
            <w:hyperlink r:id="rId49">
              <w:r>
                <w:rPr>
                  <w:rFonts w:ascii="Calibri" w:hAnsi="Calibri"/>
                  <w:color w:val="2E74B5"/>
                  <w:u w:val="single"/>
                </w:rPr>
                <w:t>documentation</w:t>
              </w:r>
            </w:hyperlink>
            <w:r>
              <w:rPr>
                <w:rFonts w:ascii="Calibri" w:hAnsi="Calibri"/>
                <w:b w:val="0"/>
                <w:color w:val="1A2733"/>
                <w:sz w:val="15"/>
              </w:rPr>
              <w:t>).</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Backtrader 1.9.78.123 (19 Apr 2023)</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Bar/event broker simulation with slippage and volume fillers</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Commissions, calendars, rollover primitives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Legacy prototypes and teaching fixtures</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No verified package release after 2023; no native depth/queue replay; timing shortcuts can create leakage (</w:t>
            </w:r>
            <w:hyperlink r:id="rId50">
              <w:r>
                <w:rPr>
                  <w:rFonts w:ascii="Calibri" w:hAnsi="Calibri"/>
                  <w:color w:val="2E74B5"/>
                  <w:u w:val="single"/>
                </w:rPr>
                <w:t>PyPI</w:t>
              </w:r>
            </w:hyperlink>
            <w:r>
              <w:rPr>
                <w:rFonts w:ascii="Calibri" w:hAnsi="Calibri"/>
                <w:b w:val="0"/>
                <w:color w:val="1A2733"/>
                <w:sz w:val="15"/>
              </w:rPr>
              <w:t>).</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Zipline-reloaded 3.1.1 (19 Jul 2025)</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Primarily daily/minute bar factor and portfolio simulation</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Futures-grade chain/roll behavior was not established as a first-class capability in reviewed docs</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Daily/minute factor research where its asset model fits</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Maintained community fork, but not a depth engine and no 2026 release was verified (</w:t>
            </w:r>
            <w:hyperlink r:id="rId51">
              <w:r>
                <w:rPr>
                  <w:rFonts w:ascii="Calibri" w:hAnsi="Calibri"/>
                  <w:color w:val="2E74B5"/>
                  <w:u w:val="single"/>
                </w:rPr>
                <w:t>PyPI</w:t>
              </w:r>
            </w:hyperlink>
            <w:r>
              <w:rPr>
                <w:rFonts w:ascii="Calibri" w:hAnsi="Calibri"/>
                <w:b w:val="0"/>
                <w:color w:val="1A2733"/>
                <w:sz w:val="15"/>
              </w:rPr>
              <w:t>).</w:t>
            </w:r>
          </w:p>
        </w:tc>
      </w:tr>
      <w:tr>
        <w:tc>
          <w:tcPr>
            <w:tcW w:type="dxa" w:w="1350"/>
            <w:tcMar>
              <w:top w:w="80" w:type="dxa"/>
              <w:start w:w="120" w:type="dxa"/>
              <w:bottom w:w="80" w:type="dxa"/>
              <w:end w:w="120" w:type="dxa"/>
            </w:tcMar>
            <w:vAlign w:val="top"/>
            <w:shd w:fill="F9FAFB"/>
          </w:tcPr>
          <w:p>
            <w:pPr>
              <w:pStyle w:val="CELLQTableText"/>
            </w:pPr>
            <w:r>
              <w:rPr>
                <w:rFonts w:ascii="Calibri" w:hAnsi="Calibri"/>
                <w:b w:val="0"/>
                <w:color w:val="1A2733"/>
                <w:sz w:val="15"/>
              </w:rPr>
              <w:t>QuantConnect LEAN, continuously maintained; no single semantic release used</w:t>
            </w:r>
          </w:p>
        </w:tc>
        <w:tc>
          <w:tcPr>
            <w:tcW w:type="dxa" w:w="2150"/>
            <w:tcMar>
              <w:top w:w="80" w:type="dxa"/>
              <w:start w:w="120" w:type="dxa"/>
              <w:bottom w:w="80" w:type="dxa"/>
              <w:end w:w="120" w:type="dxa"/>
            </w:tcMar>
            <w:vAlign w:val="top"/>
            <w:shd w:fill="F9FAFB"/>
          </w:tcPr>
          <w:p>
            <w:pPr>
              <w:pStyle w:val="CELLQTableText"/>
            </w:pPr>
            <w:r>
              <w:rPr>
                <w:rFonts w:ascii="Calibri" w:hAnsi="Calibri"/>
                <w:b w:val="0"/>
                <w:color w:val="1A2733"/>
                <w:sz w:val="15"/>
              </w:rPr>
              <w:t>Event-driven broad-asset engine; customizable fill/slippage models</w:t>
            </w:r>
          </w:p>
        </w:tc>
        <w:tc>
          <w:tcPr>
            <w:tcW w:type="dxa" w:w="1950"/>
            <w:tcMar>
              <w:top w:w="80" w:type="dxa"/>
              <w:start w:w="120" w:type="dxa"/>
              <w:bottom w:w="80" w:type="dxa"/>
              <w:end w:w="120" w:type="dxa"/>
            </w:tcMar>
            <w:vAlign w:val="top"/>
            <w:shd w:fill="F9FAFB"/>
          </w:tcPr>
          <w:p>
            <w:pPr>
              <w:pStyle w:val="CELLQTableText"/>
            </w:pPr>
            <w:r>
              <w:rPr>
                <w:rFonts w:ascii="Calibri" w:hAnsi="Calibri"/>
                <w:b w:val="0"/>
                <w:color w:val="1A2733"/>
                <w:sz w:val="15"/>
              </w:rPr>
              <w:t>Strong contract chains, continuous mapping, calendars, fees, margin extension points</w:t>
            </w:r>
          </w:p>
        </w:tc>
        <w:tc>
          <w:tcPr>
            <w:tcW w:type="dxa" w:w="2050"/>
            <w:tcMar>
              <w:top w:w="80" w:type="dxa"/>
              <w:start w:w="120" w:type="dxa"/>
              <w:bottom w:w="80" w:type="dxa"/>
              <w:end w:w="120" w:type="dxa"/>
            </w:tcMar>
            <w:vAlign w:val="top"/>
            <w:shd w:fill="F9FAFB"/>
          </w:tcPr>
          <w:p>
            <w:pPr>
              <w:pStyle w:val="CELLQTableText"/>
            </w:pPr>
            <w:r>
              <w:rPr>
                <w:rFonts w:ascii="Calibri" w:hAnsi="Calibri"/>
                <w:b w:val="0"/>
                <w:color w:val="1A2733"/>
                <w:sz w:val="15"/>
              </w:rPr>
              <w:t>Cross-check for chain/roll/accounting logic</w:t>
            </w:r>
          </w:p>
        </w:tc>
        <w:tc>
          <w:tcPr>
            <w:tcW w:type="dxa" w:w="1860"/>
            <w:tcMar>
              <w:top w:w="80" w:type="dxa"/>
              <w:start w:w="120" w:type="dxa"/>
              <w:bottom w:w="80" w:type="dxa"/>
              <w:end w:w="120" w:type="dxa"/>
            </w:tcMar>
            <w:vAlign w:val="top"/>
            <w:shd w:fill="F9FAFB"/>
          </w:tcPr>
          <w:p>
            <w:pPr>
              <w:pStyle w:val="CELLQTableText"/>
            </w:pPr>
            <w:r>
              <w:rPr>
                <w:rFonts w:ascii="Calibri" w:hAnsi="Calibri"/>
                <w:b w:val="0"/>
                <w:color w:val="1A2733"/>
                <w:sz w:val="15"/>
              </w:rPr>
              <w:t>The documented default futures fill model fills fully and immediately; no native queue-position replay was established (</w:t>
            </w:r>
            <w:hyperlink r:id="rId52">
              <w:r>
                <w:rPr>
                  <w:rFonts w:ascii="Calibri" w:hAnsi="Calibri"/>
                  <w:color w:val="2E74B5"/>
                  <w:u w:val="single"/>
                </w:rPr>
                <w:t>futures fill model</w:t>
              </w:r>
            </w:hyperlink>
            <w:r>
              <w:rPr>
                <w:rFonts w:ascii="Calibri" w:hAnsi="Calibri"/>
                <w:b w:val="0"/>
                <w:color w:val="1A2733"/>
                <w:sz w:val="15"/>
              </w:rPr>
              <w:t>).</w:t>
            </w:r>
          </w:p>
        </w:tc>
      </w:tr>
      <w:tr>
        <w:tc>
          <w:tcPr>
            <w:tcW w:type="dxa" w:w="1350"/>
            <w:tcMar>
              <w:top w:w="80" w:type="dxa"/>
              <w:start w:w="120" w:type="dxa"/>
              <w:bottom w:w="80" w:type="dxa"/>
              <w:end w:w="120" w:type="dxa"/>
            </w:tcMar>
            <w:vAlign w:val="top"/>
          </w:tcPr>
          <w:p>
            <w:pPr>
              <w:pStyle w:val="CELLQTableText"/>
            </w:pPr>
            <w:r>
              <w:rPr>
                <w:rFonts w:ascii="Calibri" w:hAnsi="Calibri"/>
                <w:b w:val="0"/>
                <w:color w:val="1A2733"/>
                <w:sz w:val="15"/>
              </w:rPr>
              <w:t>Custom Rust kernel, CELL-Q versioned</w:t>
            </w:r>
          </w:p>
        </w:tc>
        <w:tc>
          <w:tcPr>
            <w:tcW w:type="dxa" w:w="2150"/>
            <w:tcMar>
              <w:top w:w="80" w:type="dxa"/>
              <w:start w:w="120" w:type="dxa"/>
              <w:bottom w:w="80" w:type="dxa"/>
              <w:end w:w="120" w:type="dxa"/>
            </w:tcMar>
            <w:vAlign w:val="top"/>
          </w:tcPr>
          <w:p>
            <w:pPr>
              <w:pStyle w:val="CELLQTableText"/>
            </w:pPr>
            <w:r>
              <w:rPr>
                <w:rFonts w:ascii="Calibri" w:hAnsi="Calibri"/>
                <w:b w:val="0"/>
                <w:color w:val="1A2733"/>
                <w:sz w:val="15"/>
              </w:rPr>
              <w:t>Exactly the event ordering, queue approximation, latency, and invariants implemented</w:t>
            </w:r>
          </w:p>
        </w:tc>
        <w:tc>
          <w:tcPr>
            <w:tcW w:type="dxa" w:w="1950"/>
            <w:tcMar>
              <w:top w:w="80" w:type="dxa"/>
              <w:start w:w="120" w:type="dxa"/>
              <w:bottom w:w="80" w:type="dxa"/>
              <w:end w:w="120" w:type="dxa"/>
            </w:tcMar>
            <w:vAlign w:val="top"/>
          </w:tcPr>
          <w:p>
            <w:pPr>
              <w:pStyle w:val="CELLQTableText"/>
            </w:pPr>
            <w:r>
              <w:rPr>
                <w:rFonts w:ascii="Calibri" w:hAnsi="Calibri"/>
                <w:b w:val="0"/>
                <w:color w:val="1A2733"/>
                <w:sz w:val="15"/>
              </w:rPr>
              <w:t>Bespoke</w:t>
            </w:r>
          </w:p>
        </w:tc>
        <w:tc>
          <w:tcPr>
            <w:tcW w:type="dxa" w:w="2050"/>
            <w:tcMar>
              <w:top w:w="80" w:type="dxa"/>
              <w:start w:w="120" w:type="dxa"/>
              <w:bottom w:w="80" w:type="dxa"/>
              <w:end w:w="120" w:type="dxa"/>
            </w:tcMar>
            <w:vAlign w:val="top"/>
          </w:tcPr>
          <w:p>
            <w:pPr>
              <w:pStyle w:val="CELLQTableText"/>
            </w:pPr>
            <w:r>
              <w:rPr>
                <w:rFonts w:ascii="Calibri" w:hAnsi="Calibri"/>
                <w:b w:val="0"/>
                <w:color w:val="1A2733"/>
                <w:sz w:val="15"/>
              </w:rPr>
              <w:t>Narrow certified replay/matching service after requirements stabilize</w:t>
            </w:r>
          </w:p>
        </w:tc>
        <w:tc>
          <w:tcPr>
            <w:tcW w:type="dxa" w:w="1860"/>
            <w:tcMar>
              <w:top w:w="80" w:type="dxa"/>
              <w:start w:w="120" w:type="dxa"/>
              <w:bottom w:w="80" w:type="dxa"/>
              <w:end w:w="120" w:type="dxa"/>
            </w:tcMar>
            <w:vAlign w:val="top"/>
          </w:tcPr>
          <w:p>
            <w:pPr>
              <w:pStyle w:val="CELLQTableText"/>
            </w:pPr>
            <w:r>
              <w:rPr>
                <w:rFonts w:ascii="Calibri" w:hAnsi="Calibri"/>
                <w:b w:val="0"/>
                <w:color w:val="1A2733"/>
                <w:sz w:val="15"/>
              </w:rPr>
              <w:t>Maximum verification burden; bespoke code is not inherently more realistic. Differential tests against an independent engine are mandatory.</w:t>
            </w:r>
          </w:p>
        </w:tc>
      </w:tr>
    </w:tbl>
    <w:p>
      <w:pPr>
        <w:spacing w:before="20" w:after="60" w:line="240" w:lineRule="auto"/>
      </w:pPr>
    </w:p>
    <w:p>
      <w:r>
        <w:rPr>
          <w:rFonts w:ascii="Calibri" w:hAnsi="Calibri"/>
          <w:b w:val="0"/>
          <w:color w:val="1A2733"/>
        </w:rPr>
        <w:t>The recommended funnel is vectorbt or Polars for wide screens; NautilusTrader for event-driven portfolio/accounting qualification; hftbacktest for conclusions that depend on depth, queue, or latency; and LEAN as an independent check of futures-chain mechanics. A custom Rust kernel should implement only the semantics that remain untestable in those engines. Python owns orchestration, statistics, and research ergonomics; Rust owns deterministic high-volume replay and state machines.</w:t>
      </w:r>
    </w:p>
    <w:p>
      <w:pPr>
        <w:pStyle w:val="Heading2"/>
      </w:pPr>
      <w:r>
        <w:t>5.2 A simulator specification, not a performance theater</w:t>
      </w:r>
    </w:p>
    <w:p>
      <w:r>
        <w:rPr>
          <w:rFonts w:ascii="Calibri" w:hAnsi="Calibri"/>
          <w:b w:val="0"/>
          <w:color w:val="1A2733"/>
        </w:rPr>
        <w:t>Fidelity features should be validated independently:</w:t>
      </w:r>
    </w:p>
    <w:p>
      <w:pPr>
        <w:pStyle w:val="ListNumber"/>
        <w:numPr>
          <w:ilvl w:val="0"/>
          <w:numId w:val="9202"/>
        </w:numPr>
      </w:pPr>
      <w:r>
        <w:rPr>
          <w:rFonts w:ascii="Calibri" w:hAnsi="Calibri"/>
          <w:b/>
          <w:color w:val="1A2733"/>
        </w:rPr>
        <w:t>Market state:</w:t>
      </w:r>
      <w:r>
        <w:rPr>
          <w:rFonts w:ascii="Calibri" w:hAnsi="Calibri"/>
          <w:b w:val="0"/>
          <w:color w:val="1A2733"/>
        </w:rPr>
        <w:t xml:space="preserve"> reconstruct book and trade state from sequence-controlled events; checkpoint and replay to the same hash.</w:t>
      </w:r>
    </w:p>
    <w:p>
      <w:pPr>
        <w:pStyle w:val="ListNumber"/>
        <w:numPr>
          <w:ilvl w:val="0"/>
          <w:numId w:val="9202"/>
        </w:numPr>
      </w:pPr>
      <w:r>
        <w:rPr>
          <w:rFonts w:ascii="Calibri" w:hAnsi="Calibri"/>
          <w:b/>
          <w:color w:val="1A2733"/>
        </w:rPr>
        <w:t>Decision clock:</w:t>
      </w:r>
      <w:r>
        <w:rPr>
          <w:rFonts w:ascii="Calibri" w:hAnsi="Calibri"/>
          <w:b w:val="0"/>
          <w:color w:val="1A2733"/>
        </w:rPr>
        <w:t xml:space="preserve"> provide only events whose receive/knowledge timestamp is admissible; separately model compute delay.</w:t>
      </w:r>
    </w:p>
    <w:p>
      <w:pPr>
        <w:pStyle w:val="ListNumber"/>
        <w:numPr>
          <w:ilvl w:val="0"/>
          <w:numId w:val="9202"/>
        </w:numPr>
      </w:pPr>
      <w:r>
        <w:rPr>
          <w:rFonts w:ascii="Calibri" w:hAnsi="Calibri"/>
          <w:b/>
          <w:color w:val="1A2733"/>
        </w:rPr>
        <w:t>Action state:</w:t>
      </w:r>
      <w:r>
        <w:rPr>
          <w:rFonts w:ascii="Calibri" w:hAnsi="Calibri"/>
          <w:b w:val="0"/>
          <w:color w:val="1A2733"/>
        </w:rPr>
        <w:t xml:space="preserve"> validate order lifecycle, replace/cancel races, rejects, session transitions, contract expiry, and position/accounting conservation.</w:t>
      </w:r>
    </w:p>
    <w:p>
      <w:pPr>
        <w:pStyle w:val="ListNumber"/>
        <w:numPr>
          <w:ilvl w:val="0"/>
          <w:numId w:val="9202"/>
        </w:numPr>
      </w:pPr>
      <w:r>
        <w:rPr>
          <w:rFonts w:ascii="Calibri" w:hAnsi="Calibri"/>
          <w:b/>
          <w:color w:val="1A2733"/>
        </w:rPr>
        <w:t>Fill state:</w:t>
      </w:r>
      <w:r>
        <w:rPr>
          <w:rFonts w:ascii="Calibri" w:hAnsi="Calibri"/>
          <w:b w:val="0"/>
          <w:color w:val="1A2733"/>
        </w:rPr>
        <w:t xml:space="preserve"> model visible liquidity consumption, size, partial fills, price-time approximation, stochastic uncertainty, and failure to fill. A touched price is not automatically a fill.</w:t>
      </w:r>
    </w:p>
    <w:p>
      <w:pPr>
        <w:pStyle w:val="ListNumber"/>
        <w:numPr>
          <w:ilvl w:val="0"/>
          <w:numId w:val="9202"/>
        </w:numPr>
      </w:pPr>
      <w:r>
        <w:rPr>
          <w:rFonts w:ascii="Calibri" w:hAnsi="Calibri"/>
          <w:b/>
          <w:color w:val="1A2733"/>
        </w:rPr>
        <w:t>Costs:</w:t>
      </w:r>
      <w:r>
        <w:rPr>
          <w:rFonts w:ascii="Calibri" w:hAnsi="Calibri"/>
          <w:b w:val="0"/>
          <w:color w:val="1A2733"/>
        </w:rPr>
        <w:t xml:space="preserve"> select point-in-time fees, spread, slippage/impact proxy, and currency conversion; report each component.</w:t>
      </w:r>
    </w:p>
    <w:p>
      <w:pPr>
        <w:pStyle w:val="ListNumber"/>
        <w:numPr>
          <w:ilvl w:val="0"/>
          <w:numId w:val="9202"/>
        </w:numPr>
      </w:pPr>
      <w:r>
        <w:rPr>
          <w:rFonts w:ascii="Calibri" w:hAnsi="Calibri"/>
          <w:b/>
          <w:color w:val="1A2733"/>
        </w:rPr>
        <w:t>Margin and policy:</w:t>
      </w:r>
      <w:r>
        <w:rPr>
          <w:rFonts w:ascii="Calibri" w:hAnsi="Calibri"/>
          <w:b w:val="0"/>
          <w:color w:val="1A2733"/>
        </w:rPr>
        <w:t xml:space="preserve"> query the dated reference service and generic research-risk envelope; never substitute today's schedule for a historical one.</w:t>
      </w:r>
    </w:p>
    <w:p>
      <w:pPr>
        <w:pStyle w:val="ListNumber"/>
        <w:numPr>
          <w:ilvl w:val="0"/>
          <w:numId w:val="9202"/>
        </w:numPr>
      </w:pPr>
      <w:r>
        <w:rPr>
          <w:rFonts w:ascii="Calibri" w:hAnsi="Calibri"/>
          <w:b/>
          <w:color w:val="1A2733"/>
        </w:rPr>
        <w:t>Counterfactual limits:</w:t>
      </w:r>
      <w:r>
        <w:rPr>
          <w:rFonts w:ascii="Calibri" w:hAnsi="Calibri"/>
          <w:b w:val="0"/>
          <w:color w:val="1A2733"/>
        </w:rPr>
        <w:t xml:space="preserve"> document that replay cannot model endogenous market response, hidden liquidity, every venue priority rule, or data that were never captured.</w:t>
      </w:r>
    </w:p>
    <w:p>
      <w:r>
        <w:rPr>
          <w:rFonts w:ascii="Calibri" w:hAnsi="Calibri"/>
          <w:b w:val="0"/>
          <w:color w:val="1A2733"/>
        </w:rPr>
        <w:t>Run metamorphic tests: splitting one market-data batch must not change the result; replay speed must not change state; restarting from a checkpoint must equal a full replay; changing a random seed affects only declared stochastic components; zero-latency results cannot be worse solely because of event reordering; and widening costs cannot improve a long-only cost-adjusted outcome absent an explicitly modeled rebate.</w:t>
      </w:r>
    </w:p>
    <w:p>
      <w:pPr>
        <w:pStyle w:val="Heading2"/>
      </w:pPr>
      <w:r>
        <w:t>5.3 Provider interfaces: research record only</w:t>
      </w:r>
    </w:p>
    <w:p>
      <w:r>
        <w:rPr>
          <w:rFonts w:ascii="Calibri" w:hAnsi="Calibri"/>
          <w:b w:val="0"/>
          <w:color w:val="1A2733"/>
        </w:rPr>
        <w:t>Tradovate, Rithmic R|API+, ProjectX, CQG, and IBKR expose different combinations of market data, account state, orders, history, and streaming interfaces. Hosted webhook bridges add yet another queue, retry policy, clock, schema, and operator. Public documentation generally does not provide comparable end-to-end latency distributions or contractual service levels. Vendor claims measured under undisclosed conditions are not evidence.</w:t>
      </w:r>
    </w:p>
    <w:p>
      <w:r>
        <w:rPr>
          <w:rFonts w:ascii="Calibri" w:hAnsi="Calibri"/>
          <w:b w:val="0"/>
          <w:color w:val="1A2733"/>
        </w:rPr>
        <w:t xml:space="preserve">Because this report is simulation-only and teen-safe, it does not include authentication flows, API endpoints, account setup, firm-to-platform mappings, webhook configuration, or connection steps. Instead, CELL-Q defines a </w:t>
      </w:r>
      <w:r>
        <w:rPr>
          <w:rFonts w:ascii="Liberation Mono" w:hAnsi="Liberation Mono"/>
          <w:color w:val="0B2545"/>
          <w:sz w:val="19"/>
          <w:shd w:fill="F2F4F7"/>
        </w:rPr>
        <w:t>PaperExecutionPort</w:t>
      </w:r>
      <w:r>
        <w:rPr>
          <w:rFonts w:ascii="Calibri" w:hAnsi="Calibri"/>
          <w:b w:val="0"/>
          <w:color w:val="1A2733"/>
        </w:rPr>
        <w:t xml:space="preserve"> with typed messages: market event, synthetic order intent, acknowledgement, fill, cancel, reject, account snapshot, capability declaration, health, and clock sample. A vendor-specific adapter may be studied only in an isolated paper environment under adult/organizational authorization. It cannot be enabled by a research Cell Image.</w:t>
      </w:r>
    </w:p>
    <w:p>
      <w:r>
        <w:rPr>
          <w:rFonts w:ascii="Calibri" w:hAnsi="Calibri"/>
          <w:b w:val="0"/>
          <w:color w:val="1A2733"/>
        </w:rPr>
        <w:t xml:space="preserve">Each adapter record must carry </w:t>
      </w:r>
      <w:r>
        <w:rPr>
          <w:rFonts w:ascii="Liberation Mono" w:hAnsi="Liberation Mono"/>
          <w:color w:val="0B2545"/>
          <w:sz w:val="19"/>
          <w:shd w:fill="F2F4F7"/>
        </w:rPr>
        <w:t>provider</w:t>
      </w:r>
      <w:r>
        <w:rPr>
          <w:rFonts w:ascii="Calibri" w:hAnsi="Calibri"/>
          <w:b w:val="0"/>
          <w:color w:val="1A2733"/>
        </w:rPr>
        <w:t xml:space="preserve">, </w:t>
      </w:r>
      <w:r>
        <w:rPr>
          <w:rFonts w:ascii="Liberation Mono" w:hAnsi="Liberation Mono"/>
          <w:color w:val="0B2545"/>
          <w:sz w:val="19"/>
          <w:shd w:fill="F2F4F7"/>
        </w:rPr>
        <w:t>interface_version</w:t>
      </w:r>
      <w:r>
        <w:rPr>
          <w:rFonts w:ascii="Calibri" w:hAnsi="Calibri"/>
          <w:b w:val="0"/>
          <w:color w:val="1A2733"/>
        </w:rPr>
        <w:t xml:space="preserve">, </w:t>
      </w:r>
      <w:r>
        <w:rPr>
          <w:rFonts w:ascii="Liberation Mono" w:hAnsi="Liberation Mono"/>
          <w:color w:val="0B2545"/>
          <w:sz w:val="19"/>
          <w:shd w:fill="F2F4F7"/>
        </w:rPr>
        <w:t>observed_at</w:t>
      </w:r>
      <w:r>
        <w:rPr>
          <w:rFonts w:ascii="Calibri" w:hAnsi="Calibri"/>
          <w:b w:val="0"/>
          <w:color w:val="1A2733"/>
        </w:rPr>
        <w:t xml:space="preserve">, declared environments, rate-limit/SLA evidence, timestamp semantics, idempotency behavior, recovery model, entitlements, and unsupported capabilities. If the provider publishes no version or latency distribution, the field is </w:t>
      </w:r>
      <w:r>
        <w:rPr>
          <w:rFonts w:ascii="Liberation Mono" w:hAnsi="Liberation Mono"/>
          <w:color w:val="0B2545"/>
          <w:sz w:val="19"/>
          <w:shd w:fill="F2F4F7"/>
        </w:rPr>
        <w:t>unknown</w:t>
      </w:r>
      <w:r>
        <w:rPr>
          <w:rFonts w:ascii="Calibri" w:hAnsi="Calibri"/>
          <w:b w:val="0"/>
          <w:color w:val="1A2733"/>
        </w:rPr>
        <w:t>, not a guessed number. Webhooks are treated as asynchronous and at-least-once unless independently demonstrated otherwise. Duplicate suppression, sequence reconciliation, circuit breaking, and a kill state belong outside the adapter.</w:t>
      </w:r>
    </w:p>
    <w:p>
      <w:r>
        <w:rPr>
          <w:rFonts w:ascii="Calibri" w:hAnsi="Calibri"/>
          <w:b/>
          <w:color w:val="1A2733"/>
        </w:rPr>
        <w:t>CELL//OS mapping.</w:t>
      </w:r>
      <w:r>
        <w:rPr>
          <w:rFonts w:ascii="Calibri" w:hAnsi="Calibri"/>
          <w:b w:val="0"/>
          <w:color w:val="1A2733"/>
        </w:rPr>
        <w:t xml:space="preserve"> Backtest Engineer owns differential and metamorphic testing; Execution Simulator owns deterministic replay and the PaperExecutionPort; Data Steward owns contract/roll/cost inputs; Risk Officer owns the generic policy envelope. The Tool Execution layer isolates engines and adapters in Docker/WASM sandboxes. The Organization Compiler refuses any capability that names a live brokerage environment. SRE monitors replay lag, sequence gaps, checkpoint recovery, queue-model residuals, and cost-model drift.</w:t>
      </w:r>
    </w:p>
    <w:p>
      <w:r>
        <w:br w:type="page"/>
      </w:r>
    </w:p>
    <w:p>
      <w:pPr>
        <w:pStyle w:val="Heading1"/>
      </w:pPr>
      <w:r>
        <w:t>6. Public evaluation-firm rules as a governance case study</w:t>
      </w:r>
    </w:p>
    <w:p>
      <w:pPr>
        <w:pStyle w:val="Heading2"/>
      </w:pPr>
      <w:r>
        <w:t>6.1 What is and is not included</w:t>
      </w:r>
    </w:p>
    <w:p>
      <w:r>
        <w:rPr>
          <w:rFonts w:ascii="Calibri" w:hAnsi="Calibri"/>
          <w:b w:val="0"/>
          <w:color w:val="1A2733"/>
        </w:rPr>
        <w:t>Evaluation-based futures firms publish rapidly changing commercial terms covering loss floors, daily limits, position limits, consistency, prohibited behavior, account concurrency, and withdrawals. Exact terms, platform compatibility, fees, resets, payout schedules, and enrollment steps can directly enable participation in an age-restricted financial service. They are therefore intentionally not reproduced or linked here. The safe engineering conclusion is more durable: never encode a public webpage in a prompt and never assume a rule remembered from a prior date remains current.</w:t>
      </w:r>
    </w:p>
    <w:p>
      <w:r>
        <w:rPr>
          <w:rFonts w:ascii="Calibri" w:hAnsi="Calibri"/>
          <w:b w:val="0"/>
          <w:color w:val="1A2733"/>
        </w:rPr>
        <w:t>The source review included public materials from Topstep, Apex Trader Funding, Take Profit Trader, My Funded Futures, and Tradeify through 4 September 2026. Across those sources, the same label—such as trailing drawdown—could mean materially different state transitions: intraday net-liquidation high-water marks, end-of-day updates, a floor that stops trailing after a threshold, or different treatment after a stage transition. Several pages carried 2026 update dates. These observations justify a bitemporal policy service, but they do not justify relying on any summarized term for participation.</w:t>
      </w:r>
    </w:p>
    <w:p>
      <w:pPr>
        <w:pStyle w:val="Heading2"/>
      </w:pPr>
      <w:r>
        <w:t>6.2 Rule DSL and conservative interpretation</w:t>
      </w:r>
    </w:p>
    <w:p>
      <w:r>
        <w:rPr>
          <w:rFonts w:ascii="Calibri" w:hAnsi="Calibri"/>
          <w:b w:val="0"/>
          <w:color w:val="1A2733"/>
        </w:rPr>
        <w:t>The normalized schema is useful for software assurance without publishing a firm's exact commercial settings: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3550"/>
        <w:gridCol w:w="3710"/>
      </w:tblGrid>
      <w:tr>
        <w:trPr>
          <w:tblHeader w:val="true"/>
        </w:trPr>
        <w:tc>
          <w:tcPr>
            <w:tcW w:type="dxa" w:w="2100"/>
            <w:tcMar>
              <w:top w:w="80" w:type="dxa"/>
              <w:start w:w="120" w:type="dxa"/>
              <w:bottom w:w="80" w:type="dxa"/>
              <w:end w:w="120" w:type="dxa"/>
            </w:tcMar>
            <w:vAlign w:val="top"/>
            <w:shd w:fill="E8EEF5"/>
          </w:tcPr>
          <w:p>
            <w:pPr>
              <w:pStyle w:val="CELLQTableText"/>
            </w:pPr>
            <w:r>
              <w:rPr>
                <w:rFonts w:ascii="Calibri" w:hAnsi="Calibri"/>
                <w:b/>
                <w:color w:val="0B2545"/>
                <w:sz w:val="16"/>
              </w:rPr>
              <w:t>Domain</w:t>
            </w:r>
          </w:p>
        </w:tc>
        <w:tc>
          <w:tcPr>
            <w:tcW w:type="dxa" w:w="3550"/>
            <w:tcMar>
              <w:top w:w="80" w:type="dxa"/>
              <w:start w:w="120" w:type="dxa"/>
              <w:bottom w:w="80" w:type="dxa"/>
              <w:end w:w="120" w:type="dxa"/>
            </w:tcMar>
            <w:vAlign w:val="top"/>
            <w:shd w:fill="E8EEF5"/>
          </w:tcPr>
          <w:p>
            <w:pPr>
              <w:pStyle w:val="CELLQTableText"/>
            </w:pPr>
            <w:r>
              <w:rPr>
                <w:rFonts w:ascii="Calibri" w:hAnsi="Calibri"/>
                <w:b/>
                <w:color w:val="0B2545"/>
                <w:sz w:val="16"/>
              </w:rPr>
              <w:t>Required policy fields</w:t>
            </w:r>
          </w:p>
        </w:tc>
        <w:tc>
          <w:tcPr>
            <w:tcW w:type="dxa" w:w="3710"/>
            <w:tcMar>
              <w:top w:w="80" w:type="dxa"/>
              <w:start w:w="120" w:type="dxa"/>
              <w:bottom w:w="80" w:type="dxa"/>
              <w:end w:w="120" w:type="dxa"/>
            </w:tcMar>
            <w:vAlign w:val="top"/>
            <w:shd w:fill="E8EEF5"/>
          </w:tcPr>
          <w:p>
            <w:pPr>
              <w:pStyle w:val="CELLQTableText"/>
            </w:pPr>
            <w:r>
              <w:rPr>
                <w:rFonts w:ascii="Calibri" w:hAnsi="Calibri"/>
                <w:b/>
                <w:color w:val="0B2545"/>
                <w:sz w:val="16"/>
              </w:rPr>
              <w:t>Test obligations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Identity and version</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Legal entity, public source ID/hash, observed/effective/retired times, jurisdiction, reviewer, confidence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A simulation run must resolve exactly one immutable version; missing effective time triggers uncertainty.</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Balance state</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Starting reference, realized/unrealized basis, high-water update clock, floor function, lock behavior, stage transition</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Property tests cover monotonicity, reset boundaries, overnight gaps, partial fills, and ambiguous high-water semantics.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Daily state</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Session timezone, reset event, daily reference, loss rule, market holiday/early close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Daylight-saving and calendar fixtures; continuous versus settlement-time valuation.</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Exposure</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Unit definition, product equivalence, concentration, scaling schedule, spread treatment</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Equivalent-unit tests and atomic risk checks before every synthetic state transition.</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Behavior</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Consistency statistic, event/news restrictions, inactivity, prohibited patterns, automation/copy policy</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Negative fixtures prove a prohibited transition cannot be emitted; ambiguous prose becomes the more conservative branch.</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Commercial terms</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Payout, fee, reset, cap, and account-concurrency fields</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Retained only as restricted historical evidence; excluded from optimization objectives and this report's operational surface.</w:t>
            </w:r>
          </w:p>
        </w:tc>
      </w:tr>
    </w:tbl>
    <w:p>
      <w:pPr>
        <w:spacing w:before="20" w:after="60" w:line="240" w:lineRule="auto"/>
      </w:pPr>
    </w:p>
    <w:p>
      <w:r>
        <w:rPr>
          <w:rFonts w:ascii="Calibri" w:hAnsi="Calibri"/>
          <w:b w:val="0"/>
          <w:color w:val="1A2733"/>
        </w:rPr>
        <w:t>The compiler emits a pure finite-state machine and a human-readable explanation generated from the same intermediate representation. Unit tests come from boundary-value analysis, property-based generation, and manually reviewed examples. A policy change never mutates a prior version. Historical simulations select the version whose effective and knowledge times were valid; if the historical rule cannot be verified, the result is labeled uncertifiable.</w:t>
      </w:r>
    </w:p>
    <w:p>
      <w:pPr>
        <w:pStyle w:val="Heading2"/>
      </w:pPr>
      <w:r>
        <w:t>6.3 Safe paper-research lifecycle</w:t>
      </w:r>
    </w:p>
    <w:p>
      <w:r>
        <w:rPr>
          <w:rFonts w:ascii="Calibri" w:hAnsi="Calibri"/>
          <w:b w:val="0"/>
          <w:color w:val="1A2733"/>
        </w:rPr>
        <w:t>The allowed lifecycle stops before a live service:</w:t>
      </w:r>
    </w:p>
    <w:p>
      <w:pPr>
        <w:pStyle w:val="ListNumber"/>
        <w:numPr>
          <w:ilvl w:val="0"/>
          <w:numId w:val="9203"/>
        </w:numPr>
      </w:pPr>
      <w:r>
        <w:rPr>
          <w:rFonts w:ascii="Calibri" w:hAnsi="Calibri"/>
          <w:b w:val="0"/>
          <w:color w:val="1A2733"/>
        </w:rPr>
        <w:t>Capture a dated public-policy artifact and its cryptographic hash.</w:t>
      </w:r>
    </w:p>
    <w:p>
      <w:pPr>
        <w:pStyle w:val="ListNumber"/>
        <w:numPr>
          <w:ilvl w:val="0"/>
          <w:numId w:val="9203"/>
        </w:numPr>
      </w:pPr>
      <w:r>
        <w:rPr>
          <w:rFonts w:ascii="Calibri" w:hAnsi="Calibri"/>
          <w:b w:val="0"/>
          <w:color w:val="1A2733"/>
        </w:rPr>
        <w:t>Have the Prop-rule Warden and a second reviewer normalize it to the DSL, marking ambiguity.</w:t>
      </w:r>
    </w:p>
    <w:p>
      <w:pPr>
        <w:pStyle w:val="ListNumber"/>
        <w:numPr>
          <w:ilvl w:val="0"/>
          <w:numId w:val="9203"/>
        </w:numPr>
      </w:pPr>
      <w:r>
        <w:rPr>
          <w:rFonts w:ascii="Calibri" w:hAnsi="Calibri"/>
          <w:b w:val="0"/>
          <w:color w:val="1A2733"/>
        </w:rPr>
        <w:t>Compile and property-test the state machine on synthetic balances, clocks, and positions.</w:t>
      </w:r>
    </w:p>
    <w:p>
      <w:pPr>
        <w:pStyle w:val="ListNumber"/>
        <w:numPr>
          <w:ilvl w:val="0"/>
          <w:numId w:val="9203"/>
        </w:numPr>
      </w:pPr>
      <w:r>
        <w:rPr>
          <w:rFonts w:ascii="Calibri" w:hAnsi="Calibri"/>
          <w:b w:val="0"/>
          <w:color w:val="1A2733"/>
        </w:rPr>
        <w:t>Replay frozen historical/synthetic research results through the policy machine solely to find violations and specification defects.</w:t>
      </w:r>
    </w:p>
    <w:p>
      <w:pPr>
        <w:pStyle w:val="ListNumber"/>
        <w:numPr>
          <w:ilvl w:val="0"/>
          <w:numId w:val="9203"/>
        </w:numPr>
      </w:pPr>
      <w:r>
        <w:rPr>
          <w:rFonts w:ascii="Calibri" w:hAnsi="Calibri"/>
          <w:b w:val="0"/>
          <w:color w:val="1A2733"/>
        </w:rPr>
        <w:t>Run a paper/shadow environment with no brokerage credentials or real account.</w:t>
      </w:r>
    </w:p>
    <w:p>
      <w:pPr>
        <w:pStyle w:val="ListNumber"/>
        <w:numPr>
          <w:ilvl w:val="0"/>
          <w:numId w:val="9203"/>
        </w:numPr>
      </w:pPr>
      <w:r>
        <w:rPr>
          <w:rFonts w:ascii="Calibri" w:hAnsi="Calibri"/>
          <w:b w:val="0"/>
          <w:color w:val="1A2733"/>
        </w:rPr>
        <w:t>Produce an Evidence Pack listing policy version, interpretations, violations, and uncertainty.</w:t>
      </w:r>
    </w:p>
    <w:p>
      <w:pPr>
        <w:pStyle w:val="ListNumber"/>
        <w:numPr>
          <w:ilvl w:val="0"/>
          <w:numId w:val="9203"/>
        </w:numPr>
      </w:pPr>
      <w:r>
        <w:rPr>
          <w:rFonts w:ascii="Calibri" w:hAnsi="Calibri"/>
          <w:b w:val="0"/>
          <w:color w:val="1A2733"/>
        </w:rPr>
        <w:t>Archive or invalidate the experiment when the source changes. There is no live promotion transition.</w:t>
      </w:r>
    </w:p>
    <w:p>
      <w:r>
        <w:rPr>
          <w:rFonts w:ascii="Calibri" w:hAnsi="Calibri"/>
          <w:b w:val="0"/>
          <w:color w:val="1A2733"/>
        </w:rPr>
        <w:t>Synthetic policy containers may be used to test software isolation and single-provider failure domains. They must not be optimized for commercial outcomes. The assurance objective is to demonstrate that a provider outage, stale state, or bad rule version cannot contaminate another container; violations trigger quarantine and review.</w:t>
      </w:r>
    </w:p>
    <w:p>
      <w:pPr>
        <w:pStyle w:val="Heading2"/>
      </w:pPr>
      <w:r>
        <w:t>6.4 Regulatory status and evidence limits</w:t>
      </w:r>
    </w:p>
    <w:p>
      <w:r>
        <w:rPr>
          <w:rFonts w:ascii="Calibri" w:hAnsi="Calibri"/>
          <w:b w:val="0"/>
          <w:color w:val="1A2733"/>
        </w:rPr>
        <w:t>The Commodity Futures Trading Commission and National Futures Association regulate particular entities and activities; they do not confer a blanket regulatory status on a marketing category. Registration must be checked for the exact legal entity and capacity in NFA BASIC, and a public firm's terms are not a substitute for that record (</w:t>
      </w:r>
      <w:hyperlink r:id="rId53">
        <w:r>
          <w:rPr>
            <w:rFonts w:ascii="Calibri" w:hAnsi="Calibri"/>
            <w:color w:val="2E74B5"/>
            <w:u w:val="single"/>
          </w:rPr>
          <w:t>CFTC registration check</w:t>
        </w:r>
      </w:hyperlink>
      <w:r>
        <w:rPr>
          <w:rFonts w:ascii="Calibri" w:hAnsi="Calibri"/>
          <w:b w:val="0"/>
          <w:color w:val="1A2733"/>
        </w:rPr>
        <w:t xml:space="preserve">, </w:t>
      </w:r>
      <w:hyperlink r:id="rId54">
        <w:r>
          <w:rPr>
            <w:rFonts w:ascii="Calibri" w:hAnsi="Calibri"/>
            <w:color w:val="2E74B5"/>
            <w:u w:val="single"/>
          </w:rPr>
          <w:t>NFA registration and membership</w:t>
        </w:r>
      </w:hyperlink>
      <w:r>
        <w:rPr>
          <w:rFonts w:ascii="Calibri" w:hAnsi="Calibri"/>
          <w:b w:val="0"/>
          <w:color w:val="1A2733"/>
        </w:rPr>
        <w:t>). NFA rules also impose conditions on hypothetical performance communications by members; that reinforces the need to label CELL-Q results as simulated, disclose assumptions, and avoid presenting a backtest as an expected outcome (</w:t>
      </w:r>
      <w:hyperlink r:id="rId55">
        <w:r>
          <w:rPr>
            <w:rFonts w:ascii="Calibri" w:hAnsi="Calibri"/>
            <w:color w:val="2E74B5"/>
            <w:u w:val="single"/>
          </w:rPr>
          <w:t>NFA Rulebook</w:t>
        </w:r>
      </w:hyperlink>
      <w:r>
        <w:rPr>
          <w:rFonts w:ascii="Calibri" w:hAnsi="Calibri"/>
          <w:b w:val="0"/>
          <w:color w:val="1A2733"/>
        </w:rPr>
        <w:t>).</w:t>
      </w:r>
    </w:p>
    <w:p>
      <w:r>
        <w:rPr>
          <w:rFonts w:ascii="Calibri" w:hAnsi="Calibri"/>
          <w:b w:val="0"/>
          <w:color w:val="1A2733"/>
        </w:rPr>
        <w:t>No authoritative source reviewed established “evaluation-based futures prop firm” as a single bespoke CFTC/NFA regulatory class as of 4 September 2026. Regulatory obligations depend on the legal entity and conduct. Claims of general CFTC or NFA approval, scrutiny, or protection should therefore be rejected unless tied to a dated agency action or registration record. This is an explicit evidence gap, not an inference that no obligations apply.</w:t>
      </w:r>
    </w:p>
    <w:p>
      <w:r>
        <w:rPr>
          <w:rFonts w:ascii="Calibri" w:hAnsi="Calibri"/>
          <w:b/>
          <w:color w:val="1A2733"/>
        </w:rPr>
        <w:t>CELL//OS mapping.</w:t>
      </w:r>
      <w:r>
        <w:rPr>
          <w:rFonts w:ascii="Calibri" w:hAnsi="Calibri"/>
          <w:b w:val="0"/>
          <w:color w:val="1A2733"/>
        </w:rPr>
        <w:t xml:space="preserve"> The Prop-rule Warden owns capture, DSL normalization, and diff review; Legal/Policy metadata sits in the Knowledge Broker; the Risk Officer owns conservative conflict resolution and veto. The Evidence Ledger retains source hashes and interpretations. The Organization Compiler omits all live account and withdrawal capabilities. A human adult/organizational authority would be required for any future scope change, which is outside this report.</w:t>
      </w:r>
    </w:p>
    <w:p>
      <w:r>
        <w:br w:type="page"/>
      </w:r>
    </w:p>
    <w:p>
      <w:pPr>
        <w:pStyle w:val="Heading1"/>
      </w:pPr>
      <w:r>
        <w:t>7. Agentic architecture on CELL//OS</w:t>
      </w:r>
    </w:p>
    <w:p>
      <w:pPr>
        <w:pStyle w:val="Heading2"/>
      </w:pPr>
      <w:r>
        <w:t>7.1 Native control plane; replaceable cognitive plane</w:t>
      </w:r>
    </w:p>
    <w:p>
      <w:r>
        <w:rPr>
          <w:rFonts w:ascii="Calibri" w:hAnsi="Calibri"/>
          <w:b w:val="0"/>
          <w:color w:val="1A2733"/>
        </w:rPr>
        <w:t xml:space="preserve">CELL//OS should not be rebuilt inside an agent framework. Its stable kernel already has the concepts most frameworks lack: identity, capability registry, typed CellBus, Intent Contract, WorkGraph, Org-IR, immutable Cell Image, Cell Genome, evidence, policy, promotion, and revocation. Agent libraries are volatile implementation choices for bounded reasoning tasks. The clean boundary is an </w:t>
      </w:r>
      <w:r>
        <w:rPr>
          <w:rFonts w:ascii="Liberation Mono" w:hAnsi="Liberation Mono"/>
          <w:color w:val="0B2545"/>
          <w:sz w:val="19"/>
          <w:shd w:fill="F2F4F7"/>
        </w:rPr>
        <w:t>OperativeRuntime</w:t>
      </w:r>
      <w:r>
        <w:rPr>
          <w:rFonts w:ascii="Calibri" w:hAnsi="Calibri"/>
          <w:b w:val="0"/>
          <w:color w:val="1A2733"/>
        </w:rPr>
        <w:t xml:space="preserve"> interface whose implementation can change without changing evidence or authority.</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860"/>
        <w:gridCol w:w="1900"/>
      </w:tblGrid>
      <w:tr>
        <w:trPr>
          <w:tblHeader w:val="true"/>
        </w:trPr>
        <w:tc>
          <w:tcPr>
            <w:tcW w:type="dxa" w:w="1800"/>
            <w:tcMar>
              <w:top w:w="80" w:type="dxa"/>
              <w:start w:w="120" w:type="dxa"/>
              <w:bottom w:w="80" w:type="dxa"/>
              <w:end w:w="120" w:type="dxa"/>
            </w:tcMar>
            <w:vAlign w:val="top"/>
            <w:shd w:fill="E8EEF5"/>
          </w:tcPr>
          <w:p>
            <w:pPr>
              <w:pStyle w:val="CELLQTableText"/>
            </w:pPr>
            <w:r>
              <w:rPr>
                <w:rFonts w:ascii="Calibri" w:hAnsi="Calibri"/>
                <w:b/>
                <w:color w:val="0B2545"/>
                <w:sz w:val="16"/>
              </w:rPr>
              <w:t>Component; checked status</w:t>
            </w:r>
          </w:p>
        </w:tc>
        <w:tc>
          <w:tcPr>
            <w:tcW w:type="dxa" w:w="2800"/>
            <w:tcMar>
              <w:top w:w="80" w:type="dxa"/>
              <w:start w:w="120" w:type="dxa"/>
              <w:bottom w:w="80" w:type="dxa"/>
              <w:end w:w="120" w:type="dxa"/>
            </w:tcMar>
            <w:vAlign w:val="top"/>
            <w:shd w:fill="E8EEF5"/>
          </w:tcPr>
          <w:p>
            <w:pPr>
              <w:pStyle w:val="CELLQTableText"/>
            </w:pPr>
            <w:r>
              <w:rPr>
                <w:rFonts w:ascii="Calibri" w:hAnsi="Calibri"/>
                <w:b/>
                <w:color w:val="0B2545"/>
                <w:sz w:val="16"/>
              </w:rPr>
              <w:t>What it contributes</w:t>
            </w:r>
          </w:p>
        </w:tc>
        <w:tc>
          <w:tcPr>
            <w:tcW w:type="dxa" w:w="2860"/>
            <w:tcMar>
              <w:top w:w="80" w:type="dxa"/>
              <w:start w:w="120" w:type="dxa"/>
              <w:bottom w:w="80" w:type="dxa"/>
              <w:end w:w="120" w:type="dxa"/>
            </w:tcMar>
            <w:vAlign w:val="top"/>
            <w:shd w:fill="E8EEF5"/>
          </w:tcPr>
          <w:p>
            <w:pPr>
              <w:pStyle w:val="CELLQTableText"/>
            </w:pPr>
            <w:r>
              <w:rPr>
                <w:rFonts w:ascii="Calibri" w:hAnsi="Calibri"/>
                <w:b/>
                <w:color w:val="0B2545"/>
                <w:sz w:val="16"/>
              </w:rPr>
              <w:t>Wrap or build</w:t>
            </w:r>
          </w:p>
        </w:tc>
        <w:tc>
          <w:tcPr>
            <w:tcW w:type="dxa" w:w="1900"/>
            <w:tcMar>
              <w:top w:w="80" w:type="dxa"/>
              <w:start w:w="120" w:type="dxa"/>
              <w:bottom w:w="80" w:type="dxa"/>
              <w:end w:w="120" w:type="dxa"/>
            </w:tcMar>
            <w:vAlign w:val="top"/>
            <w:shd w:fill="E8EEF5"/>
          </w:tcPr>
          <w:p>
            <w:pPr>
              <w:pStyle w:val="CELLQTableText"/>
            </w:pPr>
            <w:r>
              <w:rPr>
                <w:rFonts w:ascii="Calibri" w:hAnsi="Calibri"/>
                <w:b/>
                <w:color w:val="0B2545"/>
                <w:sz w:val="16"/>
              </w:rPr>
              <w:t>Non-negotiable caveat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Temporal Python SDK 1.32.0 (24 Aug 2026)</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Durable append-only workflow history, retries, Activities, child workflows, signals, approvals, Continue-as-New</w:t>
            </w:r>
          </w:p>
        </w:tc>
        <w:tc>
          <w:tcPr>
            <w:tcW w:type="dxa" w:w="2860"/>
            <w:tcMar>
              <w:top w:w="80" w:type="dxa"/>
              <w:start w:w="120" w:type="dxa"/>
              <w:bottom w:w="80" w:type="dxa"/>
              <w:end w:w="120" w:type="dxa"/>
            </w:tcMar>
            <w:vAlign w:val="top"/>
          </w:tcPr>
          <w:p>
            <w:pPr>
              <w:pStyle w:val="CELLQTableText"/>
            </w:pPr>
            <w:r>
              <w:rPr>
                <w:rFonts w:ascii="Calibri" w:hAnsi="Calibri"/>
                <w:b/>
                <w:color w:val="1A2733"/>
                <w:sz w:val="16"/>
              </w:rPr>
              <w:t>Adopt as durable Mission executor</w:t>
            </w:r>
            <w:r>
              <w:rPr>
                <w:rFonts w:ascii="Calibri" w:hAnsi="Calibri"/>
                <w:b w:val="0"/>
                <w:color w:val="1A2733"/>
                <w:sz w:val="16"/>
              </w:rPr>
              <w:t>; map WorkGraph nodes to workflows/activities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Workflow code must remain deterministic; LLM, network, data, and simulation work runs in idempotent Activities. Long histories are segmented (</w:t>
            </w:r>
            <w:hyperlink r:id="rId56">
              <w:r>
                <w:rPr>
                  <w:rFonts w:ascii="Calibri" w:hAnsi="Calibri"/>
                  <w:color w:val="2E74B5"/>
                  <w:u w:val="single"/>
                </w:rPr>
                <w:t>Temporal event history</w:t>
              </w:r>
            </w:hyperlink>
            <w:r>
              <w:rPr>
                <w:rFonts w:ascii="Calibri" w:hAnsi="Calibri"/>
                <w:b w:val="0"/>
                <w:color w:val="1A2733"/>
                <w:sz w:val="16"/>
              </w:rPr>
              <w: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MCP specification 2026-07-28</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Negotiated tools/resources and typed protocol surface</w:t>
            </w:r>
          </w:p>
        </w:tc>
        <w:tc>
          <w:tcPr>
            <w:tcW w:type="dxa" w:w="2860"/>
            <w:tcMar>
              <w:top w:w="80" w:type="dxa"/>
              <w:start w:w="120" w:type="dxa"/>
              <w:bottom w:w="80" w:type="dxa"/>
              <w:end w:w="120" w:type="dxa"/>
            </w:tcMar>
            <w:vAlign w:val="top"/>
            <w:shd w:fill="F9FAFB"/>
          </w:tcPr>
          <w:p>
            <w:pPr>
              <w:pStyle w:val="CELLQTableText"/>
            </w:pPr>
            <w:r>
              <w:rPr>
                <w:rFonts w:ascii="Calibri" w:hAnsi="Calibri"/>
                <w:b/>
                <w:color w:val="1A2733"/>
                <w:sz w:val="16"/>
              </w:rPr>
              <w:t>Adopt as capability adapter contract</w:t>
            </w:r>
            <w:r>
              <w:rPr>
                <w:rFonts w:ascii="Calibri" w:hAnsi="Calibri"/>
                <w:b w:val="0"/>
                <w:color w:val="1A2733"/>
                <w:sz w:val="16"/>
              </w:rPr>
              <w:t xml:space="preserve"> behind CELL identity and policy</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MCP is not a scheduler, policy engine, sandbox, durable ledger, or exactly-once runtime (</w:t>
            </w:r>
            <w:hyperlink r:id="rId57">
              <w:r>
                <w:rPr>
                  <w:rFonts w:ascii="Calibri" w:hAnsi="Calibri"/>
                  <w:color w:val="2E74B5"/>
                  <w:u w:val="single"/>
                </w:rPr>
                <w:t>MCP specification</w:t>
              </w:r>
            </w:hyperlink>
            <w:r>
              <w:rPr>
                <w:rFonts w:ascii="Calibri" w:hAnsi="Calibri"/>
                <w:b w:val="0"/>
                <w:color w:val="1A2733"/>
                <w:sz w:val="16"/>
              </w:rPr>
              <w: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OpenAI Agents SDK 0.22.0 (19 Aug 2026)</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Tool loop, agents-as-tools/handoffs, sessions, tracing, guardrails, and approvals</w:t>
            </w:r>
          </w:p>
        </w:tc>
        <w:tc>
          <w:tcPr>
            <w:tcW w:type="dxa" w:w="2860"/>
            <w:tcMar>
              <w:top w:w="80" w:type="dxa"/>
              <w:start w:w="120" w:type="dxa"/>
              <w:bottom w:w="80" w:type="dxa"/>
              <w:end w:w="120" w:type="dxa"/>
            </w:tcMar>
            <w:vAlign w:val="top"/>
          </w:tcPr>
          <w:p>
            <w:pPr>
              <w:pStyle w:val="CELLQTableText"/>
            </w:pPr>
            <w:r>
              <w:rPr>
                <w:rFonts w:ascii="Calibri" w:hAnsi="Calibri"/>
                <w:b/>
                <w:color w:val="1A2733"/>
                <w:sz w:val="16"/>
              </w:rPr>
              <w:t>Wrap for selected Operatives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OpenAI's official guidance supports manager and handoff patterns, while tool guardrails/approvals sit near side effects; CELL//OS still owns authorization and evidence (</w:t>
            </w:r>
            <w:hyperlink r:id="rId58">
              <w:r>
                <w:rPr>
                  <w:rFonts w:ascii="Calibri" w:hAnsi="Calibri"/>
                  <w:color w:val="2E74B5"/>
                  <w:u w:val="single"/>
                </w:rPr>
                <w:t>Agents guide</w:t>
              </w:r>
            </w:hyperlink>
            <w:r>
              <w:rPr>
                <w:rFonts w:ascii="Calibri" w:hAnsi="Calibri"/>
                <w:b w:val="0"/>
                <w:color w:val="1A2733"/>
                <w:sz w:val="16"/>
              </w:rPr>
              <w:t xml:space="preserve">, </w:t>
            </w:r>
            <w:hyperlink r:id="rId59">
              <w:r>
                <w:rPr>
                  <w:rFonts w:ascii="Calibri" w:hAnsi="Calibri"/>
                  <w:color w:val="2E74B5"/>
                  <w:u w:val="single"/>
                </w:rPr>
                <w:t>guardrails and approvals</w:t>
              </w:r>
            </w:hyperlink>
            <w:r>
              <w:rPr>
                <w:rFonts w:ascii="Calibri" w:hAnsi="Calibri"/>
                <w:b w:val="0"/>
                <w:color w:val="1A2733"/>
                <w:sz w:val="16"/>
              </w:rPr>
              <w: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LangGraph 1.2.11 (11 Aug 2026)</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Explicit graph/state control, checkpoints, interrupts, time travel</w:t>
            </w:r>
          </w:p>
        </w:tc>
        <w:tc>
          <w:tcPr>
            <w:tcW w:type="dxa" w:w="2860"/>
            <w:tcMar>
              <w:top w:w="80" w:type="dxa"/>
              <w:start w:w="120" w:type="dxa"/>
              <w:bottom w:w="80" w:type="dxa"/>
              <w:end w:w="120" w:type="dxa"/>
            </w:tcMar>
            <w:vAlign w:val="top"/>
            <w:shd w:fill="F9FAFB"/>
          </w:tcPr>
          <w:p>
            <w:pPr>
              <w:pStyle w:val="CELLQTableText"/>
            </w:pPr>
            <w:r>
              <w:rPr>
                <w:rFonts w:ascii="Calibri" w:hAnsi="Calibri"/>
                <w:b/>
                <w:color w:val="1A2733"/>
                <w:sz w:val="16"/>
              </w:rPr>
              <w:t>Good alternative primary worker runtime</w:t>
            </w:r>
            <w:r>
              <w:rPr>
                <w:rFonts w:ascii="Calibri" w:hAnsi="Calibri"/>
                <w:b w:val="0"/>
                <w:color w:val="1A2733"/>
                <w:sz w:val="16"/>
              </w:rPr>
              <w:t xml:space="preserve"> for research DAGs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Do not duplicate Temporal durability or let graph state become the authoritative Evidence Ledger (</w:t>
            </w:r>
            <w:hyperlink r:id="rId60">
              <w:r>
                <w:rPr>
                  <w:rFonts w:ascii="Calibri" w:hAnsi="Calibri"/>
                  <w:color w:val="2E74B5"/>
                  <w:u w:val="single"/>
                </w:rPr>
                <w:t>LangGraph overview</w:t>
              </w:r>
            </w:hyperlink>
            <w:r>
              <w:rPr>
                <w:rFonts w:ascii="Calibri" w:hAnsi="Calibri"/>
                <w:b w:val="0"/>
                <w:color w:val="1A2733"/>
                <w:sz w:val="16"/>
              </w:rPr>
              <w: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CrewAI 1.15.18 (27 Aug 2026)</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Role-centered Crews plus deterministic-ish Flows</w:t>
            </w:r>
          </w:p>
        </w:tc>
        <w:tc>
          <w:tcPr>
            <w:tcW w:type="dxa" w:w="2860"/>
            <w:tcMar>
              <w:top w:w="80" w:type="dxa"/>
              <w:start w:w="120" w:type="dxa"/>
              <w:bottom w:w="80" w:type="dxa"/>
              <w:end w:w="120" w:type="dxa"/>
            </w:tcMar>
            <w:vAlign w:val="top"/>
          </w:tcPr>
          <w:p>
            <w:pPr>
              <w:pStyle w:val="CELLQTableText"/>
            </w:pPr>
            <w:r>
              <w:rPr>
                <w:rFonts w:ascii="Calibri" w:hAnsi="Calibri"/>
                <w:b/>
                <w:color w:val="1A2733"/>
                <w:sz w:val="16"/>
              </w:rPr>
              <w:t>Optional prototyping layer</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Autonomous Crews belong inside a bounded Flow and capability envelope; rapid releases increase pinning and regression burden.</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Microsoft AutoGen, maintenance mode at cutoff</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Actor/event and AgentChat abstractions</w:t>
            </w:r>
          </w:p>
        </w:tc>
        <w:tc>
          <w:tcPr>
            <w:tcW w:type="dxa" w:w="2860"/>
            <w:tcMar>
              <w:top w:w="80" w:type="dxa"/>
              <w:start w:w="120" w:type="dxa"/>
              <w:bottom w:w="80" w:type="dxa"/>
              <w:end w:w="120" w:type="dxa"/>
            </w:tcMar>
            <w:vAlign w:val="top"/>
            <w:shd w:fill="F9FAFB"/>
          </w:tcPr>
          <w:p>
            <w:pPr>
              <w:pStyle w:val="CELLQTableText"/>
            </w:pPr>
            <w:r>
              <w:rPr>
                <w:rFonts w:ascii="Calibri" w:hAnsi="Calibri"/>
                <w:b/>
                <w:color w:val="1A2733"/>
                <w:sz w:val="16"/>
              </w:rPr>
              <w:t>Do not start a strategic dependency</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The official repository directs new users toward Microsoft Agent Framework; AutoGen Studio is not a production control plane (</w:t>
            </w:r>
            <w:hyperlink r:id="rId61">
              <w:r>
                <w:rPr>
                  <w:rFonts w:ascii="Calibri" w:hAnsi="Calibri"/>
                  <w:color w:val="2E74B5"/>
                  <w:u w:val="single"/>
                </w:rPr>
                <w:t>AutoGen repository</w:t>
              </w:r>
            </w:hyperlink>
            <w:r>
              <w:rPr>
                <w:rFonts w:ascii="Calibri" w:hAnsi="Calibri"/>
                <w:b w:val="0"/>
                <w:color w:val="1A2733"/>
                <w:sz w:val="16"/>
              </w:rPr>
              <w: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AG2 1.0.3 (28 Aug 2026)</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Typed channels, async networking, HITL, WAL/audit concepts</w:t>
            </w:r>
          </w:p>
        </w:tc>
        <w:tc>
          <w:tcPr>
            <w:tcW w:type="dxa" w:w="2860"/>
            <w:tcMar>
              <w:top w:w="80" w:type="dxa"/>
              <w:start w:w="120" w:type="dxa"/>
              <w:bottom w:w="80" w:type="dxa"/>
              <w:end w:w="120" w:type="dxa"/>
            </w:tcMar>
            <w:vAlign w:val="top"/>
          </w:tcPr>
          <w:p>
            <w:pPr>
              <w:pStyle w:val="CELLQTableText"/>
            </w:pPr>
            <w:r>
              <w:rPr>
                <w:rFonts w:ascii="Calibri" w:hAnsi="Calibri"/>
                <w:b/>
                <w:color w:val="1A2733"/>
                <w:sz w:val="16"/>
              </w:rPr>
              <w:t>Evaluate independently</w:t>
            </w:r>
            <w:r>
              <w:rPr>
                <w:rFonts w:ascii="Calibri" w:hAnsi="Calibri"/>
                <w:b w:val="0"/>
                <w:color w:val="1A2733"/>
                <w:sz w:val="16"/>
              </w:rPr>
              <w:t xml:space="preserve"> if its protocol model fits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AG2 v1 is a rewrite and differs from the Microsoft AutoGen line; namespace and migration ambiguity demand isolation.</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Claude Agent SDK 0.2.152 (2 Sep 2026)</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Coding/research tools, hooks, permissions, subagents, MCP, sessions, telemetry</w:t>
            </w:r>
          </w:p>
        </w:tc>
        <w:tc>
          <w:tcPr>
            <w:tcW w:type="dxa" w:w="2860"/>
            <w:tcMar>
              <w:top w:w="80" w:type="dxa"/>
              <w:start w:w="120" w:type="dxa"/>
              <w:bottom w:w="80" w:type="dxa"/>
              <w:end w:w="120" w:type="dxa"/>
            </w:tcMar>
            <w:vAlign w:val="top"/>
            <w:shd w:fill="F9FAFB"/>
          </w:tcPr>
          <w:p>
            <w:pPr>
              <w:pStyle w:val="CELLQTableText"/>
            </w:pPr>
            <w:r>
              <w:rPr>
                <w:rFonts w:ascii="Calibri" w:hAnsi="Calibri"/>
                <w:b/>
                <w:color w:val="1A2733"/>
                <w:sz w:val="16"/>
              </w:rPr>
              <w:t>Specialist coding/research adapter</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Rapid SDK and bundled-CLI change increases reproducibility burden; pin both and archive behavioral evals.</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CELL//OS native kernel</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Intent, identity, capabilities, Org-IR, WorkGraph, policy, evidence, Genome/Image, promotion/revocation</w:t>
            </w:r>
          </w:p>
        </w:tc>
        <w:tc>
          <w:tcPr>
            <w:tcW w:type="dxa" w:w="2860"/>
            <w:tcMar>
              <w:top w:w="80" w:type="dxa"/>
              <w:start w:w="120" w:type="dxa"/>
              <w:bottom w:w="80" w:type="dxa"/>
              <w:end w:w="120" w:type="dxa"/>
            </w:tcMar>
            <w:vAlign w:val="top"/>
          </w:tcPr>
          <w:p>
            <w:pPr>
              <w:pStyle w:val="CELLQTableText"/>
            </w:pPr>
            <w:r>
              <w:rPr>
                <w:rFonts w:ascii="Calibri" w:hAnsi="Calibri"/>
                <w:b/>
                <w:color w:val="1A2733"/>
                <w:sz w:val="16"/>
              </w:rPr>
              <w:t>Build and keep stable</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Never outsource authority, policy truth, trial accounting, or certification to an agent transcript.</w:t>
            </w:r>
          </w:p>
        </w:tc>
      </w:tr>
    </w:tbl>
    <w:p>
      <w:pPr>
        <w:spacing w:before="20" w:after="60" w:line="240" w:lineRule="auto"/>
      </w:pPr>
    </w:p>
    <w:p>
      <w:r>
        <w:rPr>
          <w:rFonts w:ascii="Calibri" w:hAnsi="Calibri"/>
          <w:b w:val="0"/>
          <w:color w:val="1A2733"/>
        </w:rPr>
        <w:t>Anthropic's practitioner guidance is directionally consistent: begin with the simplest composable workflow that works and add autonomy only when it produces measurable value (</w:t>
      </w:r>
      <w:hyperlink r:id="rId62">
        <w:r>
          <w:rPr>
            <w:rFonts w:ascii="Calibri" w:hAnsi="Calibri"/>
            <w:color w:val="2E74B5"/>
            <w:u w:val="single"/>
          </w:rPr>
          <w:t>Building Effective Agents</w:t>
        </w:r>
      </w:hyperlink>
      <w:r>
        <w:rPr>
          <w:rFonts w:ascii="Calibri" w:hAnsi="Calibri"/>
          <w:b w:val="0"/>
          <w:color w:val="1A2733"/>
        </w:rPr>
        <w:t>). Its multi-agent research report finds breadth benefits from parallel subagents, but also substantially higher token use and coordination cost (</w:t>
      </w:r>
      <w:hyperlink r:id="rId63">
        <w:r>
          <w:rPr>
            <w:rFonts w:ascii="Calibri" w:hAnsi="Calibri"/>
            <w:color w:val="2E74B5"/>
            <w:u w:val="single"/>
          </w:rPr>
          <w:t>Multi-agent research system</w:t>
        </w:r>
      </w:hyperlink>
      <w:r>
        <w:rPr>
          <w:rFonts w:ascii="Calibri" w:hAnsi="Calibri"/>
          <w:b w:val="0"/>
          <w:color w:val="1A2733"/>
        </w:rPr>
        <w:t>). That supports parallel evidence gathering, not multi-agent control of a deterministic simulator.</w:t>
      </w:r>
    </w:p>
    <w:p>
      <w:pPr>
        <w:pStyle w:val="Heading2"/>
      </w:pPr>
      <w:r>
        <w:t>7.2 Mesh topology and trust boundaries</w:t>
      </w:r>
    </w:p>
    <w:p>
      <w:pPr>
        <w:spacing w:before="160" w:after="100"/>
        <w:jc w:val="center"/>
      </w:pPr>
      <w:r>
        <w:rPr>
          <w:rFonts w:ascii="Calibri" w:hAnsi="Calibri"/>
          <w:b/>
          <w:color w:val="5D6874"/>
          <w:sz w:val="18"/>
        </w:rPr>
        <w:t>Figure 1 — CELL-Q trust topology</w:t>
      </w:r>
    </w:p>
    <w:tbl>
      <w:tblPr>
        <w:tblW w:type="dxa" w:w="9360"/>
        <w:jc w:val="left"/>
        <w:tblLayout w:type="fixed"/>
        <w:tblLook w:firstColumn="1" w:firstRow="1" w:lastColumn="0" w:lastRow="0" w:noHBand="0" w:noVBand="1" w:val="04A0"/>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Pr>
      <w:tblGrid>
        <w:gridCol w:w="9360"/>
      </w:tblGrid>
      <w:tr>
        <w:tc>
          <w:tcPr>
            <w:tcW w:type="dxa" w:w="9360"/>
            <w:tcMar>
              <w:top w:w="80" w:type="dxa"/>
              <w:start w:w="120" w:type="dxa"/>
              <w:bottom w:w="80" w:type="dxa"/>
              <w:end w:w="120" w:type="dxa"/>
            </w:tcMar>
            <w:shd w:fill="0B2545"/>
          </w:tcPr>
          <w:p>
            <w:pPr>
              <w:jc w:val="center"/>
            </w:pPr>
            <w:r>
              <w:rPr>
                <w:rFonts w:ascii="Calibri" w:hAnsi="Calibri"/>
                <w:b/>
                <w:color w:val="FFFFFF"/>
                <w:sz w:val="19"/>
              </w:rPr>
              <w:t>CELL//OS NATIVE CONTROL PLANE</w:t>
            </w:r>
          </w:p>
        </w:tc>
      </w:tr>
    </w:tbl>
    <w:tbl>
      <w:tblPr>
        <w:tblW w:type="dxa" w:w="9360"/>
        <w:jc w:val="left"/>
        <w:tblLayout w:type="fixed"/>
        <w:tblLook w:firstColumn="1" w:firstRow="1" w:lastColumn="0" w:lastRow="0" w:noHBand="0" w:noVBand="1" w:val="04A0"/>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Pr>
      <w:tblGrid>
        <w:gridCol w:w="1872"/>
        <w:gridCol w:w="1872"/>
        <w:gridCol w:w="1872"/>
        <w:gridCol w:w="1872"/>
        <w:gridCol w:w="1872"/>
      </w:tblGrid>
      <w:tr>
        <w:tc>
          <w:tcPr>
            <w:tcW w:type="dxa" w:w="1872"/>
            <w:tcMar>
              <w:top w:w="80" w:type="dxa"/>
              <w:start w:w="120" w:type="dxa"/>
              <w:bottom w:w="80" w:type="dxa"/>
              <w:end w:w="120" w:type="dxa"/>
            </w:tcMar>
            <w:shd w:fill="E8EEF5"/>
          </w:tcPr>
          <w:p>
            <w:pPr>
              <w:jc w:val="center"/>
            </w:pPr>
            <w:r>
              <w:rPr>
                <w:rFonts w:ascii="Calibri" w:hAnsi="Calibri"/>
                <w:b/>
                <w:color w:val="0B2545"/>
                <w:sz w:val="16"/>
              </w:rPr>
              <w:t>DISCOVERY</w:t>
            </w:r>
          </w:p>
          <w:p>
            <w:pPr>
              <w:spacing w:after="20"/>
              <w:jc w:val="center"/>
            </w:pPr>
            <w:r>
              <w:rPr>
                <w:rFonts w:ascii="Calibri" w:hAnsi="Calibri"/>
                <w:color w:val="5D6874"/>
                <w:sz w:val="14"/>
              </w:rPr>
              <w:t>Hypotheses · features · models</w:t>
            </w:r>
          </w:p>
        </w:tc>
        <w:tc>
          <w:tcPr>
            <w:tcW w:type="dxa" w:w="1872"/>
            <w:tcMar>
              <w:top w:w="80" w:type="dxa"/>
              <w:start w:w="120" w:type="dxa"/>
              <w:bottom w:w="80" w:type="dxa"/>
              <w:end w:w="120" w:type="dxa"/>
            </w:tcMar>
            <w:shd w:fill="E8EEF5"/>
          </w:tcPr>
          <w:p>
            <w:pPr>
              <w:jc w:val="center"/>
            </w:pPr>
            <w:r>
              <w:rPr>
                <w:rFonts w:ascii="Calibri" w:hAnsi="Calibri"/>
                <w:b/>
                <w:color w:val="0B2545"/>
                <w:sz w:val="16"/>
              </w:rPr>
              <w:t>EVIDENCE</w:t>
            </w:r>
          </w:p>
          <w:p>
            <w:pPr>
              <w:spacing w:after="20"/>
              <w:jc w:val="center"/>
            </w:pPr>
            <w:r>
              <w:rPr>
                <w:rFonts w:ascii="Calibri" w:hAnsi="Calibri"/>
                <w:color w:val="5D6874"/>
                <w:sz w:val="14"/>
              </w:rPr>
              <w:t>Hidden data · replay · Crucible</w:t>
            </w:r>
          </w:p>
        </w:tc>
        <w:tc>
          <w:tcPr>
            <w:tcW w:type="dxa" w:w="1872"/>
            <w:tcMar>
              <w:top w:w="80" w:type="dxa"/>
              <w:start w:w="120" w:type="dxa"/>
              <w:bottom w:w="80" w:type="dxa"/>
              <w:end w:w="120" w:type="dxa"/>
            </w:tcMar>
            <w:shd w:fill="FFF8E8"/>
          </w:tcPr>
          <w:p>
            <w:pPr>
              <w:jc w:val="center"/>
            </w:pPr>
            <w:r>
              <w:rPr>
                <w:rFonts w:ascii="Calibri" w:hAnsi="Calibri"/>
                <w:b/>
                <w:color w:val="0B2545"/>
                <w:sz w:val="16"/>
              </w:rPr>
              <w:t>RISK &amp; POLICY</w:t>
            </w:r>
          </w:p>
          <w:p>
            <w:pPr>
              <w:spacing w:after="20"/>
              <w:jc w:val="center"/>
            </w:pPr>
            <w:r>
              <w:rPr>
                <w:rFonts w:ascii="Calibri" w:hAnsi="Calibri"/>
                <w:color w:val="5D6874"/>
                <w:sz w:val="14"/>
              </w:rPr>
              <w:t>Rules · veto · quarantine</w:t>
            </w:r>
          </w:p>
        </w:tc>
        <w:tc>
          <w:tcPr>
            <w:tcW w:type="dxa" w:w="1872"/>
            <w:tcMar>
              <w:top w:w="80" w:type="dxa"/>
              <w:start w:w="120" w:type="dxa"/>
              <w:bottom w:w="80" w:type="dxa"/>
              <w:end w:w="120" w:type="dxa"/>
            </w:tcMar>
            <w:shd w:fill="E8EEF5"/>
          </w:tcPr>
          <w:p>
            <w:pPr>
              <w:jc w:val="center"/>
            </w:pPr>
            <w:r>
              <w:rPr>
                <w:rFonts w:ascii="Calibri" w:hAnsi="Calibri"/>
                <w:b/>
                <w:color w:val="0B2545"/>
                <w:sz w:val="16"/>
              </w:rPr>
              <w:t>ALLOCATION</w:t>
            </w:r>
          </w:p>
          <w:p>
            <w:pPr>
              <w:spacing w:after="20"/>
              <w:jc w:val="center"/>
            </w:pPr>
            <w:r>
              <w:rPr>
                <w:rFonts w:ascii="Calibri" w:hAnsi="Calibri"/>
                <w:color w:val="5D6874"/>
                <w:sz w:val="14"/>
              </w:rPr>
              <w:t>OOF streams · simulated portfolio</w:t>
            </w:r>
          </w:p>
        </w:tc>
        <w:tc>
          <w:tcPr>
            <w:tcW w:type="dxa" w:w="1872"/>
            <w:tcMar>
              <w:top w:w="80" w:type="dxa"/>
              <w:start w:w="120" w:type="dxa"/>
              <w:bottom w:w="80" w:type="dxa"/>
              <w:end w:w="120" w:type="dxa"/>
            </w:tcMar>
            <w:shd w:fill="E8EEF5"/>
          </w:tcPr>
          <w:p>
            <w:pPr>
              <w:jc w:val="center"/>
            </w:pPr>
            <w:r>
              <w:rPr>
                <w:rFonts w:ascii="Calibri" w:hAnsi="Calibri"/>
                <w:b/>
                <w:color w:val="0B2545"/>
                <w:sz w:val="16"/>
              </w:rPr>
              <w:t>PLATFORM</w:t>
            </w:r>
          </w:p>
          <w:p>
            <w:pPr>
              <w:spacing w:after="20"/>
              <w:jc w:val="center"/>
            </w:pPr>
            <w:r>
              <w:rPr>
                <w:rFonts w:ascii="Calibri" w:hAnsi="Calibri"/>
                <w:color w:val="5D6874"/>
                <w:sz w:val="14"/>
              </w:rPr>
              <w:t>Data · compute · identity · SRE</w:t>
            </w:r>
          </w:p>
        </w:tc>
      </w:tr>
    </w:tbl>
    <w:tbl>
      <w:tblPr>
        <w:tblW w:type="dxa" w:w="9360"/>
        <w:jc w:val="left"/>
        <w:tblLayout w:type="fixed"/>
        <w:tblLook w:firstColumn="1" w:firstRow="1" w:lastColumn="0" w:lastRow="0" w:noHBand="0" w:noVBand="1" w:val="04A0"/>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Pr>
      <w:tblGrid>
        <w:gridCol w:w="9360"/>
      </w:tblGrid>
      <w:tr>
        <w:tc>
          <w:tcPr>
            <w:tcW w:type="dxa" w:w="9360"/>
            <w:tcMar>
              <w:top w:w="80" w:type="dxa"/>
              <w:start w:w="120" w:type="dxa"/>
              <w:bottom w:w="80" w:type="dxa"/>
              <w:end w:w="120" w:type="dxa"/>
            </w:tcMar>
            <w:shd w:fill="F4F6F9"/>
          </w:tcPr>
          <w:p>
            <w:pPr>
              <w:jc w:val="center"/>
            </w:pPr>
            <w:r>
              <w:rPr>
                <w:rFonts w:ascii="Calibri" w:hAnsi="Calibri"/>
                <w:b/>
                <w:color w:val="1F4D78"/>
                <w:sz w:val="16"/>
              </w:rPr>
              <w:t>Signed typed events ↓    Evidence verdicts ↑    Human gates at capability and promotion boundaries</w:t>
            </w:r>
          </w:p>
        </w:tc>
      </w:tr>
    </w:tbl>
    <w:tbl>
      <w:tblPr>
        <w:tblW w:type="dxa" w:w="9360"/>
        <w:jc w:val="left"/>
        <w:tblLayout w:type="fixed"/>
        <w:tblLook w:firstColumn="1" w:firstRow="1" w:lastColumn="0" w:lastRow="0" w:noHBand="0" w:noVBand="1" w:val="04A0"/>
        <w:tblInd w:w="120" w:type="dxa"/>
        <w:tblBorders>
          <w:top w:val="single" w:sz="5" w:space="0" w:color="C9D2DC"/>
          <w:left w:val="single" w:sz="5" w:space="0" w:color="C9D2DC"/>
          <w:bottom w:val="single" w:sz="5" w:space="0" w:color="C9D2DC"/>
          <w:right w:val="single" w:sz="5" w:space="0" w:color="C9D2DC"/>
          <w:insideH w:val="single" w:sz="5" w:space="0" w:color="C9D2DC"/>
          <w:insideV w:val="single" w:sz="5" w:space="0" w:color="C9D2DC"/>
        </w:tblBorders>
      </w:tblPr>
      <w:tblGrid>
        <w:gridCol w:w="9360"/>
      </w:tblGrid>
      <w:tr>
        <w:tc>
          <w:tcPr>
            <w:tcW w:type="dxa" w:w="9360"/>
            <w:tcMar>
              <w:top w:w="80" w:type="dxa"/>
              <w:start w:w="120" w:type="dxa"/>
              <w:bottom w:w="80" w:type="dxa"/>
              <w:end w:w="120" w:type="dxa"/>
            </w:tcMar>
            <w:shd w:fill="1F4D78"/>
          </w:tcPr>
          <w:p>
            <w:pPr>
              <w:jc w:val="center"/>
            </w:pPr>
            <w:r>
              <w:rPr>
                <w:rFonts w:ascii="Calibri" w:hAnsi="Calibri"/>
                <w:b/>
                <w:color w:val="FFFFFF"/>
                <w:sz w:val="17"/>
              </w:rPr>
              <w:t>DETERMINISTIC SIMULATION PLANE — market events · features · compiled policies · synthetic fills · immutable exhaust — NO LLM</w:t>
            </w:r>
          </w:p>
        </w:tc>
      </w:tr>
    </w:tbl>
    <w:p>
      <w:pPr>
        <w:pStyle w:val="CELLQTableSource"/>
        <w:jc w:val="center"/>
      </w:pPr>
      <w:r>
        <w:rPr>
          <w:rFonts w:ascii="Calibri" w:hAnsi="Calibri"/>
          <w:b w:val="0"/>
          <w:color w:val="5D6874"/>
          <w:sz w:val="17"/>
        </w:rPr>
        <w:t>Authority flows through typed capabilities; truth flows through signed evidence, not agent consensus.</w:t>
      </w:r>
    </w:p>
    <w:p>
      <w:r>
        <w:rPr>
          <w:rFonts w:ascii="Calibri" w:hAnsi="Calibri"/>
          <w:b w:val="0"/>
          <w:color w:val="1A2733"/>
        </w:rPr>
        <w:t>The topology is asymmetric by design. The Discovery Cell may read admissible training/development data and propose artifacts. The Evidence Cell holds outer/hidden datasets, independent engine implementations, and the disclosure budget. The Risk &amp; Policy Cell consumes candidate actions and evidence but exposes only signed verdicts. The Platform Cell provides data, compute, identity, sandboxing, and observability. The Allocation Cell works only on out-of-fold strategy streams in a simulated portfolio. A Human Gate approves schema, policy, promotion, and budget changes.</w:t>
      </w:r>
    </w:p>
    <w:p>
      <w:r>
        <w:rPr>
          <w:rFonts w:ascii="Calibri" w:hAnsi="Calibri"/>
          <w:b w:val="0"/>
          <w:color w:val="1A2733"/>
        </w:rPr>
        <w:t xml:space="preserve">Use message schemas rather than conversational delegation for consequential transitions. </w:t>
      </w:r>
      <w:r>
        <w:rPr>
          <w:rFonts w:ascii="Liberation Mono" w:hAnsi="Liberation Mono"/>
          <w:color w:val="0B2545"/>
          <w:sz w:val="19"/>
          <w:shd w:fill="F2F4F7"/>
        </w:rPr>
        <w:t>HypothesisProposed</w:t>
      </w:r>
      <w:r>
        <w:rPr>
          <w:rFonts w:ascii="Calibri" w:hAnsi="Calibri"/>
          <w:b w:val="0"/>
          <w:color w:val="1A2733"/>
        </w:rPr>
        <w:t xml:space="preserve">, </w:t>
      </w:r>
      <w:r>
        <w:rPr>
          <w:rFonts w:ascii="Liberation Mono" w:hAnsi="Liberation Mono"/>
          <w:color w:val="0B2545"/>
          <w:sz w:val="19"/>
          <w:shd w:fill="F2F4F7"/>
        </w:rPr>
        <w:t>DatasetCertified</w:t>
      </w:r>
      <w:r>
        <w:rPr>
          <w:rFonts w:ascii="Calibri" w:hAnsi="Calibri"/>
          <w:b w:val="0"/>
          <w:color w:val="1A2733"/>
        </w:rPr>
        <w:t xml:space="preserve">, </w:t>
      </w:r>
      <w:r>
        <w:rPr>
          <w:rFonts w:ascii="Liberation Mono" w:hAnsi="Liberation Mono"/>
          <w:color w:val="0B2545"/>
          <w:sz w:val="19"/>
          <w:shd w:fill="F2F4F7"/>
        </w:rPr>
        <w:t>ExperimentRequested</w:t>
      </w:r>
      <w:r>
        <w:rPr>
          <w:rFonts w:ascii="Calibri" w:hAnsi="Calibri"/>
          <w:b w:val="0"/>
          <w:color w:val="1A2733"/>
        </w:rPr>
        <w:t xml:space="preserve">, </w:t>
      </w:r>
      <w:r>
        <w:rPr>
          <w:rFonts w:ascii="Liberation Mono" w:hAnsi="Liberation Mono"/>
          <w:color w:val="0B2545"/>
          <w:sz w:val="19"/>
          <w:shd w:fill="F2F4F7"/>
        </w:rPr>
        <w:t>TrialCharged</w:t>
      </w:r>
      <w:r>
        <w:rPr>
          <w:rFonts w:ascii="Calibri" w:hAnsi="Calibri"/>
          <w:b w:val="0"/>
          <w:color w:val="1A2733"/>
        </w:rPr>
        <w:t xml:space="preserve">, </w:t>
      </w:r>
      <w:r>
        <w:rPr>
          <w:rFonts w:ascii="Liberation Mono" w:hAnsi="Liberation Mono"/>
          <w:color w:val="0B2545"/>
          <w:sz w:val="19"/>
          <w:shd w:fill="F2F4F7"/>
        </w:rPr>
        <w:t>EvidencePackSigned</w:t>
      </w:r>
      <w:r>
        <w:rPr>
          <w:rFonts w:ascii="Calibri" w:hAnsi="Calibri"/>
          <w:b w:val="0"/>
          <w:color w:val="1A2733"/>
        </w:rPr>
        <w:t xml:space="preserve">, </w:t>
      </w:r>
      <w:r>
        <w:rPr>
          <w:rFonts w:ascii="Liberation Mono" w:hAnsi="Liberation Mono"/>
          <w:color w:val="0B2545"/>
          <w:sz w:val="19"/>
          <w:shd w:fill="F2F4F7"/>
        </w:rPr>
        <w:t>PolicyVetoed</w:t>
      </w:r>
      <w:r>
        <w:rPr>
          <w:rFonts w:ascii="Calibri" w:hAnsi="Calibri"/>
          <w:b w:val="0"/>
          <w:color w:val="1A2733"/>
        </w:rPr>
        <w:t xml:space="preserve">, </w:t>
      </w:r>
      <w:r>
        <w:rPr>
          <w:rFonts w:ascii="Liberation Mono" w:hAnsi="Liberation Mono"/>
          <w:color w:val="0B2545"/>
          <w:sz w:val="19"/>
          <w:shd w:fill="F2F4F7"/>
        </w:rPr>
        <w:t>CellImagePromoted</w:t>
      </w:r>
      <w:r>
        <w:rPr>
          <w:rFonts w:ascii="Calibri" w:hAnsi="Calibri"/>
          <w:b w:val="0"/>
          <w:color w:val="1A2733"/>
        </w:rPr>
        <w:t xml:space="preserve">, and </w:t>
      </w:r>
      <w:r>
        <w:rPr>
          <w:rFonts w:ascii="Liberation Mono" w:hAnsi="Liberation Mono"/>
          <w:color w:val="0B2545"/>
          <w:sz w:val="19"/>
          <w:shd w:fill="F2F4F7"/>
        </w:rPr>
        <w:t>ArtifactRevoked</w:t>
      </w:r>
      <w:r>
        <w:rPr>
          <w:rFonts w:ascii="Calibri" w:hAnsi="Calibri"/>
          <w:b w:val="0"/>
          <w:color w:val="1A2733"/>
        </w:rPr>
        <w:t xml:space="preserve"> carry stable IDs, version, producer identity, timestamp, causal parent, idempotency key, and signature. Natural-language explanations are attachments, never the authoritative state.</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860"/>
        <w:gridCol w:w="1900"/>
      </w:tblGrid>
      <w:tr>
        <w:trPr>
          <w:tblHeader w:val="true"/>
        </w:trPr>
        <w:tc>
          <w:tcPr>
            <w:tcW w:type="dxa" w:w="1800"/>
            <w:tcMar>
              <w:top w:w="80" w:type="dxa"/>
              <w:start w:w="120" w:type="dxa"/>
              <w:bottom w:w="80" w:type="dxa"/>
              <w:end w:w="120" w:type="dxa"/>
            </w:tcMar>
            <w:vAlign w:val="top"/>
            <w:shd w:fill="E8EEF5"/>
          </w:tcPr>
          <w:p>
            <w:pPr>
              <w:pStyle w:val="CELLQTableText"/>
            </w:pPr>
            <w:r>
              <w:rPr>
                <w:rFonts w:ascii="Calibri" w:hAnsi="Calibri"/>
                <w:b/>
                <w:color w:val="0B2545"/>
                <w:sz w:val="16"/>
              </w:rPr>
              <w:t>Operative</w:t>
            </w:r>
          </w:p>
        </w:tc>
        <w:tc>
          <w:tcPr>
            <w:tcW w:type="dxa" w:w="2800"/>
            <w:tcMar>
              <w:top w:w="80" w:type="dxa"/>
              <w:start w:w="120" w:type="dxa"/>
              <w:bottom w:w="80" w:type="dxa"/>
              <w:end w:w="120" w:type="dxa"/>
            </w:tcMar>
            <w:vAlign w:val="top"/>
            <w:shd w:fill="E8EEF5"/>
          </w:tcPr>
          <w:p>
            <w:pPr>
              <w:pStyle w:val="CELLQTableText"/>
            </w:pPr>
            <w:r>
              <w:rPr>
                <w:rFonts w:ascii="Calibri" w:hAnsi="Calibri"/>
                <w:b/>
                <w:color w:val="0B2545"/>
                <w:sz w:val="16"/>
              </w:rPr>
              <w:t>Responsibilities</w:t>
            </w:r>
          </w:p>
        </w:tc>
        <w:tc>
          <w:tcPr>
            <w:tcW w:type="dxa" w:w="2860"/>
            <w:tcMar>
              <w:top w:w="80" w:type="dxa"/>
              <w:start w:w="120" w:type="dxa"/>
              <w:bottom w:w="80" w:type="dxa"/>
              <w:end w:w="120" w:type="dxa"/>
            </w:tcMar>
            <w:vAlign w:val="top"/>
            <w:shd w:fill="E8EEF5"/>
          </w:tcPr>
          <w:p>
            <w:pPr>
              <w:pStyle w:val="CELLQTableText"/>
            </w:pPr>
            <w:r>
              <w:rPr>
                <w:rFonts w:ascii="Calibri" w:hAnsi="Calibri"/>
                <w:b/>
                <w:color w:val="0B2545"/>
                <w:sz w:val="16"/>
              </w:rPr>
              <w:t>May not do</w:t>
            </w:r>
          </w:p>
        </w:tc>
        <w:tc>
          <w:tcPr>
            <w:tcW w:type="dxa" w:w="1900"/>
            <w:tcMar>
              <w:top w:w="80" w:type="dxa"/>
              <w:start w:w="120" w:type="dxa"/>
              <w:bottom w:w="80" w:type="dxa"/>
              <w:end w:w="120" w:type="dxa"/>
            </w:tcMar>
            <w:vAlign w:val="top"/>
            <w:shd w:fill="E8EEF5"/>
          </w:tcPr>
          <w:p>
            <w:pPr>
              <w:pStyle w:val="CELLQTableText"/>
            </w:pPr>
            <w:r>
              <w:rPr>
                <w:rFonts w:ascii="Calibri" w:hAnsi="Calibri"/>
                <w:b/>
                <w:color w:val="0B2545"/>
                <w:sz w:val="16"/>
              </w:rPr>
              <w:t>Critical evidence</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Data Steward</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Source contracts, time semantics, quality, entitlements, lineage, dataset certification</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See or optimize model performance before the dataset gate; rewrite history</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Data Quality Certificate, snapshot and source hashes</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Feature Scientist</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Typed features, streaming/batch equivalence, ablations, stability</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Read hidden holdout; add unregistered transforms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FeatureSpec, test results, availability proof</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Hypothesis Generator</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Falsifiable rationale, HypothesisSpec, budget request</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Run evaluation; edit acceptance thresholds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Signed preregistration and semantic family ID</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Model Developer</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Baselines, estimators, calibration, inner-loop tuning</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Select on outer/hidden results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Model manifest, environment, seeds, inner-fold artifacts</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Backtest Engineer</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Independent engines, cost/fill models, differential/metamorphic tests</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Change hypothesis after results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Simulation certificate and discrepancy report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Red-team Reviewer</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Leakage attacks, placebo tests, benchmark/family tests, reproducibility</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Propose optimization direction from hidden paths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Adversarial findings and signed verdict</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Risk Officer</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Hard research-risk envelope, policy invariants, de-risk ladder, veto</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Be overridden by majority vote or LLM</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Policy version, veto reason, recovery conditions</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Prop-rule Warden</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Dated source capture and policy DSL for assurance research</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Provide enrollment or live-account advice; optimize commercial outcomes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Source hash, normalized version, ambiguity register</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Execution Simulator</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Deterministic replay, paper port, synthetic order/account state</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Hold live credentials; call an LLM inside state transitions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Complete event exhaust, checkpoint/replay hashes</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Allocator/CIO Simulator</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Nested allocation on out-of-fold streams, concentration/correlation tests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Allocate real capital; ingest in-sample strategy returns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Allocation manifest, baselines, outer-fold results</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Post-mortem Analyst</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Causal timeline, assumption failures, lessons, retirement rationale</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Rewrite evidence or trial family</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Immutable incident/post-mortem report</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SRE/FinOps</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SLOs, capacity, cost quotas, recovery, secret/config controls</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Relax policy to clear a queue</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Telemetry, incident record, cost attribution</w:t>
            </w:r>
          </w:p>
        </w:tc>
      </w:tr>
    </w:tbl>
    <w:p>
      <w:pPr>
        <w:spacing w:before="20" w:after="60" w:line="240" w:lineRule="auto"/>
      </w:pPr>
    </w:p>
    <w:p>
      <w:pPr>
        <w:pStyle w:val="Heading2"/>
      </w:pPr>
      <w:r>
        <w:t>7.3 Which team patterns are reliable</w:t>
      </w:r>
    </w:p>
    <w:p>
      <w:r>
        <w:rPr>
          <w:rFonts w:ascii="Calibri" w:hAnsi="Calibri"/>
          <w:b w:val="0"/>
          <w:color w:val="1A2733"/>
        </w:rPr>
        <w:t>The most reliable design is not a room of identical agents debating until they agree. Homogeneous models can share the same blind spots and produce confident false consensus. Multi-agent research is useful when work decomposes into genuinely independent evidence lanes or when roles have asymmetric information and incentives. For CELL-Q:</w:t>
      </w:r>
    </w:p>
    <w:p>
      <w:pPr>
        <w:pStyle w:val="ListBullet"/>
        <w:numPr>
          <w:ilvl w:val="0"/>
          <w:numId w:val="9101"/>
        </w:numPr>
      </w:pPr>
      <w:r>
        <w:rPr>
          <w:rFonts w:ascii="Calibri" w:hAnsi="Calibri"/>
          <w:b/>
          <w:color w:val="1A2733"/>
        </w:rPr>
        <w:t>Use an adversarial generator/evaluator pair.</w:t>
      </w:r>
      <w:r>
        <w:rPr>
          <w:rFonts w:ascii="Calibri" w:hAnsi="Calibri"/>
          <w:b w:val="0"/>
          <w:color w:val="1A2733"/>
        </w:rPr>
        <w:t xml:space="preserve"> The generator maximizes plausible hypotheses within a budget; the evaluator tries to falsify frozen claims with hidden data, placebos, and independent implementations. The evaluator cannot propose variants from holdout paths.</w:t>
      </w:r>
    </w:p>
    <w:p>
      <w:pPr>
        <w:pStyle w:val="ListBullet"/>
        <w:numPr>
          <w:ilvl w:val="0"/>
          <w:numId w:val="9101"/>
        </w:numPr>
      </w:pPr>
      <w:r>
        <w:rPr>
          <w:rFonts w:ascii="Calibri" w:hAnsi="Calibri"/>
          <w:b/>
          <w:color w:val="1A2733"/>
        </w:rPr>
        <w:t>Use deterministic execution plus a veto-holding risk agent.</w:t>
      </w:r>
      <w:r>
        <w:rPr>
          <w:rFonts w:ascii="Calibri" w:hAnsi="Calibri"/>
          <w:b w:val="0"/>
          <w:color w:val="1A2733"/>
        </w:rPr>
        <w:t xml:space="preserve"> A compiled state machine makes the simulation transition; the Risk Officer signs or vetoes based on machine-readable policy. Natural-language consensus cannot override it.</w:t>
      </w:r>
    </w:p>
    <w:p>
      <w:pPr>
        <w:pStyle w:val="ListBullet"/>
        <w:numPr>
          <w:ilvl w:val="0"/>
          <w:numId w:val="9101"/>
        </w:numPr>
      </w:pPr>
      <w:r>
        <w:rPr>
          <w:rFonts w:ascii="Calibri" w:hAnsi="Calibri"/>
          <w:b/>
          <w:color w:val="1A2733"/>
        </w:rPr>
        <w:t>Use two-channel review.</w:t>
      </w:r>
      <w:r>
        <w:rPr>
          <w:rFonts w:ascii="Calibri" w:hAnsi="Calibri"/>
          <w:b w:val="0"/>
          <w:color w:val="1A2733"/>
        </w:rPr>
        <w:t xml:space="preserve"> A technical reviewer checks code/data/reproducibility; a policy reviewer checks authority, scope, and commercial-rule uncertainty. Either can stop promotion.</w:t>
      </w:r>
    </w:p>
    <w:p>
      <w:pPr>
        <w:pStyle w:val="ListBullet"/>
        <w:numPr>
          <w:ilvl w:val="0"/>
          <w:numId w:val="9101"/>
        </w:numPr>
      </w:pPr>
      <w:r>
        <w:rPr>
          <w:rFonts w:ascii="Calibri" w:hAnsi="Calibri"/>
          <w:b/>
          <w:color w:val="1A2733"/>
        </w:rPr>
        <w:t>Use human sign-off at capability and promotion boundaries.</w:t>
      </w:r>
      <w:r>
        <w:rPr>
          <w:rFonts w:ascii="Calibri" w:hAnsi="Calibri"/>
          <w:b w:val="0"/>
          <w:color w:val="1A2733"/>
        </w:rPr>
        <w:t xml:space="preserve"> Humans approve new data entitlements, a larger trial budget, a new tool with side effects, a new policy interpretation, and promotion/revocation. Routine deterministic reruns do not require a human.</w:t>
      </w:r>
    </w:p>
    <w:p>
      <w:pPr>
        <w:pStyle w:val="ListBullet"/>
        <w:numPr>
          <w:ilvl w:val="0"/>
          <w:numId w:val="9101"/>
        </w:numPr>
      </w:pPr>
      <w:r>
        <w:rPr>
          <w:rFonts w:ascii="Calibri" w:hAnsi="Calibri"/>
          <w:b/>
          <w:color w:val="1A2733"/>
        </w:rPr>
        <w:t>Use parallelism for breadth, not truth aggregation.</w:t>
      </w:r>
      <w:r>
        <w:rPr>
          <w:rFonts w:ascii="Calibri" w:hAnsi="Calibri"/>
          <w:b w:val="0"/>
          <w:color w:val="1A2733"/>
        </w:rPr>
        <w:t xml:space="preserve"> Independent agents can search sources, reproduce a paper, or implement tests. Claims are accepted because evidence passes an oracle, not because votes accumulate.</w:t>
      </w:r>
    </w:p>
    <w:p>
      <w:r>
        <w:rPr>
          <w:rFonts w:ascii="Calibri" w:hAnsi="Calibri"/>
          <w:b w:val="0"/>
          <w:color w:val="1A2733"/>
        </w:rPr>
        <w:t>Patterns that fail include unbounded round-robin conversations; one agent generating, testing, and approving its own idea; allowing the hidden evaluator to return detailed gradients; using a shared scratch memory as truth; storing only a final summary without tool outputs; retrying non-idempotent side effects; and putting an LLM in a timing-, accounting-, or policy-critical loop. Agent evals must measure task success, evidence accuracy, forbidden-capability attempts, recovery, and cost—not conversational fluency alone (</w:t>
      </w:r>
      <w:hyperlink r:id="rId64">
        <w:r>
          <w:rPr>
            <w:rFonts w:ascii="Calibri" w:hAnsi="Calibri"/>
            <w:color w:val="2E74B5"/>
            <w:u w:val="single"/>
          </w:rPr>
          <w:t>Anthropic agent-evals guidance</w:t>
        </w:r>
      </w:hyperlink>
      <w:r>
        <w:rPr>
          <w:rFonts w:ascii="Calibri" w:hAnsi="Calibri"/>
          <w:b w:val="0"/>
          <w:color w:val="1A2733"/>
        </w:rPr>
        <w:t>).</w:t>
      </w:r>
    </w:p>
    <w:p>
      <w:pPr>
        <w:pStyle w:val="Heading2"/>
      </w:pPr>
      <w:r>
        <w:t>7.4 Monitoring at agent, strategy, and portfolio layers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860"/>
        <w:gridCol w:w="1900"/>
      </w:tblGrid>
      <w:tr>
        <w:trPr>
          <w:tblHeader w:val="true"/>
        </w:trPr>
        <w:tc>
          <w:tcPr>
            <w:tcW w:type="dxa" w:w="1800"/>
            <w:tcMar>
              <w:top w:w="80" w:type="dxa"/>
              <w:start w:w="120" w:type="dxa"/>
              <w:bottom w:w="80" w:type="dxa"/>
              <w:end w:w="120" w:type="dxa"/>
            </w:tcMar>
            <w:vAlign w:val="top"/>
            <w:shd w:fill="E8EEF5"/>
          </w:tcPr>
          <w:p>
            <w:pPr>
              <w:pStyle w:val="CELLQTableText"/>
            </w:pPr>
            <w:r>
              <w:rPr>
                <w:rFonts w:ascii="Calibri" w:hAnsi="Calibri"/>
                <w:b/>
                <w:color w:val="0B2545"/>
                <w:sz w:val="16"/>
              </w:rPr>
              <w:t>Layer</w:t>
            </w:r>
          </w:p>
        </w:tc>
        <w:tc>
          <w:tcPr>
            <w:tcW w:type="dxa" w:w="2800"/>
            <w:tcMar>
              <w:top w:w="80" w:type="dxa"/>
              <w:start w:w="120" w:type="dxa"/>
              <w:bottom w:w="80" w:type="dxa"/>
              <w:end w:w="120" w:type="dxa"/>
            </w:tcMar>
            <w:vAlign w:val="top"/>
            <w:shd w:fill="E8EEF5"/>
          </w:tcPr>
          <w:p>
            <w:pPr>
              <w:pStyle w:val="CELLQTableText"/>
            </w:pPr>
            <w:r>
              <w:rPr>
                <w:rFonts w:ascii="Calibri" w:hAnsi="Calibri"/>
                <w:b/>
                <w:color w:val="0B2545"/>
                <w:sz w:val="16"/>
              </w:rPr>
              <w:t>Signals</w:t>
            </w:r>
          </w:p>
        </w:tc>
        <w:tc>
          <w:tcPr>
            <w:tcW w:type="dxa" w:w="2860"/>
            <w:tcMar>
              <w:top w:w="80" w:type="dxa"/>
              <w:start w:w="120" w:type="dxa"/>
              <w:bottom w:w="80" w:type="dxa"/>
              <w:end w:w="120" w:type="dxa"/>
            </w:tcMar>
            <w:vAlign w:val="top"/>
            <w:shd w:fill="E8EEF5"/>
          </w:tcPr>
          <w:p>
            <w:pPr>
              <w:pStyle w:val="CELLQTableText"/>
            </w:pPr>
            <w:r>
              <w:rPr>
                <w:rFonts w:ascii="Calibri" w:hAnsi="Calibri"/>
                <w:b/>
                <w:color w:val="0B2545"/>
                <w:sz w:val="16"/>
              </w:rPr>
              <w:t>Detectors</w:t>
            </w:r>
          </w:p>
        </w:tc>
        <w:tc>
          <w:tcPr>
            <w:tcW w:type="dxa" w:w="1900"/>
            <w:tcMar>
              <w:top w:w="80" w:type="dxa"/>
              <w:start w:w="120" w:type="dxa"/>
              <w:bottom w:w="80" w:type="dxa"/>
              <w:end w:w="120" w:type="dxa"/>
            </w:tcMar>
            <w:vAlign w:val="top"/>
            <w:shd w:fill="E8EEF5"/>
          </w:tcPr>
          <w:p>
            <w:pPr>
              <w:pStyle w:val="CELLQTableText"/>
            </w:pPr>
            <w:r>
              <w:rPr>
                <w:rFonts w:ascii="Calibri" w:hAnsi="Calibri"/>
                <w:b/>
                <w:color w:val="0B2545"/>
                <w:sz w:val="16"/>
              </w:rPr>
              <w:t>Automatic response</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Agent</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Invalid tool call, unsupported claim, citation mismatch, policy denial, retry loop, context/token growth, cost, latency, test pass rate</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Schema validators, source-span checks, canary tasks, control charts, budget counters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Remove capability; fall back to deterministic workflow; quarantine model/prompt version</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Data/pipeline</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Sequence gap, late/revised record, timestamp skew, duplicate, schema drift, small-file growth, lineage break</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Contract tests, checksum reconciliation, freshness/volume distributions, bitemporal invariants</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Stop dependent jobs; freeze affected snapshot; rebuild and recertify</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Strategy artifact</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Prediction/calibration drift, residual autocorrelation, rolling adjusted utility, cost/fill-model error, abstention, regime novelty</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CUSUM/ADWIN, block-bootstrap bands, PSI/KS with effect size, change points, OOD score</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Observe → cap synthetic action rate → quarantine → retire; never auto-retune</w:t>
            </w:r>
          </w:p>
        </w:tc>
      </w:tr>
      <w:tr>
        <w:tc>
          <w:tcPr>
            <w:tcW w:type="dxa" w:w="1800"/>
            <w:tcMar>
              <w:top w:w="80" w:type="dxa"/>
              <w:start w:w="120" w:type="dxa"/>
              <w:bottom w:w="80" w:type="dxa"/>
              <w:end w:w="120" w:type="dxa"/>
            </w:tcMar>
            <w:vAlign w:val="top"/>
            <w:shd w:fill="F9FAFB"/>
          </w:tcPr>
          <w:p>
            <w:pPr>
              <w:pStyle w:val="CELLQTableText"/>
            </w:pPr>
            <w:r>
              <w:rPr>
                <w:rFonts w:ascii="Calibri" w:hAnsi="Calibri"/>
                <w:b w:val="0"/>
                <w:color w:val="1A2733"/>
                <w:sz w:val="16"/>
              </w:rPr>
              <w:t>Simulated portfolio</w:t>
            </w:r>
          </w:p>
        </w:tc>
        <w:tc>
          <w:tcPr>
            <w:tcW w:type="dxa" w:w="2800"/>
            <w:tcMar>
              <w:top w:w="80" w:type="dxa"/>
              <w:start w:w="120" w:type="dxa"/>
              <w:bottom w:w="80" w:type="dxa"/>
              <w:end w:w="120" w:type="dxa"/>
            </w:tcMar>
            <w:vAlign w:val="top"/>
            <w:shd w:fill="F9FAFB"/>
          </w:tcPr>
          <w:p>
            <w:pPr>
              <w:pStyle w:val="CELLQTableText"/>
            </w:pPr>
            <w:r>
              <w:rPr>
                <w:rFonts w:ascii="Calibri" w:hAnsi="Calibri"/>
                <w:b w:val="0"/>
                <w:color w:val="1A2733"/>
                <w:sz w:val="16"/>
              </w:rPr>
              <w:t>Correlation spike, concentration, common data dependency, policy-buffer proximity, stale strategy, allocator turnover</w:t>
            </w:r>
          </w:p>
        </w:tc>
        <w:tc>
          <w:tcPr>
            <w:tcW w:type="dxa" w:w="2860"/>
            <w:tcMar>
              <w:top w:w="80" w:type="dxa"/>
              <w:start w:w="120" w:type="dxa"/>
              <w:bottom w:w="80" w:type="dxa"/>
              <w:end w:w="120" w:type="dxa"/>
            </w:tcMar>
            <w:vAlign w:val="top"/>
            <w:shd w:fill="F9FAFB"/>
          </w:tcPr>
          <w:p>
            <w:pPr>
              <w:pStyle w:val="CELLQTableText"/>
            </w:pPr>
            <w:r>
              <w:rPr>
                <w:rFonts w:ascii="Calibri" w:hAnsi="Calibri"/>
                <w:b w:val="0"/>
                <w:color w:val="1A2733"/>
                <w:sz w:val="16"/>
              </w:rPr>
              <w:t>Scenario aggregation, dependency graph, factor/correlation stress, policy state machine</w:t>
            </w:r>
          </w:p>
        </w:tc>
        <w:tc>
          <w:tcPr>
            <w:tcW w:type="dxa" w:w="1900"/>
            <w:tcMar>
              <w:top w:w="80" w:type="dxa"/>
              <w:start w:w="120" w:type="dxa"/>
              <w:bottom w:w="80" w:type="dxa"/>
              <w:end w:w="120" w:type="dxa"/>
            </w:tcMar>
            <w:vAlign w:val="top"/>
            <w:shd w:fill="F9FAFB"/>
          </w:tcPr>
          <w:p>
            <w:pPr>
              <w:pStyle w:val="CELLQTableText"/>
            </w:pPr>
            <w:r>
              <w:rPr>
                <w:rFonts w:ascii="Calibri" w:hAnsi="Calibri"/>
                <w:b w:val="0"/>
                <w:color w:val="1A2733"/>
                <w:sz w:val="16"/>
              </w:rPr>
              <w:t>Reduce research budget, isolate container, fall back to simple allocator, pause simulation</w:t>
            </w:r>
          </w:p>
        </w:tc>
      </w:tr>
      <w:tr>
        <w:tc>
          <w:tcPr>
            <w:tcW w:type="dxa" w:w="1800"/>
            <w:tcMar>
              <w:top w:w="80" w:type="dxa"/>
              <w:start w:w="120" w:type="dxa"/>
              <w:bottom w:w="80" w:type="dxa"/>
              <w:end w:w="120" w:type="dxa"/>
            </w:tcMar>
            <w:vAlign w:val="top"/>
          </w:tcPr>
          <w:p>
            <w:pPr>
              <w:pStyle w:val="CELLQTableText"/>
            </w:pPr>
            <w:r>
              <w:rPr>
                <w:rFonts w:ascii="Calibri" w:hAnsi="Calibri"/>
                <w:b w:val="0"/>
                <w:color w:val="1A2733"/>
                <w:sz w:val="16"/>
              </w:rPr>
              <w:t>Platform</w:t>
            </w:r>
          </w:p>
        </w:tc>
        <w:tc>
          <w:tcPr>
            <w:tcW w:type="dxa" w:w="2800"/>
            <w:tcMar>
              <w:top w:w="80" w:type="dxa"/>
              <w:start w:w="120" w:type="dxa"/>
              <w:bottom w:w="80" w:type="dxa"/>
              <w:end w:w="120" w:type="dxa"/>
            </w:tcMar>
            <w:vAlign w:val="top"/>
          </w:tcPr>
          <w:p>
            <w:pPr>
              <w:pStyle w:val="CELLQTableText"/>
            </w:pPr>
            <w:r>
              <w:rPr>
                <w:rFonts w:ascii="Calibri" w:hAnsi="Calibri"/>
                <w:b w:val="0"/>
                <w:color w:val="1A2733"/>
                <w:sz w:val="16"/>
              </w:rPr>
              <w:t>Queue lag, worker failure, object-store throughput, Temporal history size, Kafka partition skew, cost anomaly</w:t>
            </w:r>
          </w:p>
        </w:tc>
        <w:tc>
          <w:tcPr>
            <w:tcW w:type="dxa" w:w="2860"/>
            <w:tcMar>
              <w:top w:w="80" w:type="dxa"/>
              <w:start w:w="120" w:type="dxa"/>
              <w:bottom w:w="80" w:type="dxa"/>
              <w:end w:w="120" w:type="dxa"/>
            </w:tcMar>
            <w:vAlign w:val="top"/>
          </w:tcPr>
          <w:p>
            <w:pPr>
              <w:pStyle w:val="CELLQTableText"/>
            </w:pPr>
            <w:r>
              <w:rPr>
                <w:rFonts w:ascii="Calibri" w:hAnsi="Calibri"/>
                <w:b w:val="0"/>
                <w:color w:val="1A2733"/>
                <w:sz w:val="16"/>
              </w:rPr>
              <w:t>SLO/error budgets, tracing, capacity models, FinOps alerts</w:t>
            </w:r>
          </w:p>
        </w:tc>
        <w:tc>
          <w:tcPr>
            <w:tcW w:type="dxa" w:w="1900"/>
            <w:tcMar>
              <w:top w:w="80" w:type="dxa"/>
              <w:start w:w="120" w:type="dxa"/>
              <w:bottom w:w="80" w:type="dxa"/>
              <w:end w:w="120" w:type="dxa"/>
            </w:tcMar>
            <w:vAlign w:val="top"/>
          </w:tcPr>
          <w:p>
            <w:pPr>
              <w:pStyle w:val="CELLQTableText"/>
            </w:pPr>
            <w:r>
              <w:rPr>
                <w:rFonts w:ascii="Calibri" w:hAnsi="Calibri"/>
                <w:b w:val="0"/>
                <w:color w:val="1A2733"/>
                <w:sz w:val="16"/>
              </w:rPr>
              <w:t>Backpressure, Continue-as-New, repartition future streams, scale within quota, shed optional jobs</w:t>
            </w:r>
          </w:p>
        </w:tc>
      </w:tr>
    </w:tbl>
    <w:p>
      <w:pPr>
        <w:spacing w:before="20" w:after="60" w:line="240" w:lineRule="auto"/>
      </w:pPr>
    </w:p>
    <w:p>
      <w:r>
        <w:rPr>
          <w:rFonts w:ascii="Calibri" w:hAnsi="Calibri"/>
          <w:b w:val="0"/>
          <w:color w:val="1A2733"/>
        </w:rPr>
        <w:t>CUSUM, KS, and PSI do not diagnose economic cause. Large samples can make trivial shifts significant; common PSI cutoffs have weak universal foundations. Thresholds need a false-alarm budget calibrated on stable historical windows and shadow data. Monitor both statistical distance and practical effect. Recovery requires a new evidence version rather than resetting an alarm.</w:t>
      </w:r>
    </w:p>
    <w:p>
      <w:pPr>
        <w:pStyle w:val="Heading2"/>
      </w:pPr>
      <w:r>
        <w:t>7.5 Twelve-week reference build</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3550"/>
        <w:gridCol w:w="3710"/>
      </w:tblGrid>
      <w:tr>
        <w:trPr>
          <w:tblHeader w:val="true"/>
        </w:trPr>
        <w:tc>
          <w:tcPr>
            <w:tcW w:type="dxa" w:w="2100"/>
            <w:tcMar>
              <w:top w:w="80" w:type="dxa"/>
              <w:start w:w="120" w:type="dxa"/>
              <w:bottom w:w="80" w:type="dxa"/>
              <w:end w:w="120" w:type="dxa"/>
            </w:tcMar>
            <w:vAlign w:val="top"/>
            <w:shd w:fill="E8EEF5"/>
          </w:tcPr>
          <w:p>
            <w:pPr>
              <w:pStyle w:val="CELLQTableText"/>
            </w:pPr>
            <w:r>
              <w:rPr>
                <w:rFonts w:ascii="Calibri" w:hAnsi="Calibri"/>
                <w:b/>
                <w:color w:val="0B2545"/>
                <w:sz w:val="16"/>
              </w:rPr>
              <w:t>Week</w:t>
            </w:r>
          </w:p>
        </w:tc>
        <w:tc>
          <w:tcPr>
            <w:tcW w:type="dxa" w:w="3550"/>
            <w:tcMar>
              <w:top w:w="80" w:type="dxa"/>
              <w:start w:w="120" w:type="dxa"/>
              <w:bottom w:w="80" w:type="dxa"/>
              <w:end w:w="120" w:type="dxa"/>
            </w:tcMar>
            <w:vAlign w:val="top"/>
            <w:shd w:fill="E8EEF5"/>
          </w:tcPr>
          <w:p>
            <w:pPr>
              <w:pStyle w:val="CELLQTableText"/>
            </w:pPr>
            <w:r>
              <w:rPr>
                <w:rFonts w:ascii="Calibri" w:hAnsi="Calibri"/>
                <w:b/>
                <w:color w:val="0B2545"/>
                <w:sz w:val="16"/>
              </w:rPr>
              <w:t>Deliverable</w:t>
            </w:r>
          </w:p>
        </w:tc>
        <w:tc>
          <w:tcPr>
            <w:tcW w:type="dxa" w:w="3710"/>
            <w:tcMar>
              <w:top w:w="80" w:type="dxa"/>
              <w:start w:w="120" w:type="dxa"/>
              <w:bottom w:w="80" w:type="dxa"/>
              <w:end w:w="120" w:type="dxa"/>
            </w:tcMar>
            <w:vAlign w:val="top"/>
            <w:shd w:fill="E8EEF5"/>
          </w:tcPr>
          <w:p>
            <w:pPr>
              <w:pStyle w:val="CELLQTableText"/>
            </w:pPr>
            <w:r>
              <w:rPr>
                <w:rFonts w:ascii="Calibri" w:hAnsi="Calibri"/>
                <w:b/>
                <w:color w:val="0B2545"/>
                <w:sz w:val="16"/>
              </w:rPr>
              <w:t>Exit evidence</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1</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CELL-Q Domain Plane contracts: Org-IR roles, capabilities, event schemas, Intent/HypothesisSpec, artifact IDs, simulation-only policy</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Threat model and Organization Compiler test prove no live credential/order capability exists</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2</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Registries and evidence: Dataset, Feature, Experiment, Model, Strategy, Rule, Cell Image; OpenLineage bridge</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One synthetic experiment is reconstructable from immutable IDs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3</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Raw market/reference ingestion and bitemporal Bronze/Silver tables</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Sequence, duplicate, timestamp, schema, and snapshot tests pass on fixtures</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4</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Contract/roll/calendar/cost and macro/COT vintage services; point-in-time query API</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Leakage suite rejects revised, late, and future-known joins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5</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Vectorized screening and event-driven replay adapters; unified Simulation Contract</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Differential fixtures reproduce positions, accounting, and costs</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6</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Validation service: temporal folds, purging/embargo, nested tuning, DSR/PBO/family tests, bootstrap</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A deliberately overfit toy family is rejected and fully charged to its budget</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7</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Typed feature DSL, streaming/batch compiler, baseline models, calibration and ablation reports</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Unit/dimension and causal static analysis catches seeded defects</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8</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Crucible trust boundary, hidden dataset vault, disclosure budget, signed Evidence Verdict</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Generator cannot query holdout rows or detailed hidden metrics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9</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Blackbox budgeted formula/evolution search with semantic deduplication and Pareto archive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Duplicate variants share a trial family; budget exhaustion halts search</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10</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Generic policy DSL and synthetic container assurance tests; conservative ambiguity handling</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State-machine property tests and version-selection tests pass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11</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Future-only paper/shadow observation, drift/de-risk ladder, replay debugger, SRE dashboards</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Injected data/fill/drift incidents produce expected quarantine and evidence</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12</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Reproducible release: signed Cell Image, rollback, disaster recovery, security and FinOps review</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Independent clean-room rerun matches; recovery exercise and cost report pass</w:t>
            </w:r>
          </w:p>
        </w:tc>
      </w:tr>
    </w:tbl>
    <w:p>
      <w:pPr>
        <w:spacing w:before="20" w:after="60" w:line="240" w:lineRule="auto"/>
      </w:pPr>
    </w:p>
    <w:p>
      <w:r>
        <w:rPr>
          <w:rFonts w:ascii="Calibri" w:hAnsi="Calibri"/>
          <w:b w:val="0"/>
          <w:color w:val="1A2733"/>
        </w:rPr>
        <w:t>The schedule is a vertical slice, not a promise of research validity. Twelve weeks can produce a rigorous platform skeleton and seeded-test evidence; it cannot manufacture an adequate forward track record. Defer alternative data, foundation models, RL, and large evolutionary populations until the baseline pipeline and falsification controls are proven.</w:t>
      </w:r>
    </w:p>
    <w:p>
      <w:pPr>
        <w:pStyle w:val="Heading2"/>
      </w:pPr>
      <w:r>
        <w:t>7.6 Horizontal scale and rough capacity</w:t>
      </w:r>
    </w:p>
    <w:p>
      <w:r>
        <w:rPr>
          <w:rFonts w:ascii="Calibri" w:hAnsi="Calibri"/>
          <w:b w:val="0"/>
          <w:color w:val="1A2733"/>
        </w:rPr>
        <w:t>Kafka 4.3.1 orders records only within a partition and limits active consumer concurrency to the partition count; choose a causal key for each stream—venue/channel for raw feed recovery, instrument/date for transform work, and mission/run for telemetry—rather than assuming global order (</w:t>
      </w:r>
      <w:hyperlink r:id="rId65">
        <w:r>
          <w:rPr>
            <w:rFonts w:ascii="Calibri" w:hAnsi="Calibri"/>
            <w:color w:val="2E74B5"/>
            <w:u w:val="single"/>
          </w:rPr>
          <w:t>Kafka documentation</w:t>
        </w:r>
      </w:hyperlink>
      <w:r>
        <w:rPr>
          <w:rFonts w:ascii="Calibri" w:hAnsi="Calibri"/>
          <w:b w:val="0"/>
          <w:color w:val="1A2733"/>
        </w:rPr>
        <w:t>). Iceberg 1.11.0 supports hidden partitioning, snapshot isolation, and partition evolution; partition coarsely by dataset/venue/event date and sort within files by instrument/time to avoid millions of tiny partitions (</w:t>
      </w:r>
      <w:hyperlink r:id="rId66">
        <w:r>
          <w:rPr>
            <w:rFonts w:ascii="Calibri" w:hAnsi="Calibri"/>
            <w:color w:val="2E74B5"/>
            <w:u w:val="single"/>
          </w:rPr>
          <w:t>Iceberg partitioning</w:t>
        </w:r>
      </w:hyperlink>
      <w:r>
        <w:rPr>
          <w:rFonts w:ascii="Calibri" w:hAnsi="Calibri"/>
          <w:b w:val="0"/>
          <w:color w:val="1A2733"/>
        </w:rPr>
        <w:t>).</w:t>
      </w:r>
    </w:p>
    <w:p>
      <w:r>
        <w:rPr>
          <w:rFonts w:ascii="Calibri" w:hAnsi="Calibri"/>
          <w:b w:val="0"/>
          <w:color w:val="1A2733"/>
        </w:rPr>
        <w:t>Dask 2026.8.0 is the default for DataFrame/array ETL and feature batches. Its documented scheduler overhead is roughly hundreds of microseconds to a millisecond per task, so partitions must hold meaningful work; worker memory thresholds spill, pause, and terminate before an uncontrolled host failure (</w:t>
      </w:r>
      <w:hyperlink r:id="rId67">
        <w:r>
          <w:rPr>
            <w:rFonts w:ascii="Calibri" w:hAnsi="Calibri"/>
            <w:color w:val="2E74B5"/>
            <w:u w:val="single"/>
          </w:rPr>
          <w:t>Dask best practices</w:t>
        </w:r>
      </w:hyperlink>
      <w:r>
        <w:rPr>
          <w:rFonts w:ascii="Calibri" w:hAnsi="Calibri"/>
          <w:b w:val="0"/>
          <w:color w:val="1A2733"/>
        </w:rPr>
        <w:t xml:space="preserve">, </w:t>
      </w:r>
      <w:hyperlink r:id="rId68">
        <w:r>
          <w:rPr>
            <w:rFonts w:ascii="Calibri" w:hAnsi="Calibri"/>
            <w:color w:val="2E74B5"/>
            <w:u w:val="single"/>
          </w:rPr>
          <w:t>worker memory</w:t>
        </w:r>
      </w:hyperlink>
      <w:r>
        <w:rPr>
          <w:rFonts w:ascii="Calibri" w:hAnsi="Calibri"/>
          <w:b w:val="0"/>
          <w:color w:val="1A2733"/>
        </w:rPr>
        <w:t>). Ray 2.58.0 is the default for embarrassingly parallel backtests, bootstrap paths, and trial families. Put an immutable shard once into the object store, pass references, return compact metrics/artifact IDs, and bound pending tasks (</w:t>
      </w:r>
      <w:hyperlink r:id="rId69">
        <w:r>
          <w:rPr>
            <w:rFonts w:ascii="Calibri" w:hAnsi="Calibri"/>
            <w:color w:val="2E74B5"/>
            <w:u w:val="single"/>
          </w:rPr>
          <w:t>Ray tasks</w:t>
        </w:r>
      </w:hyperlink>
      <w:r>
        <w:rPr>
          <w:rFonts w:ascii="Calibri" w:hAnsi="Calibri"/>
          <w:b w:val="0"/>
          <w:color w:val="1A2733"/>
        </w:rPr>
        <w:t>). Do not nest the Ray and Dask schedulers inside one job.</w:t>
      </w:r>
    </w:p>
    <w:p>
      <w:r>
        <w:rPr>
          <w:rFonts w:ascii="Calibri" w:hAnsi="Calibri"/>
          <w:b w:val="0"/>
          <w:color w:val="1A2733"/>
        </w:rPr>
        <w:t>Capacity is measured, not guessed. Use:</w:t>
      </w:r>
    </w:p>
    <w:p>
      <w:r>
        <w:rPr>
          <w:rFonts w:ascii="Liberation Mono" w:hAnsi="Liberation Mono"/>
          <w:color w:val="0B2545"/>
          <w:sz w:val="19"/>
          <w:shd w:fill="F2F4F7"/>
        </w:rPr>
        <w:t>core_hours = runs × seconds_per_run × cores_per_run / 3600</w:t>
      </w:r>
    </w:p>
    <w:p>
      <w:r>
        <w:rPr>
          <w:rFonts w:ascii="Liberation Mono" w:hAnsi="Liberation Mono"/>
          <w:color w:val="0B2545"/>
          <w:sz w:val="19"/>
          <w:shd w:fill="F2F4F7"/>
        </w:rPr>
        <w:t>jobs_per_hour ≈ workers × 3600 × target_utilization / p75_or_p95_job_seconds</w:t>
      </w:r>
    </w:p>
    <w:p>
      <w:r>
        <w:rPr>
          <w:rFonts w:ascii="Liberation Mono" w:hAnsi="Liberation Mono"/>
          <w:color w:val="0B2545"/>
          <w:sz w:val="19"/>
          <w:shd w:fill="F2F4F7"/>
        </w:rPr>
        <w:t>storage = records_per_day × encoded_bytes_per_record × retention_days × replication / compression_ratio</w:t>
      </w:r>
    </w:p>
    <w:p>
      <w:r>
        <w:rPr>
          <w:rFonts w:ascii="Calibri" w:hAnsi="Calibri"/>
          <w:b w:val="0"/>
          <w:color w:val="1A2733"/>
        </w:rPr>
        <w:t>For an illustrative, non-benchmark workload, 10,000 one-core runs taking 30 seconds each consume about 83 core-hours. Thirty-two workers at 65% effective utilization finish in roughly four hours after coordination/I/O allowance. A second illustration—32 one-core workers completing 12-minute jobs at 65% utilization—yields about 104 jobs/hour. Real depth replay often becomes memory-bandwidth or storage-I/O bound first. Measure quiet, ordinary, and stressed contract-days, then size each worker for the hot shard and engine state times local concurrency plus 25–40% headroom.</w:t>
      </w:r>
    </w:p>
    <w:p>
      <w:r>
        <w:rPr>
          <w:rFonts w:ascii="Calibri" w:hAnsi="Calibri"/>
          <w:b w:val="0"/>
          <w:color w:val="1A2733"/>
        </w:rPr>
        <w:t xml:space="preserve">Workers are stateless and keyed by </w:t>
      </w:r>
      <w:r>
        <w:rPr>
          <w:rFonts w:ascii="Liberation Mono" w:hAnsi="Liberation Mono"/>
          <w:color w:val="0B2545"/>
          <w:sz w:val="19"/>
          <w:shd w:fill="F2F4F7"/>
        </w:rPr>
        <w:t>dataset_snapshot_id</w:t>
      </w:r>
      <w:r>
        <w:rPr>
          <w:rFonts w:ascii="Calibri" w:hAnsi="Calibri"/>
          <w:b w:val="0"/>
          <w:color w:val="1A2733"/>
        </w:rPr>
        <w:t xml:space="preserve">, </w:t>
      </w:r>
      <w:r>
        <w:rPr>
          <w:rFonts w:ascii="Liberation Mono" w:hAnsi="Liberation Mono"/>
          <w:color w:val="0B2545"/>
          <w:sz w:val="19"/>
          <w:shd w:fill="F2F4F7"/>
        </w:rPr>
        <w:t>code_digest</w:t>
      </w:r>
      <w:r>
        <w:rPr>
          <w:rFonts w:ascii="Calibri" w:hAnsi="Calibri"/>
          <w:b w:val="0"/>
          <w:color w:val="1A2733"/>
        </w:rPr>
        <w:t xml:space="preserve">, </w:t>
      </w:r>
      <w:r>
        <w:rPr>
          <w:rFonts w:ascii="Liberation Mono" w:hAnsi="Liberation Mono"/>
          <w:color w:val="0B2545"/>
          <w:sz w:val="19"/>
          <w:shd w:fill="F2F4F7"/>
        </w:rPr>
        <w:t>config_digest</w:t>
      </w:r>
      <w:r>
        <w:rPr>
          <w:rFonts w:ascii="Calibri" w:hAnsi="Calibri"/>
          <w:b w:val="0"/>
          <w:color w:val="1A2733"/>
        </w:rPr>
        <w:t xml:space="preserve">, </w:t>
      </w:r>
      <w:r>
        <w:rPr>
          <w:rFonts w:ascii="Liberation Mono" w:hAnsi="Liberation Mono"/>
          <w:color w:val="0B2545"/>
          <w:sz w:val="19"/>
          <w:shd w:fill="F2F4F7"/>
        </w:rPr>
        <w:t>engine_digest</w:t>
      </w:r>
      <w:r>
        <w:rPr>
          <w:rFonts w:ascii="Calibri" w:hAnsi="Calibri"/>
          <w:b w:val="0"/>
          <w:color w:val="1A2733"/>
        </w:rPr>
        <w:t xml:space="preserve">, and </w:t>
      </w:r>
      <w:r>
        <w:rPr>
          <w:rFonts w:ascii="Liberation Mono" w:hAnsi="Liberation Mono"/>
          <w:color w:val="0B2545"/>
          <w:sz w:val="19"/>
          <w:shd w:fill="F2F4F7"/>
        </w:rPr>
        <w:t>seed</w:t>
      </w:r>
      <w:r>
        <w:rPr>
          <w:rFonts w:ascii="Calibri" w:hAnsi="Calibri"/>
          <w:b w:val="0"/>
          <w:color w:val="1A2733"/>
        </w:rPr>
        <w:t>; the tuple deterministically names the result. Large artifacts go directly to object storage, never through the workflow history or message broker. FinOps enforces per-Mission CPU/GPU-hour, storage-scan, vendor-query, and LLM-token budgets. GPUs are justified only after a CPU baseline and utilization trace; most validation, tree models, and replay are CPU/I/O workloads.</w:t>
      </w:r>
    </w:p>
    <w:p>
      <w:r>
        <w:rPr>
          <w:rFonts w:ascii="Calibri" w:hAnsi="Calibri"/>
          <w:b/>
          <w:color w:val="1A2733"/>
        </w:rPr>
        <w:t>CELL//OS mapping.</w:t>
      </w:r>
      <w:r>
        <w:rPr>
          <w:rFonts w:ascii="Calibri" w:hAnsi="Calibri"/>
          <w:b w:val="0"/>
          <w:color w:val="1A2733"/>
        </w:rPr>
        <w:t xml:space="preserve"> Temporal backs the WorkGraph; MCP backs capability adapters; a single primary agent SDK implements bounded cognitive Operatives. Kafka/NATS and Iceberg form event and data planes; Ray/Dask implement fan-out; Docker/WASM sandboxes and zero-trust identity enforce capability boundaries. The Foundation layer owns autoscaling, cost quotas, secrets, disaster recovery, and signed builds. Cell Images pin every framework, engine, schema, dataset, and policy version.</w:t>
      </w:r>
    </w:p>
    <w:p>
      <w:r>
        <w:br w:type="page"/>
      </w:r>
    </w:p>
    <w:p>
      <w:pPr>
        <w:pStyle w:val="Heading1"/>
      </w:pPr>
      <w:r>
        <w:t>8. Gaps, warnings, and features to add</w:t>
      </w:r>
    </w:p>
    <w:p>
      <w:pPr>
        <w:pStyle w:val="Heading2"/>
      </w:pPr>
      <w:r>
        <w:t>8.1 Failure modes that matter most</w:t>
      </w:r>
    </w:p>
    <w:p>
      <w:pPr>
        <w:pStyle w:val="ListNumber"/>
        <w:numPr>
          <w:ilvl w:val="0"/>
          <w:numId w:val="9204"/>
        </w:numPr>
      </w:pPr>
      <w:r>
        <w:rPr>
          <w:rFonts w:ascii="Calibri" w:hAnsi="Calibri"/>
          <w:b/>
          <w:color w:val="1A2733"/>
        </w:rPr>
        <w:t>Evolution without a search ledger.</w:t>
      </w:r>
      <w:r>
        <w:rPr>
          <w:rFonts w:ascii="Calibri" w:hAnsi="Calibri"/>
          <w:b w:val="0"/>
          <w:color w:val="1A2733"/>
        </w:rPr>
        <w:t xml:space="preserve"> Thousands of formulas, seeds, retries, and LLM rewrites create a convincing winner by chance. Add semantic trial-family hashing, global adaptive budgets, DSR/PBO/family tests, and sealed future data.</w:t>
      </w:r>
    </w:p>
    <w:p>
      <w:pPr>
        <w:pStyle w:val="ListNumber"/>
        <w:numPr>
          <w:ilvl w:val="0"/>
          <w:numId w:val="9204"/>
        </w:numPr>
      </w:pPr>
      <w:r>
        <w:rPr>
          <w:rFonts w:ascii="Calibri" w:hAnsi="Calibri"/>
          <w:b/>
          <w:color w:val="1A2733"/>
        </w:rPr>
        <w:t>A lakehouse mistaken for point-in-time correctness.</w:t>
      </w:r>
      <w:r>
        <w:rPr>
          <w:rFonts w:ascii="Calibri" w:hAnsi="Calibri"/>
          <w:b w:val="0"/>
          <w:color w:val="1A2733"/>
        </w:rPr>
        <w:t xml:space="preserve"> Snapshot time travel reproduces what the table contained, not when an external fact became knowable. Add valid/knowledge/vintage fields, Information Set Manifests, and adversarial temporal joins.</w:t>
      </w:r>
    </w:p>
    <w:p>
      <w:pPr>
        <w:pStyle w:val="ListNumber"/>
        <w:numPr>
          <w:ilvl w:val="0"/>
          <w:numId w:val="9204"/>
        </w:numPr>
      </w:pPr>
      <w:r>
        <w:rPr>
          <w:rFonts w:ascii="Calibri" w:hAnsi="Calibri"/>
          <w:b/>
          <w:color w:val="1A2733"/>
        </w:rPr>
        <w:t>Continuous contracts treated as prices that existed.</w:t>
      </w:r>
      <w:r>
        <w:rPr>
          <w:rFonts w:ascii="Calibri" w:hAnsi="Calibri"/>
          <w:b w:val="0"/>
          <w:color w:val="1A2733"/>
        </w:rPr>
        <w:t xml:space="preserve"> Back-adjusted values can change absolute history; roll rules can use future volume. Keep individual contracts canonical and rolls versioned.</w:t>
      </w:r>
    </w:p>
    <w:p>
      <w:pPr>
        <w:pStyle w:val="ListNumber"/>
        <w:numPr>
          <w:ilvl w:val="0"/>
          <w:numId w:val="9204"/>
        </w:numPr>
      </w:pPr>
      <w:r>
        <w:rPr>
          <w:rFonts w:ascii="Calibri" w:hAnsi="Calibri"/>
          <w:b/>
          <w:color w:val="1A2733"/>
        </w:rPr>
        <w:t>Optimistic fills disguised as model performance.</w:t>
      </w:r>
      <w:r>
        <w:rPr>
          <w:rFonts w:ascii="Calibri" w:hAnsi="Calibri"/>
          <w:b w:val="0"/>
          <w:color w:val="1A2733"/>
        </w:rPr>
        <w:t xml:space="preserve"> Touched-price fills, zero latency, immutable books, and ignored partial fills inflate results. Add depth-aware challengers, calibrated uncertainty, conservative costs, and differential engine tests.</w:t>
      </w:r>
    </w:p>
    <w:p>
      <w:pPr>
        <w:pStyle w:val="ListNumber"/>
        <w:numPr>
          <w:ilvl w:val="0"/>
          <w:numId w:val="9204"/>
        </w:numPr>
      </w:pPr>
      <w:r>
        <w:rPr>
          <w:rFonts w:ascii="Calibri" w:hAnsi="Calibri"/>
          <w:b/>
          <w:color w:val="1A2733"/>
        </w:rPr>
        <w:t>Model complexity before baseline discipline.</w:t>
      </w:r>
      <w:r>
        <w:rPr>
          <w:rFonts w:ascii="Calibri" w:hAnsi="Calibri"/>
          <w:b w:val="0"/>
          <w:color w:val="1A2733"/>
        </w:rPr>
        <w:t xml:space="preserve"> Transformers, foundation models, RL, and representation learning can consume compute while a linear/tree baseline or data fix dominates. Require baseline deltas, ablations, and Pareto penalties for complexity and cost.</w:t>
      </w:r>
    </w:p>
    <w:p>
      <w:pPr>
        <w:pStyle w:val="ListNumber"/>
        <w:numPr>
          <w:ilvl w:val="0"/>
          <w:numId w:val="9204"/>
        </w:numPr>
      </w:pPr>
      <w:r>
        <w:rPr>
          <w:rFonts w:ascii="Calibri" w:hAnsi="Calibri"/>
          <w:b/>
          <w:color w:val="1A2733"/>
        </w:rPr>
        <w:t>Allocator overfit.</w:t>
      </w:r>
      <w:r>
        <w:rPr>
          <w:rFonts w:ascii="Calibri" w:hAnsi="Calibri"/>
          <w:b w:val="0"/>
          <w:color w:val="1A2733"/>
        </w:rPr>
        <w:t xml:space="preserve"> Dynamic weights see in-sample strategy returns or benefit from strategy selection. Feed only outer-fold streams, nest the allocator, model turnover, stress correlation spikes, and require a 1/N baseline.</w:t>
      </w:r>
    </w:p>
    <w:p>
      <w:pPr>
        <w:pStyle w:val="ListNumber"/>
        <w:numPr>
          <w:ilvl w:val="0"/>
          <w:numId w:val="9204"/>
        </w:numPr>
      </w:pPr>
      <w:r>
        <w:rPr>
          <w:rFonts w:ascii="Calibri" w:hAnsi="Calibri"/>
          <w:b/>
          <w:color w:val="1A2733"/>
        </w:rPr>
        <w:t>LLM authority creep.</w:t>
      </w:r>
      <w:r>
        <w:rPr>
          <w:rFonts w:ascii="Calibri" w:hAnsi="Calibri"/>
          <w:b w:val="0"/>
          <w:color w:val="1A2733"/>
        </w:rPr>
        <w:t xml:space="preserve"> A research assistant gains tool, policy, or simulation-state authority because it is convenient. Add compile-time capability checks, network-denied sandboxes, typed commands, and deterministic vetoes.</w:t>
      </w:r>
    </w:p>
    <w:p>
      <w:pPr>
        <w:pStyle w:val="ListNumber"/>
        <w:numPr>
          <w:ilvl w:val="0"/>
          <w:numId w:val="9204"/>
        </w:numPr>
      </w:pPr>
      <w:r>
        <w:rPr>
          <w:rFonts w:ascii="Calibri" w:hAnsi="Calibri"/>
          <w:b/>
          <w:color w:val="1A2733"/>
        </w:rPr>
        <w:t>Research/evaluation collusion.</w:t>
      </w:r>
      <w:r>
        <w:rPr>
          <w:rFonts w:ascii="Calibri" w:hAnsi="Calibri"/>
          <w:b w:val="0"/>
          <w:color w:val="1A2733"/>
        </w:rPr>
        <w:t xml:space="preserve"> Fine-grained holdout feedback becomes an optimization API. Separate identities and stores, coarsen verdicts, budget disclosures, and accumulate a fresh forward set.</w:t>
      </w:r>
    </w:p>
    <w:p>
      <w:pPr>
        <w:pStyle w:val="ListNumber"/>
        <w:numPr>
          <w:ilvl w:val="0"/>
          <w:numId w:val="9204"/>
        </w:numPr>
      </w:pPr>
      <w:r>
        <w:rPr>
          <w:rFonts w:ascii="Calibri" w:hAnsi="Calibri"/>
          <w:b/>
          <w:color w:val="1A2733"/>
        </w:rPr>
        <w:t>Correlated containers mistaken for diversification.</w:t>
      </w:r>
      <w:r>
        <w:rPr>
          <w:rFonts w:ascii="Calibri" w:hAnsi="Calibri"/>
          <w:b w:val="0"/>
          <w:color w:val="1A2733"/>
        </w:rPr>
        <w:t xml:space="preserve"> Multiple simulated accounts or strategies share data, model, clock, and failure dependencies. Add a dependency graph and common-mode outage/correlation stress; count shared causes, not labels.</w:t>
      </w:r>
    </w:p>
    <w:p>
      <w:pPr>
        <w:pStyle w:val="ListNumber"/>
        <w:numPr>
          <w:ilvl w:val="0"/>
          <w:numId w:val="9204"/>
        </w:numPr>
      </w:pPr>
      <w:r>
        <w:rPr>
          <w:rFonts w:ascii="Calibri" w:hAnsi="Calibri"/>
          <w:b/>
          <w:color w:val="1A2733"/>
        </w:rPr>
        <w:t>Commercial rules embedded as prose.</w:t>
      </w:r>
      <w:r>
        <w:rPr>
          <w:rFonts w:ascii="Calibri" w:hAnsi="Calibri"/>
          <w:b w:val="0"/>
          <w:color w:val="1A2733"/>
        </w:rPr>
        <w:t xml:space="preserve"> A page changes and an agent relies on stale memory. Add dated snapshots, a bitemporal policy DSL, conservative ambiguity, and automatic invalidation—without enabling live participation.</w:t>
      </w:r>
    </w:p>
    <w:p>
      <w:pPr>
        <w:pStyle w:val="ListNumber"/>
        <w:numPr>
          <w:ilvl w:val="0"/>
          <w:numId w:val="9204"/>
        </w:numPr>
      </w:pPr>
      <w:r>
        <w:rPr>
          <w:rFonts w:ascii="Calibri" w:hAnsi="Calibri"/>
          <w:b/>
          <w:color w:val="1A2733"/>
        </w:rPr>
        <w:t>Agent framework churn contaminates reproducibility.</w:t>
      </w:r>
      <w:r>
        <w:rPr>
          <w:rFonts w:ascii="Calibri" w:hAnsi="Calibri"/>
          <w:b w:val="0"/>
          <w:color w:val="1A2733"/>
        </w:rPr>
        <w:t xml:space="preserve"> A minor SDK or bundled-CLI change alters tool routing. Pin artifacts, archive eval traces, run canary missions, and keep native CELL contracts stable.</w:t>
      </w:r>
    </w:p>
    <w:p>
      <w:pPr>
        <w:pStyle w:val="ListNumber"/>
        <w:numPr>
          <w:ilvl w:val="0"/>
          <w:numId w:val="9204"/>
        </w:numPr>
      </w:pPr>
      <w:r>
        <w:rPr>
          <w:rFonts w:ascii="Calibri" w:hAnsi="Calibri"/>
          <w:b/>
          <w:color w:val="1A2733"/>
        </w:rPr>
        <w:t>Capacity without backpressure or cost evidence.</w:t>
      </w:r>
      <w:r>
        <w:rPr>
          <w:rFonts w:ascii="Calibri" w:hAnsi="Calibri"/>
          <w:b w:val="0"/>
          <w:color w:val="1A2733"/>
        </w:rPr>
        <w:t xml:space="preserve"> Millions of tiny tasks, Kafka hot partitions, Iceberg small files, and uncontrolled LLM loops produce cost rather than insight. Add admission control, quotas, compaction, bounded queues, and per-hypothesis cost attribution.</w:t>
      </w:r>
    </w:p>
    <w:p>
      <w:pPr>
        <w:pStyle w:val="Heading2"/>
      </w:pPr>
      <w:r>
        <w:t>8.2 Specific additions to CELL//OS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3550"/>
        <w:gridCol w:w="3710"/>
      </w:tblGrid>
      <w:tr>
        <w:trPr>
          <w:tblHeader w:val="true"/>
        </w:trPr>
        <w:tc>
          <w:tcPr>
            <w:tcW w:type="dxa" w:w="2100"/>
            <w:tcMar>
              <w:top w:w="80" w:type="dxa"/>
              <w:start w:w="120" w:type="dxa"/>
              <w:bottom w:w="80" w:type="dxa"/>
              <w:end w:w="120" w:type="dxa"/>
            </w:tcMar>
            <w:vAlign w:val="top"/>
            <w:shd w:fill="E8EEF5"/>
          </w:tcPr>
          <w:p>
            <w:pPr>
              <w:pStyle w:val="CELLQTableText"/>
            </w:pPr>
            <w:r>
              <w:rPr>
                <w:rFonts w:ascii="Calibri" w:hAnsi="Calibri"/>
                <w:b/>
                <w:color w:val="0B2545"/>
                <w:sz w:val="16"/>
              </w:rPr>
              <w:t>Addition</w:t>
            </w:r>
          </w:p>
        </w:tc>
        <w:tc>
          <w:tcPr>
            <w:tcW w:type="dxa" w:w="3550"/>
            <w:tcMar>
              <w:top w:w="80" w:type="dxa"/>
              <w:start w:w="120" w:type="dxa"/>
              <w:bottom w:w="80" w:type="dxa"/>
              <w:end w:w="120" w:type="dxa"/>
            </w:tcMar>
            <w:vAlign w:val="top"/>
            <w:shd w:fill="E8EEF5"/>
          </w:tcPr>
          <w:p>
            <w:pPr>
              <w:pStyle w:val="CELLQTableText"/>
            </w:pPr>
            <w:r>
              <w:rPr>
                <w:rFonts w:ascii="Calibri" w:hAnsi="Calibri"/>
                <w:b/>
                <w:color w:val="0B2545"/>
                <w:sz w:val="16"/>
              </w:rPr>
              <w:t>Why it is missing/important</w:t>
            </w:r>
          </w:p>
        </w:tc>
        <w:tc>
          <w:tcPr>
            <w:tcW w:type="dxa" w:w="3710"/>
            <w:tcMar>
              <w:top w:w="80" w:type="dxa"/>
              <w:start w:w="120" w:type="dxa"/>
              <w:bottom w:w="80" w:type="dxa"/>
              <w:end w:w="120" w:type="dxa"/>
            </w:tcMar>
            <w:vAlign w:val="top"/>
            <w:shd w:fill="E8EEF5"/>
          </w:tcPr>
          <w:p>
            <w:pPr>
              <w:pStyle w:val="CELLQTableText"/>
            </w:pPr>
            <w:r>
              <w:rPr>
                <w:rFonts w:ascii="Calibri" w:hAnsi="Calibri"/>
                <w:b/>
                <w:color w:val="0B2545"/>
                <w:sz w:val="16"/>
              </w:rPr>
              <w:t>Minimal implementation</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Information Set Compiler</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Makes temporal availability an enforceable property</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 xml:space="preserve">Compile every feature/model request into admissible snapshot/vintage predicates; reject </w:t>
            </w:r>
            <w:r>
              <w:rPr>
                <w:rFonts w:ascii="Liberation Mono" w:hAnsi="Liberation Mono"/>
                <w:color w:val="0B2545"/>
                <w:sz w:val="15"/>
                <w:shd w:fill="F2F4F7"/>
              </w:rPr>
              <w:t>latest</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Global Trial Ledger</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Prevents budget resets across agents and cosmetic variants</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Semantic hashes, ancestry graph, effective-trial estimator, disclosure counter</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Research Firewall Gateway</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Prevents adaptive holdout leakage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Separate trust domain, one-way requests, coarse signed verdicts, fresh-window rotation</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Simulation Truth Harness</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Detects engine-specific artifacts</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Shared fixtures, property/metamorphic tests, differential replay across two engines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Policy DSL and Ambiguity Register</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Replaces fragile prose with auditable state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Bitemporal source hashes, pure state machine, dual review, conservative branch</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Dependency and Common-Mode Graph</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Exposes hidden correlation across artifacts</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Link strategy to data, features, model, engine, provider, clock, and policy versions</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Evidence Fusion with Abstention</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Stops agents from filling evidence gaps with confidence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 xml:space="preserve">Claim/source matrix, confidence/recency, contradiction record, mandatory </w:t>
            </w:r>
            <w:r>
              <w:rPr>
                <w:rFonts w:ascii="Liberation Mono" w:hAnsi="Liberation Mono"/>
                <w:color w:val="0B2545"/>
                <w:sz w:val="15"/>
                <w:shd w:fill="F2F4F7"/>
              </w:rPr>
              <w:t>unknown</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Promotion/Revoke Controller</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Makes certification reversible and explicit</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Signed Cell Images, gate evidence, monitor plan, kill/quarantine state, rollback</w:t>
            </w:r>
          </w:p>
        </w:tc>
      </w:tr>
      <w:tr>
        <w:tc>
          <w:tcPr>
            <w:tcW w:type="dxa" w:w="2100"/>
            <w:tcMar>
              <w:top w:w="80" w:type="dxa"/>
              <w:start w:w="120" w:type="dxa"/>
              <w:bottom w:w="80" w:type="dxa"/>
              <w:end w:w="120" w:type="dxa"/>
            </w:tcMar>
            <w:vAlign w:val="top"/>
          </w:tcPr>
          <w:p>
            <w:pPr>
              <w:pStyle w:val="CELLQTableText"/>
            </w:pPr>
            <w:r>
              <w:rPr>
                <w:rFonts w:ascii="Calibri" w:hAnsi="Calibri"/>
                <w:b w:val="0"/>
                <w:color w:val="1A2733"/>
                <w:sz w:val="16"/>
              </w:rPr>
              <w:t>Cost-of-Evidence Accounting</w:t>
            </w:r>
          </w:p>
        </w:tc>
        <w:tc>
          <w:tcPr>
            <w:tcW w:type="dxa" w:w="3550"/>
            <w:tcMar>
              <w:top w:w="80" w:type="dxa"/>
              <w:start w:w="120" w:type="dxa"/>
              <w:bottom w:w="80" w:type="dxa"/>
              <w:end w:w="120" w:type="dxa"/>
            </w:tcMar>
            <w:vAlign w:val="top"/>
          </w:tcPr>
          <w:p>
            <w:pPr>
              <w:pStyle w:val="CELLQTableText"/>
            </w:pPr>
            <w:r>
              <w:rPr>
                <w:rFonts w:ascii="Calibri" w:hAnsi="Calibri"/>
                <w:b w:val="0"/>
                <w:color w:val="1A2733"/>
                <w:sz w:val="16"/>
              </w:rPr>
              <w:t>Prevents compute scale from becoming an objective</w:t>
            </w:r>
          </w:p>
        </w:tc>
        <w:tc>
          <w:tcPr>
            <w:tcW w:type="dxa" w:w="3710"/>
            <w:tcMar>
              <w:top w:w="80" w:type="dxa"/>
              <w:start w:w="120" w:type="dxa"/>
              <w:bottom w:w="80" w:type="dxa"/>
              <w:end w:w="120" w:type="dxa"/>
            </w:tcMar>
            <w:vAlign w:val="top"/>
          </w:tcPr>
          <w:p>
            <w:pPr>
              <w:pStyle w:val="CELLQTableText"/>
            </w:pPr>
            <w:r>
              <w:rPr>
                <w:rFonts w:ascii="Calibri" w:hAnsi="Calibri"/>
                <w:b w:val="0"/>
                <w:color w:val="1A2733"/>
                <w:sz w:val="16"/>
              </w:rPr>
              <w:t>CPU/GPU/storage/vendor/LLM cost per claim and per accepted artifact</w:t>
            </w:r>
          </w:p>
        </w:tc>
      </w:tr>
      <w:tr>
        <w:tc>
          <w:tcPr>
            <w:tcW w:type="dxa" w:w="2100"/>
            <w:tcMar>
              <w:top w:w="80" w:type="dxa"/>
              <w:start w:w="120" w:type="dxa"/>
              <w:bottom w:w="80" w:type="dxa"/>
              <w:end w:w="120" w:type="dxa"/>
            </w:tcMar>
            <w:vAlign w:val="top"/>
            <w:shd w:fill="F9FAFB"/>
          </w:tcPr>
          <w:p>
            <w:pPr>
              <w:pStyle w:val="CELLQTableText"/>
            </w:pPr>
            <w:r>
              <w:rPr>
                <w:rFonts w:ascii="Calibri" w:hAnsi="Calibri"/>
                <w:b w:val="0"/>
                <w:color w:val="1A2733"/>
                <w:sz w:val="16"/>
              </w:rPr>
              <w:t>Teen-safe capability boundary</w:t>
            </w:r>
          </w:p>
        </w:tc>
        <w:tc>
          <w:tcPr>
            <w:tcW w:type="dxa" w:w="3550"/>
            <w:tcMar>
              <w:top w:w="80" w:type="dxa"/>
              <w:start w:w="120" w:type="dxa"/>
              <w:bottom w:w="80" w:type="dxa"/>
              <w:end w:w="120" w:type="dxa"/>
            </w:tcMar>
            <w:vAlign w:val="top"/>
            <w:shd w:fill="F9FAFB"/>
          </w:tcPr>
          <w:p>
            <w:pPr>
              <w:pStyle w:val="CELLQTableText"/>
            </w:pPr>
            <w:r>
              <w:rPr>
                <w:rFonts w:ascii="Calibri" w:hAnsi="Calibri"/>
                <w:b w:val="0"/>
                <w:color w:val="1A2733"/>
                <w:sz w:val="16"/>
              </w:rPr>
              <w:t>Keeps research separate from age-restricted financial services</w:t>
            </w:r>
          </w:p>
        </w:tc>
        <w:tc>
          <w:tcPr>
            <w:tcW w:type="dxa" w:w="3710"/>
            <w:tcMar>
              <w:top w:w="80" w:type="dxa"/>
              <w:start w:w="120" w:type="dxa"/>
              <w:bottom w:w="80" w:type="dxa"/>
              <w:end w:w="120" w:type="dxa"/>
            </w:tcMar>
            <w:vAlign w:val="top"/>
            <w:shd w:fill="F9FAFB"/>
          </w:tcPr>
          <w:p>
            <w:pPr>
              <w:pStyle w:val="CELLQTableText"/>
            </w:pPr>
            <w:r>
              <w:rPr>
                <w:rFonts w:ascii="Calibri" w:hAnsi="Calibri"/>
                <w:b w:val="0"/>
                <w:color w:val="1A2733"/>
                <w:sz w:val="16"/>
              </w:rPr>
              <w:t>Organization Compiler rule excluding live credentials, routing, enrollment, payout, and real-money allocation</w:t>
            </w:r>
          </w:p>
        </w:tc>
      </w:tr>
    </w:tbl>
    <w:p>
      <w:pPr>
        <w:spacing w:before="20" w:after="60" w:line="240" w:lineRule="auto"/>
      </w:pPr>
    </w:p>
    <w:p>
      <w:pPr>
        <w:pStyle w:val="Heading2"/>
      </w:pPr>
      <w:r>
        <w:t>8.3 Evidence verdict</w:t>
      </w:r>
    </w:p>
    <w:p>
      <w:r>
        <w:rPr>
          <w:rFonts w:ascii="Calibri" w:hAnsi="Calibri"/>
          <w:b/>
          <w:color w:val="1A2733"/>
        </w:rPr>
        <w:t>Established:</w:t>
      </w:r>
      <w:r>
        <w:rPr>
          <w:rFonts w:ascii="Calibri" w:hAnsi="Calibri"/>
          <w:b w:val="0"/>
          <w:color w:val="1A2733"/>
        </w:rPr>
        <w:t xml:space="preserve"> point-in-time data engineering; immutable lineage; contract-level canonical data; event-driven replay with explicit limitations; time-respecting nested validation; multiple-testing correction; dependence-aware resampling; simple baselines; deterministic policy/risk state machines; durable workflows; least-privilege tools; human sign-off at consequential boundaries.</w:t>
      </w:r>
    </w:p>
    <w:p>
      <w:r>
        <w:rPr>
          <w:rFonts w:ascii="Calibri" w:hAnsi="Calibri"/>
          <w:b/>
          <w:color w:val="1A2733"/>
        </w:rPr>
        <w:t>Promising but unproven:</w:t>
      </w:r>
      <w:r>
        <w:rPr>
          <w:rFonts w:ascii="Calibri" w:hAnsi="Calibri"/>
          <w:b w:val="0"/>
          <w:color w:val="1A2733"/>
        </w:rPr>
        <w:t xml:space="preserve"> time-series foundation models as zero/few-shot baselines; self-supervised representations; LLM-proposed hypotheses; constrained RL for synthetic control; quality-diversity search; regime-gated mixtures; online bandits for simulated allocation; multi-agent parallel evidence gathering.</w:t>
      </w:r>
    </w:p>
    <w:p>
      <w:r>
        <w:rPr>
          <w:rFonts w:ascii="Calibri" w:hAnsi="Calibri"/>
          <w:b/>
          <w:color w:val="1A2733"/>
        </w:rPr>
        <w:t>Hype until independently demonstrated:</w:t>
      </w:r>
      <w:r>
        <w:rPr>
          <w:rFonts w:ascii="Calibri" w:hAnsi="Calibri"/>
          <w:b w:val="0"/>
          <w:color w:val="1A2733"/>
        </w:rPr>
        <w:t xml:space="preserve"> autonomous LLM traders; debate-as-proof; unrestricted evolutionary alpha factories; universal backtest thresholds; claims that a forecasting benchmark implies net tradable alpha; vendor latency/uptime claims without method or SLA; and any platform that equates more simulated accounts with diversified risk.</w:t>
      </w:r>
    </w:p>
    <w:p>
      <w:r>
        <w:rPr>
          <w:rFonts w:ascii="Calibri" w:hAnsi="Calibri"/>
          <w:b w:val="0"/>
          <w:color w:val="1A2733"/>
        </w:rPr>
        <w:t>The one-line risk statement is simple: futures and evaluation programs can produce rapid losses, and no backtest, simulation, agent, or certification predicts future outcomes.</w:t>
      </w:r>
    </w:p>
    <w:p>
      <w:r>
        <w:rPr>
          <w:rFonts w:ascii="Calibri" w:hAnsi="Calibri"/>
          <w:b/>
          <w:color w:val="1A2733"/>
        </w:rPr>
        <w:t>CELL//OS mapping.</w:t>
      </w:r>
      <w:r>
        <w:rPr>
          <w:rFonts w:ascii="Calibri" w:hAnsi="Calibri"/>
          <w:b w:val="0"/>
          <w:color w:val="1A2733"/>
        </w:rPr>
        <w:t xml:space="preserve"> These additions become Domain Plane contracts enforced by the Organization Compiler and Policy Engine. Crucible owns truth tests and promotion; Blackbox operates only inside the Trial Ledger; the Knowledge Broker manages evidence recency and contradiction; SRE/FinOps owns capacity and cost; the Human Gate controls any future change of scope.</w:t>
      </w:r>
    </w:p>
    <w:p>
      <w:pPr>
        <w:pStyle w:val="Heading1"/>
      </w:pPr>
      <w:r>
        <w:t>Research method and source note</w:t>
      </w:r>
    </w:p>
    <w:p>
      <w:r>
        <w:rPr>
          <w:rFonts w:ascii="Calibri" w:hAnsi="Calibri"/>
          <w:b w:val="0"/>
          <w:color w:val="1A2733"/>
        </w:rPr>
        <w:t>The report prioritizes exchange and regulator pages, vendor/API documentation, peer-reviewed or original research, and framework documentation. Sources were compared for publication or update date, scope, and whether they establish a mechanism, a benchmark, or actual financial performance. No independently audited evidence was found that TFT, PatchTST, Chronos, TimesFM, RL, evolutionary agents, or LLM agents produce durable net live performance in CME/ICE futures. No peer-reviewed standard was found for evaluation-firm survival simulation, and no universal numeric Sharpe, DSR, PBO, PSI, CUSUM, or minimum-history threshold is defensible across horizons and dependence structures.</w:t>
      </w:r>
    </w:p>
    <w:p>
      <w:r>
        <w:rPr>
          <w:rFonts w:ascii="Calibri" w:hAnsi="Calibri"/>
          <w:b w:val="0"/>
          <w:color w:val="1A2733"/>
        </w:rPr>
        <w:t>The report checked sources through 4 September 2026. Undated documentation is cited as accessed on that date. Software versions are explicit where an official release record was available; continuously released or unversioned services are labeled accordingly. Commercial rule details were reviewed only to derive governance requirements and are intentionally not reproduced. This report is educational and engineering research, not financial, legal, or account-access advice.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600"/>
      <w:gridCol w:w="2760"/>
    </w:tblGrid>
    <w:tr>
      <w:tc>
        <w:tcPr>
          <w:tcW w:type="dxa" w:w="6600"/>
          <w:tcMar>
            <w:top w:w="80" w:type="dxa"/>
            <w:start w:w="120" w:type="dxa"/>
            <w:bottom w:w="80" w:type="dxa"/>
            <w:end w:w="120" w:type="dxa"/>
          </w:tcMar>
        </w:tcPr>
        <w:p>
          <w:pPr>
            <w:spacing w:before="0" w:after="0"/>
          </w:pPr>
          <w:r>
            <w:rPr>
              <w:rFonts w:ascii="Calibri" w:hAnsi="Calibri"/>
              <w:b/>
              <w:color w:val="5D6874"/>
              <w:sz w:val="15"/>
            </w:rPr>
            <w:t>SIMULATION-ONLY RESEARCH · 4 SEP 2026</w:t>
          </w:r>
        </w:p>
      </w:tc>
      <w:tc>
        <w:tcPr>
          <w:tcW w:type="dxa" w:w="2760"/>
          <w:tcMar>
            <w:top w:w="80" w:type="dxa"/>
            <w:start w:w="120" w:type="dxa"/>
            <w:bottom w:w="80" w:type="dxa"/>
            <w:end w:w="120" w:type="dxa"/>
          </w:tcMar>
        </w:tcPr>
        <w:p>
          <w:pPr>
            <w:spacing w:before="0" w:after="0"/>
            <w:jc w:val="right"/>
          </w:pPr>
          <w:r>
            <w:rPr>
              <w:rFonts w:ascii="Calibri" w:hAnsi="Calibri"/>
              <w:color w:val="5D6874"/>
              <w:sz w:val="15"/>
            </w:rPr>
            <w:t xml:space="preserve">PAGE </w:t>
          </w:r>
          <w:r>
            <w:fldChar w:fldCharType="begin"/>
            <w:instrText xml:space="preserve">PAGE</w:instrText>
            <w:fldChar w:fldCharType="separate"/>
            <w:t>1</w:t>
            <w:fldChar w:fldCharType="end"/>
          </w:r>
          <w:r>
            <w:rPr>
              <w:rFonts w:ascii="Calibri" w:hAnsi="Calibri"/>
              <w:color w:val="5D6874"/>
              <w:sz w:val="15"/>
            </w:rPr>
            <w:t xml:space="preserve"> OF </w:t>
          </w:r>
          <w: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5" w:color="C9D2DC"/>
      </w:pBdr>
    </w:pPr>
    <w:r>
      <w:rPr>
        <w:rFonts w:ascii="Calibri" w:hAnsi="Calibri"/>
        <w:b/>
        <w:color w:val="5D6874"/>
        <w:sz w:val="16"/>
      </w:rPr>
      <w:t>CELL-Q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0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9101">
    <w:abstractNumId w:val="9101"/>
  </w:num>
  <w:abstractNum w:abstractNumId="9102">
    <w:multiLevelType w:val="singleLevel"/>
    <w:lvl w:ilvl="0">
      <w:start w:val="1"/>
      <w:numFmt w:val="decimal"/>
      <w:lvlText w:val="%1."/>
      <w:suff w:val="tab"/>
      <w:pPr>
        <w:tabs>
          <w:tab w:val="num" w:pos="540"/>
        </w:tabs>
        <w:ind w:left="540" w:hanging="270"/>
        <w:spacing w:after="80" w:line="300" w:lineRule="auto"/>
      </w:pPr>
    </w:lvl>
  </w:abstractNum>
  <w:num w:numId="9102">
    <w:abstractNumId w:val="9102"/>
  </w:num>
  <w:num w:numId="9200">
    <w:abstractNumId w:val="9102"/>
    <w:lvlOverride w:ilvl="0">
      <w:startOverride w:val="1"/>
    </w:lvlOverride>
  </w:num>
  <w:num w:numId="9201">
    <w:abstractNumId w:val="9102"/>
    <w:lvlOverride w:ilvl="0">
      <w:startOverride w:val="1"/>
    </w:lvlOverride>
  </w:num>
  <w:num w:numId="9202">
    <w:abstractNumId w:val="9102"/>
    <w:lvlOverride w:ilvl="0">
      <w:startOverride w:val="1"/>
    </w:lvlOverride>
  </w:num>
  <w:num w:numId="9203">
    <w:abstractNumId w:val="9102"/>
    <w:lvlOverride w:ilvl="0">
      <w:startOverride w:val="1"/>
    </w:lvlOverride>
  </w:num>
  <w:num w:numId="9204">
    <w:abstractNumId w:val="9102"/>
    <w:lvlOverride w:ilvl="0">
      <w:startOverride w:val="1"/>
    </w:lvlOverride>
  </w:num>
  <w:num w:numId="9205">
    <w:abstractNumId w:val="9102"/>
    <w:lvlOverride w:ilvl="0">
      <w:startOverride w:val="1"/>
    </w:lvlOverride>
  </w:num>
  <w:num w:numId="9206">
    <w:abstractNumId w:val="9102"/>
    <w:lvlOverride w:ilvl="0">
      <w:startOverride w:val="1"/>
    </w:lvlOverride>
  </w:num>
  <w:num w:numId="9207">
    <w:abstractNumId w:val="9102"/>
    <w:lvlOverride w:ilvl="0">
      <w:startOverride w:val="1"/>
    </w:lvlOverride>
  </w:num>
  <w:num w:numId="9208">
    <w:abstractNumId w:val="9102"/>
    <w:lvlOverride w:ilvl="0">
      <w:startOverride w:val="1"/>
    </w:lvlOverride>
  </w:num>
  <w:num w:numId="9209">
    <w:abstractNumId w:val="9102"/>
    <w:lvlOverride w:ilvl="0">
      <w:startOverride w:val="1"/>
    </w:lvlOverride>
  </w:num>
  <w:num w:numId="9210">
    <w:abstractNumId w:val="9102"/>
    <w:lvlOverride w:ilvl="0">
      <w:startOverride w:val="1"/>
    </w:lvlOverride>
  </w:num>
  <w:num w:numId="9211">
    <w:abstractNumId w:val="9102"/>
    <w:lvlOverride w:ilvl="0">
      <w:startOverride w:val="1"/>
    </w:lvlOverride>
  </w:num>
  <w:num w:numId="9212">
    <w:abstractNumId w:val="9102"/>
    <w:lvlOverride w:ilvl="0">
      <w:startOverride w:val="1"/>
    </w:lvlOverride>
  </w:num>
  <w:num w:numId="9213">
    <w:abstractNumId w:val="9102"/>
    <w:lvlOverride w:ilvl="0">
      <w:startOverride w:val="1"/>
    </w:lvlOverride>
  </w:num>
  <w:num w:numId="9214">
    <w:abstractNumId w:val="9102"/>
    <w:lvlOverride w:ilvl="0">
      <w:startOverride w:val="1"/>
    </w:lvlOverride>
  </w:num>
  <w:num w:numId="9215">
    <w:abstractNumId w:val="9102"/>
    <w:lvlOverride w:ilvl="0">
      <w:startOverride w:val="1"/>
    </w:lvlOverride>
  </w:num>
  <w:num w:numId="9216">
    <w:abstractNumId w:val="9102"/>
    <w:lvlOverride w:ilvl="0">
      <w:startOverride w:val="1"/>
    </w:lvlOverride>
  </w:num>
  <w:num w:numId="9217">
    <w:abstractNumId w:val="9102"/>
    <w:lvlOverride w:ilvl="0">
      <w:startOverride w:val="1"/>
    </w:lvlOverride>
  </w:num>
  <w:num w:numId="9218">
    <w:abstractNumId w:val="9102"/>
    <w:lvlOverride w:ilvl="0">
      <w:startOverride w:val="1"/>
    </w:lvlOverride>
  </w:num>
  <w:num w:numId="9219">
    <w:abstractNumId w:val="9102"/>
    <w:lvlOverride w:ilvl="0">
      <w:startOverride w:val="1"/>
    </w:lvlOverride>
  </w:num>
  <w:num w:numId="9220">
    <w:abstractNumId w:val="9102"/>
    <w:lvlOverride w:ilvl="0">
      <w:startOverride w:val="1"/>
    </w:lvlOverride>
  </w:num>
  <w:num w:numId="9221">
    <w:abstractNumId w:val="9102"/>
    <w:lvlOverride w:ilvl="0">
      <w:startOverride w:val="1"/>
    </w:lvlOverride>
  </w:num>
  <w:num w:numId="9222">
    <w:abstractNumId w:val="9102"/>
    <w:lvlOverride w:ilvl="0">
      <w:startOverride w:val="1"/>
    </w:lvlOverride>
  </w:num>
  <w:num w:numId="9223">
    <w:abstractNumId w:val="9102"/>
    <w:lvlOverride w:ilvl="0">
      <w:startOverride w:val="1"/>
    </w:lvlOverride>
  </w:num>
  <w:num w:numId="9224">
    <w:abstractNumId w:val="9102"/>
    <w:lvlOverride w:ilvl="0">
      <w:startOverride w:val="1"/>
    </w:lvlOverride>
  </w:num>
  <w:num w:numId="9225">
    <w:abstractNumId w:val="9102"/>
    <w:lvlOverride w:ilvl="0">
      <w:startOverride w:val="1"/>
    </w:lvlOverride>
  </w:num>
  <w:num w:numId="9226">
    <w:abstractNumId w:val="9102"/>
    <w:lvlOverride w:ilvl="0">
      <w:startOverride w:val="1"/>
    </w:lvlOverride>
  </w:num>
  <w:num w:numId="9227">
    <w:abstractNumId w:val="9102"/>
    <w:lvlOverride w:ilvl="0">
      <w:startOverride w:val="1"/>
    </w:lvlOverride>
  </w:num>
  <w:num w:numId="9228">
    <w:abstractNumId w:val="9102"/>
    <w:lvlOverride w:ilvl="0">
      <w:startOverride w:val="1"/>
    </w:lvlOverride>
  </w:num>
  <w:num w:numId="9229">
    <w:abstractNumId w:val="9102"/>
    <w:lvlOverride w:ilvl="0">
      <w:startOverride w:val="1"/>
    </w:lvlOverride>
  </w:num>
  <w:num w:numId="9230">
    <w:abstractNumId w:val="9102"/>
    <w:lvlOverride w:ilvl="0">
      <w:startOverride w:val="1"/>
    </w:lvlOverride>
  </w:num>
  <w:num w:numId="9231">
    <w:abstractNumId w:val="9102"/>
    <w:lvlOverride w:ilvl="0">
      <w:startOverride w:val="1"/>
    </w:lvlOverride>
  </w:num>
  <w:num w:numId="9232">
    <w:abstractNumId w:val="9102"/>
    <w:lvlOverride w:ilvl="0">
      <w:startOverride w:val="1"/>
    </w:lvlOverride>
  </w:num>
  <w:num w:numId="9233">
    <w:abstractNumId w:val="9102"/>
    <w:lvlOverride w:ilvl="0">
      <w:startOverride w:val="1"/>
    </w:lvlOverride>
  </w:num>
  <w:num w:numId="9234">
    <w:abstractNumId w:val="9102"/>
    <w:lvlOverride w:ilvl="0">
      <w:startOverride w:val="1"/>
    </w:lvlOverride>
  </w:num>
  <w:num w:numId="9235">
    <w:abstractNumId w:val="9102"/>
    <w:lvlOverride w:ilvl="0">
      <w:startOverride w:val="1"/>
    </w:lvlOverride>
  </w:num>
  <w:num w:numId="9236">
    <w:abstractNumId w:val="9102"/>
    <w:lvlOverride w:ilvl="0">
      <w:startOverride w:val="1"/>
    </w:lvlOverride>
  </w:num>
  <w:num w:numId="9237">
    <w:abstractNumId w:val="9102"/>
    <w:lvlOverride w:ilvl="0">
      <w:startOverride w:val="1"/>
    </w:lvlOverride>
  </w:num>
  <w:num w:numId="9238">
    <w:abstractNumId w:val="9102"/>
    <w:lvlOverride w:ilvl="0">
      <w:startOverride w:val="1"/>
    </w:lvlOverride>
  </w:num>
  <w:num w:numId="9239">
    <w:abstractNumId w:val="9102"/>
    <w:lvlOverride w:ilvl="0">
      <w:startOverride w:val="1"/>
    </w:lvlOverride>
  </w:num>
  <w:num w:numId="9240">
    <w:abstractNumId w:val="9102"/>
    <w:lvlOverride w:ilvl="0">
      <w:startOverride w:val="1"/>
    </w:lvlOverride>
  </w:num>
  <w:num w:numId="9241">
    <w:abstractNumId w:val="9102"/>
    <w:lvlOverride w:ilvl="0">
      <w:startOverride w:val="1"/>
    </w:lvlOverride>
  </w:num>
  <w:num w:numId="9242">
    <w:abstractNumId w:val="9102"/>
    <w:lvlOverride w:ilvl="0">
      <w:startOverride w:val="1"/>
    </w:lvlOverride>
  </w:num>
  <w:num w:numId="9243">
    <w:abstractNumId w:val="9102"/>
    <w:lvlOverride w:ilvl="0">
      <w:startOverride w:val="1"/>
    </w:lvlOverride>
  </w:num>
  <w:num w:numId="9244">
    <w:abstractNumId w:val="9102"/>
    <w:lvlOverride w:ilvl="0">
      <w:startOverride w:val="1"/>
    </w:lvlOverride>
  </w:num>
  <w:num w:numId="9245">
    <w:abstractNumId w:val="9102"/>
    <w:lvlOverride w:ilvl="0">
      <w:startOverride w:val="1"/>
    </w:lvlOverride>
  </w:num>
  <w:num w:numId="9246">
    <w:abstractNumId w:val="9102"/>
    <w:lvlOverride w:ilvl="0">
      <w:startOverride w:val="1"/>
    </w:lvlOverride>
  </w:num>
  <w:num w:numId="9247">
    <w:abstractNumId w:val="9102"/>
    <w:lvlOverride w:ilvl="0">
      <w:startOverride w:val="1"/>
    </w:lvlOverride>
  </w:num>
  <w:num w:numId="9248">
    <w:abstractNumId w:val="9102"/>
    <w:lvlOverride w:ilvl="0">
      <w:startOverride w:val="1"/>
    </w:lvlOverride>
  </w:num>
  <w:num w:numId="9249">
    <w:abstractNumId w:val="9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A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A27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A27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QTableText">
    <w:name w:val="CELLQ Table Text"/>
    <w:pPr>
      <w:widowControl/>
      <w:spacing w:before="0" w:after="40" w:line="252" w:lineRule="auto"/>
    </w:pPr>
    <w:rPr>
      <w:rFonts w:ascii="Calibri" w:hAnsi="Calibri"/>
      <w:color w:val="1A2733"/>
      <w:sz w:val="16"/>
    </w:rPr>
  </w:style>
  <w:style w:type="paragraph" w:customStyle="1" w:styleId="CELLQCallout">
    <w:name w:val="CELLQ Callout"/>
    <w:pPr>
      <w:spacing w:before="120" w:after="160" w:line="276" w:lineRule="auto"/>
      <w:ind w:left="259" w:right="259"/>
    </w:pPr>
    <w:rPr>
      <w:rFonts w:ascii="Calibri" w:hAnsi="Calibri"/>
      <w:color w:val="0B2545"/>
      <w:sz w:val="20"/>
    </w:rPr>
  </w:style>
  <w:style w:type="paragraph" w:customStyle="1" w:styleId="CELLQTableSource">
    <w:name w:val="CELLQ Table Source"/>
    <w:pPr>
      <w:spacing w:before="80" w:after="80"/>
    </w:pPr>
    <w:rPr>
      <w:rFonts w:ascii="Calibri" w:hAnsi="Calibri"/>
      <w:color w:val="5D68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eberg.apache.org/spec/" TargetMode="External"/><Relationship Id="rId12" Type="http://schemas.openxmlformats.org/officeDocument/2006/relationships/hyperlink" Target="https://openlineage.io/docs/1.48.0/spec/object-model/" TargetMode="External"/><Relationship Id="rId13" Type="http://schemas.openxmlformats.org/officeDocument/2006/relationships/hyperlink" Target="https://kafka.apache.org/41/design/design/" TargetMode="External"/><Relationship Id="rId14" Type="http://schemas.openxmlformats.org/officeDocument/2006/relationships/hyperlink" Target="https://www.cmegroup.com/market-data/distributor/market-data-platform.html" TargetMode="External"/><Relationship Id="rId15" Type="http://schemas.openxmlformats.org/officeDocument/2006/relationships/hyperlink" Target="https://databento.com/docs/schemas-and-data-formats/mbo" TargetMode="External"/><Relationship Id="rId16" Type="http://schemas.openxmlformats.org/officeDocument/2006/relationships/hyperlink" Target="https://databento.com/docs/schemas-and-data-formats/mbp-10" TargetMode="External"/><Relationship Id="rId17" Type="http://schemas.openxmlformats.org/officeDocument/2006/relationships/hyperlink" Target="https://cmegroupclientsite.atlassian.net/wiki/spaces/EPICSANDBOX/pages/457215780/CME-Reference-Data-API-Version-3" TargetMode="External"/><Relationship Id="rId18" Type="http://schemas.openxmlformats.org/officeDocument/2006/relationships/hyperlink" Target="https://databento.com/docs/examples/symbology/continuous" TargetMode="External"/><Relationship Id="rId19" Type="http://schemas.openxmlformats.org/officeDocument/2006/relationships/hyperlink" Target="https://www.quantconnect.com/docs/v2/research-environment/datasets/futures/key-concepts" TargetMode="External"/><Relationship Id="rId20" Type="http://schemas.openxmlformats.org/officeDocument/2006/relationships/hyperlink" Target="https://www.cmegroup.com/solutions/risk-management/margin-services/product-margins.html" TargetMode="External"/><Relationship Id="rId21" Type="http://schemas.openxmlformats.org/officeDocument/2006/relationships/hyperlink" Target="https://www.cmegroup.com/company/clearing-fees/historical-fees.html" TargetMode="External"/><Relationship Id="rId22" Type="http://schemas.openxmlformats.org/officeDocument/2006/relationships/hyperlink" Target="https://fred.stlouisfed.org/docs/api/fred/series_vintagedates.html" TargetMode="External"/><Relationship Id="rId23" Type="http://schemas.openxmlformats.org/officeDocument/2006/relationships/hyperlink" Target="https://www.bls.gov/bls/newsrels.htm" TargetMode="External"/><Relationship Id="rId24" Type="http://schemas.openxmlformats.org/officeDocument/2006/relationships/hyperlink" Target="https://www.cftc.gov/MarketReports/CommitmentsofTraders/index.htm" TargetMode="External"/><Relationship Id="rId25" Type="http://schemas.openxmlformats.org/officeDocument/2006/relationships/hyperlink" Target="https://www.cmegroup.com/market-data/cme-group-benchmark-administration/cme-group-volatility-indexes.html" TargetMode="External"/><Relationship Id="rId26" Type="http://schemas.openxmlformats.org/officeDocument/2006/relationships/hyperlink" Target="https://doi.org/10.2307/1912559" TargetMode="External"/><Relationship Id="rId27" Type="http://schemas.openxmlformats.org/officeDocument/2006/relationships/hyperlink" Target="https://arxiv.org/abs/1603.02754" TargetMode="External"/><Relationship Id="rId28" Type="http://schemas.openxmlformats.org/officeDocument/2006/relationships/hyperlink" Target="https://arxiv.org/abs/1912.09363" TargetMode="External"/><Relationship Id="rId29" Type="http://schemas.openxmlformats.org/officeDocument/2006/relationships/hyperlink" Target="https://arxiv.org/abs/2211.14730" TargetMode="External"/><Relationship Id="rId30" Type="http://schemas.openxmlformats.org/officeDocument/2006/relationships/hyperlink" Target="https://arxiv.org/abs/2403.07815" TargetMode="External"/><Relationship Id="rId31" Type="http://schemas.openxmlformats.org/officeDocument/2006/relationships/hyperlink" Target="https://arxiv.org/abs/2310.10688" TargetMode="External"/><Relationship Id="rId32" Type="http://schemas.openxmlformats.org/officeDocument/2006/relationships/hyperlink" Target="https://arxiv.org/abs/1601.00991" TargetMode="External"/><Relationship Id="rId33" Type="http://schemas.openxmlformats.org/officeDocument/2006/relationships/hyperlink" Target="https://papers.ssrn.com/sol3/papers.cfm?abstract_id=2708678" TargetMode="External"/><Relationship Id="rId34" Type="http://schemas.openxmlformats.org/officeDocument/2006/relationships/hyperlink" Target="https://papers.ssrn.com/sol3/papers.cfm?abstract_id=2326253" TargetMode="External"/><Relationship Id="rId35" Type="http://schemas.openxmlformats.org/officeDocument/2006/relationships/hyperlink" Target="https://papers.ssrn.com/sol3/papers.cfm?abstract_id=2460551" TargetMode="External"/><Relationship Id="rId36" Type="http://schemas.openxmlformats.org/officeDocument/2006/relationships/hyperlink" Target="https://users.ssc.wisc.edu/~behansen/718/White2000.pdf" TargetMode="External"/><Relationship Id="rId37" Type="http://schemas.openxmlformats.org/officeDocument/2006/relationships/hyperlink" Target="https://papers.ssrn.com/sol3/papers.cfm?abstract_id=264569" TargetMode="External"/><Relationship Id="rId38" Type="http://schemas.openxmlformats.org/officeDocument/2006/relationships/hyperlink" Target="https://academic.oup.com/rfs/article/29/1/5/1843824" TargetMode="External"/><Relationship Id="rId39" Type="http://schemas.openxmlformats.org/officeDocument/2006/relationships/hyperlink" Target="https://papers.ssrn.com/sol3/papers.cfm?abstract_id=1821643" TargetMode="External"/><Relationship Id="rId40" Type="http://schemas.openxmlformats.org/officeDocument/2006/relationships/hyperlink" Target="https://doi.org/10.1109/4235.996017" TargetMode="External"/><Relationship Id="rId41" Type="http://schemas.openxmlformats.org/officeDocument/2006/relationships/hyperlink" Target="https://www.sciencedirect.com/science/article/pii/S0304405X9800052X" TargetMode="External"/><Relationship Id="rId42" Type="http://schemas.openxmlformats.org/officeDocument/2006/relationships/hyperlink" Target="https://www.science.org/doi/10.1126/science.aaa9375" TargetMode="External"/><Relationship Id="rId43" Type="http://schemas.openxmlformats.org/officeDocument/2006/relationships/hyperlink" Target="https://ojs.aaai.org/index.php/AAAI/article/view/20881/20640" TargetMode="External"/><Relationship Id="rId44" Type="http://schemas.openxmlformats.org/officeDocument/2006/relationships/hyperlink" Target="https://openreview.net/forum?id=PilZY3omXV2" TargetMode="External"/><Relationship Id="rId45" Type="http://schemas.openxmlformats.org/officeDocument/2006/relationships/hyperlink" Target="https://www.microsoft.com/en-us/research/publication/trueskilltm-a-bayesian-skill-rating-system/" TargetMode="External"/><Relationship Id="rId46" Type="http://schemas.openxmlformats.org/officeDocument/2006/relationships/hyperlink" Target="https://github.com/polakowo/vectorbt/releases" TargetMode="External"/><Relationship Id="rId47" Type="http://schemas.openxmlformats.org/officeDocument/2006/relationships/hyperlink" Target="https://github.com/nautechsystems/nautilus_trader/releases" TargetMode="External"/><Relationship Id="rId48" Type="http://schemas.openxmlformats.org/officeDocument/2006/relationships/hyperlink" Target="https://nautilustrader.io/docs/latest/concepts/backtesting/fill-models/" TargetMode="External"/><Relationship Id="rId49" Type="http://schemas.openxmlformats.org/officeDocument/2006/relationships/hyperlink" Target="https://hftbacktest.readthedocs.io/en/latest/" TargetMode="External"/><Relationship Id="rId50" Type="http://schemas.openxmlformats.org/officeDocument/2006/relationships/hyperlink" Target="https://pypi.org/project/backtrader/" TargetMode="External"/><Relationship Id="rId51" Type="http://schemas.openxmlformats.org/officeDocument/2006/relationships/hyperlink" Target="https://pypi.org/project/zipline-reloaded/" TargetMode="External"/><Relationship Id="rId52" Type="http://schemas.openxmlformats.org/officeDocument/2006/relationships/hyperlink" Target="https://www.quantconnect.com/docs/v2/writing-algorithms/reality-modeling/trade-fills/supported-models/future-model" TargetMode="External"/><Relationship Id="rId53" Type="http://schemas.openxmlformats.org/officeDocument/2006/relationships/hyperlink" Target="https://www.cftc.gov/check" TargetMode="External"/><Relationship Id="rId54" Type="http://schemas.openxmlformats.org/officeDocument/2006/relationships/hyperlink" Target="https://www.nfa.futures.org/registration-membership/index.html" TargetMode="External"/><Relationship Id="rId55" Type="http://schemas.openxmlformats.org/officeDocument/2006/relationships/hyperlink" Target="https://www.nfa.futures.org/rulebooksql/rules.aspx" TargetMode="External"/><Relationship Id="rId56" Type="http://schemas.openxmlformats.org/officeDocument/2006/relationships/hyperlink" Target="https://docs.temporal.io/workflow-execution/event" TargetMode="External"/><Relationship Id="rId57" Type="http://schemas.openxmlformats.org/officeDocument/2006/relationships/hyperlink" Target="https://modelcontextprotocol.io/specification/2026-07-28/basic" TargetMode="External"/><Relationship Id="rId58" Type="http://schemas.openxmlformats.org/officeDocument/2006/relationships/hyperlink" Target="https://developers.openai.com/api/docs/guides/agents" TargetMode="External"/><Relationship Id="rId59" Type="http://schemas.openxmlformats.org/officeDocument/2006/relationships/hyperlink" Target="https://developers.openai.com/api/docs/guides/agents/guardrails-approvals" TargetMode="External"/><Relationship Id="rId60" Type="http://schemas.openxmlformats.org/officeDocument/2006/relationships/hyperlink" Target="https://docs.langchain.com/oss/python/langgraph/overview" TargetMode="External"/><Relationship Id="rId61" Type="http://schemas.openxmlformats.org/officeDocument/2006/relationships/hyperlink" Target="https://github.com/microsoft/autogen" TargetMode="External"/><Relationship Id="rId62" Type="http://schemas.openxmlformats.org/officeDocument/2006/relationships/hyperlink" Target="https://www.anthropic.com/engineering/building-effective-agents" TargetMode="External"/><Relationship Id="rId63" Type="http://schemas.openxmlformats.org/officeDocument/2006/relationships/hyperlink" Target="https://www.anthropic.com/engineering/multi-agent-research-system" TargetMode="External"/><Relationship Id="rId64" Type="http://schemas.openxmlformats.org/officeDocument/2006/relationships/hyperlink" Target="https://www.anthropic.com/engineering/demystifying-evals-for-ai-agents" TargetMode="External"/><Relationship Id="rId65" Type="http://schemas.openxmlformats.org/officeDocument/2006/relationships/hyperlink" Target="https://kafka.apache.org/documentation/" TargetMode="External"/><Relationship Id="rId66" Type="http://schemas.openxmlformats.org/officeDocument/2006/relationships/hyperlink" Target="https://iceberg.apache.org/docs/latest/partitioning/" TargetMode="External"/><Relationship Id="rId67" Type="http://schemas.openxmlformats.org/officeDocument/2006/relationships/hyperlink" Target="https://docs.dask.org/en/stable/best-practices.html" TargetMode="External"/><Relationship Id="rId68" Type="http://schemas.openxmlformats.org/officeDocument/2006/relationships/hyperlink" Target="https://distributed.dask.org/en/stable/worker-memory.html" TargetMode="External"/><Relationship Id="rId69" Type="http://schemas.openxmlformats.org/officeDocument/2006/relationships/hyperlink" Target="https://docs.ray.io/en/latest/ray-core/tas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CELL//OS Futures Quant Research Platform (CELL-Q)</dc:title>
  <dc:subject>Simulation-only technical architecture and evidence protocol</dc:subject>
  <dc:creator>OpenAI</dc:creator>
  <cp:keywords>CELL//OS, CELL-Q, quantitative research, futures data, validation, agent architecture</cp:keywords>
  <dc:description>Primary-source-led technical report; research date 2026-09-04.</dc:description>
  <cp:lastModifiedBy/>
  <cp:revision>1</cp:revision>
  <dcterms:created xsi:type="dcterms:W3CDTF">2013-12-23T23:15:00Z</dcterms:created>
  <dcterms:modified xsi:type="dcterms:W3CDTF">2013-12-23T23:15:00Z</dcterms:modified>
  <cp:category/>
</cp:coreProperties>
</file>