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pPr>
      <w:r>
        <w:rPr>
          <w:rFonts w:ascii="Calibri" w:hAnsi="Calibri"/>
          <w:b/>
          <w:color w:val="137C8B"/>
          <w:sz w:val="18"/>
        </w:rPr>
        <w:t>DEEP RESEARCH  ·  SOURCE WINDOW CLOSED 4 SEP 2026</w:t>
      </w:r>
    </w:p>
    <w:p>
      <w:pPr>
        <w:spacing w:before="400" w:after="160"/>
      </w:pPr>
      <w:r>
        <w:rPr>
          <w:rFonts w:ascii="Calibri" w:hAnsi="Calibri"/>
          <w:b/>
          <w:color w:val="2E74B5"/>
          <w:sz w:val="68"/>
        </w:rPr>
        <w:t>CELL//OS</w:t>
      </w:r>
      <w:r>
        <w:rPr>
          <w:rFonts w:ascii="Calibri" w:hAnsi="Calibri"/>
          <w:b/>
          <w:color w:val="20262E"/>
          <w:sz w:val="54"/>
        </w:rPr>
        <w:br/>
        <w:t>Futures Quant Domain Pane</w:t>
      </w:r>
    </w:p>
    <w:p>
      <w:pPr>
        <w:spacing w:after="480"/>
      </w:pPr>
      <w:r>
        <w:rPr>
          <w:rFonts w:ascii="Calibri" w:hAnsi="Calibri"/>
          <w:color w:val="1F4D78"/>
          <w:sz w:val="30"/>
        </w:rPr>
        <w:t>An evidence-led blueprint for NQ/MNQ research, historical replay, paper execution, and agentic governance</w:t>
      </w:r>
    </w:p>
    <w:tbl>
      <w:tblPr>
        <w:tblW w:type="auto" w:w="0"/>
        <w:jc w:val="left"/>
        <w:tblLayout w:type="fixed"/>
        <w:tblLook w:firstColumn="1" w:firstRow="1" w:lastColumn="0" w:lastRow="0" w:noHBand="0" w:noVBand="1" w:val="04A0"/>
        <w:tblBorders>
          <w:top w:val="single" w:sz="3" w:color="D7E0E8"/>
          <w:left w:val="single" w:sz="3" w:color="D7E0E8"/>
          <w:bottom w:val="single" w:sz="3" w:color="D7E0E8"/>
          <w:right w:val="single" w:sz="3" w:color="D7E0E8"/>
          <w:insideH w:val="single" w:sz="3" w:color="D7E0E8"/>
          <w:insideV w:val="single" w:sz="3" w:color="D7E0E8"/>
        </w:tblBorders>
      </w:tblPr>
      <w:tblGrid>
        <w:gridCol w:w="4680"/>
        <w:gridCol w:w="4680"/>
      </w:tblGrid>
      <w:tr>
        <w:trPr>
          <w:tblHeader w:val="true"/>
        </w:trPr>
        <w:tc>
          <w:tcPr>
            <w:tcW w:type="dxa" w:w="2200"/>
            <w:tcMar>
              <w:top w:w="110" w:type="dxa"/>
              <w:start w:w="140" w:type="dxa"/>
              <w:bottom w:w="110" w:type="dxa"/>
              <w:end w:w="140" w:type="dxa"/>
            </w:tcMar>
            <w:vAlign w:val="center"/>
            <w:shd w:fill="E8F3F4"/>
          </w:tcPr>
          <w:p>
            <w:pPr>
              <w:spacing w:after="0"/>
            </w:pPr>
            <w:r>
              <w:rPr>
                <w:rFonts w:ascii="Calibri" w:hAnsi="Calibri"/>
                <w:b/>
                <w:color w:val="1F4D78"/>
                <w:sz w:val="19"/>
              </w:rPr>
              <w:t>Report profile</w:t>
            </w:r>
          </w:p>
        </w:tc>
        <w:tc>
          <w:tcPr>
            <w:tcW w:type="dxa" w:w="7160"/>
            <w:tcMar>
              <w:top w:w="110" w:type="dxa"/>
              <w:start w:w="140" w:type="dxa"/>
              <w:bottom w:w="110" w:type="dxa"/>
              <w:end w:w="140" w:type="dxa"/>
            </w:tcMar>
            <w:vAlign w:val="center"/>
            <w:shd w:fill="E8F3F4"/>
          </w:tcPr>
          <w:p>
            <w:pPr>
              <w:spacing w:after="0"/>
            </w:pPr>
            <w:r>
              <w:rPr>
                <w:rFonts w:ascii="Calibri" w:hAnsi="Calibri"/>
                <w:b/>
                <w:color w:val="20262E"/>
                <w:sz w:val="19"/>
              </w:rPr>
              <w:t>Value</w:t>
            </w:r>
          </w:p>
        </w:tc>
      </w:tr>
      <w:tr>
        <w:tc>
          <w:tcPr>
            <w:tcW w:type="dxa" w:w="2200"/>
            <w:tcMar>
              <w:top w:w="110" w:type="dxa"/>
              <w:start w:w="140" w:type="dxa"/>
              <w:bottom w:w="110" w:type="dxa"/>
              <w:end w:w="140" w:type="dxa"/>
            </w:tcMar>
            <w:vAlign w:val="center"/>
            <w:shd w:fill="E8EEF5"/>
          </w:tcPr>
          <w:p>
            <w:pPr>
              <w:spacing w:after="0"/>
            </w:pPr>
            <w:r>
              <w:rPr>
                <w:rFonts w:ascii="Calibri" w:hAnsi="Calibri"/>
                <w:b/>
                <w:color w:val="1F4D78"/>
                <w:sz w:val="19"/>
              </w:rPr>
              <w:t>Report date</w:t>
            </w:r>
          </w:p>
        </w:tc>
        <w:tc>
          <w:tcPr>
            <w:tcW w:type="dxa" w:w="7160"/>
            <w:tcMar>
              <w:top w:w="110" w:type="dxa"/>
              <w:start w:w="140" w:type="dxa"/>
              <w:bottom w:w="110" w:type="dxa"/>
              <w:end w:w="140" w:type="dxa"/>
            </w:tcMar>
            <w:vAlign w:val="center"/>
          </w:tcPr>
          <w:p>
            <w:pPr>
              <w:spacing w:after="0"/>
            </w:pPr>
            <w:r>
              <w:rPr>
                <w:rFonts w:ascii="Calibri" w:hAnsi="Calibri"/>
                <w:b w:val="0"/>
                <w:color w:val="20262E"/>
                <w:sz w:val="19"/>
              </w:rPr>
              <w:t>4 September 2026</w:t>
            </w:r>
          </w:p>
        </w:tc>
      </w:tr>
      <w:tr>
        <w:tc>
          <w:tcPr>
            <w:tcW w:type="dxa" w:w="2200"/>
            <w:tcMar>
              <w:top w:w="110" w:type="dxa"/>
              <w:start w:w="140" w:type="dxa"/>
              <w:bottom w:w="110" w:type="dxa"/>
              <w:end w:w="140" w:type="dxa"/>
            </w:tcMar>
            <w:vAlign w:val="center"/>
            <w:shd w:fill="E8EEF5"/>
          </w:tcPr>
          <w:p>
            <w:pPr>
              <w:spacing w:after="0"/>
            </w:pPr>
            <w:r>
              <w:rPr>
                <w:rFonts w:ascii="Calibri" w:hAnsi="Calibri"/>
                <w:b/>
                <w:color w:val="1F4D78"/>
                <w:sz w:val="19"/>
              </w:rPr>
              <w:t>Reference scope</w:t>
            </w:r>
          </w:p>
        </w:tc>
        <w:tc>
          <w:tcPr>
            <w:tcW w:type="dxa" w:w="7160"/>
            <w:tcMar>
              <w:top w:w="110" w:type="dxa"/>
              <w:start w:w="140" w:type="dxa"/>
              <w:bottom w:w="110" w:type="dxa"/>
              <w:end w:w="140" w:type="dxa"/>
            </w:tcMar>
            <w:vAlign w:val="center"/>
          </w:tcPr>
          <w:p>
            <w:pPr>
              <w:spacing w:after="0"/>
            </w:pPr>
            <w:r>
              <w:rPr>
                <w:rFonts w:ascii="Calibri" w:hAnsi="Calibri"/>
                <w:b w:val="0"/>
                <w:color w:val="20262E"/>
                <w:sz w:val="19"/>
              </w:rPr>
              <w:t>Solo · 12 weeks · Python + Rust · NQ/MNQ · intraday minutes–hours</w:t>
            </w:r>
          </w:p>
        </w:tc>
      </w:tr>
      <w:tr>
        <w:tc>
          <w:tcPr>
            <w:tcW w:type="dxa" w:w="2200"/>
            <w:tcMar>
              <w:top w:w="110" w:type="dxa"/>
              <w:start w:w="140" w:type="dxa"/>
              <w:bottom w:w="110" w:type="dxa"/>
              <w:end w:w="140" w:type="dxa"/>
            </w:tcMar>
            <w:vAlign w:val="center"/>
            <w:shd w:fill="E8EEF5"/>
          </w:tcPr>
          <w:p>
            <w:pPr>
              <w:spacing w:after="0"/>
            </w:pPr>
            <w:r>
              <w:rPr>
                <w:rFonts w:ascii="Calibri" w:hAnsi="Calibri"/>
                <w:b/>
                <w:color w:val="1F4D78"/>
                <w:sz w:val="19"/>
              </w:rPr>
              <w:t>Operating modes</w:t>
            </w:r>
          </w:p>
        </w:tc>
        <w:tc>
          <w:tcPr>
            <w:tcW w:type="dxa" w:w="7160"/>
            <w:tcMar>
              <w:top w:w="110" w:type="dxa"/>
              <w:start w:w="140" w:type="dxa"/>
              <w:bottom w:w="110" w:type="dxa"/>
              <w:end w:w="140" w:type="dxa"/>
            </w:tcMar>
            <w:vAlign w:val="center"/>
          </w:tcPr>
          <w:p>
            <w:pPr>
              <w:spacing w:after="0"/>
            </w:pPr>
            <w:r>
              <w:rPr>
                <w:rFonts w:ascii="Calibri" w:hAnsi="Calibri"/>
                <w:b w:val="0"/>
                <w:color w:val="20262E"/>
                <w:sz w:val="19"/>
              </w:rPr>
              <w:t>Historical replay · shadow · paper only</w:t>
            </w:r>
          </w:p>
        </w:tc>
      </w:tr>
      <w:tr>
        <w:tc>
          <w:tcPr>
            <w:tcW w:type="dxa" w:w="2200"/>
            <w:tcMar>
              <w:top w:w="110" w:type="dxa"/>
              <w:start w:w="140" w:type="dxa"/>
              <w:bottom w:w="110" w:type="dxa"/>
              <w:end w:w="140" w:type="dxa"/>
            </w:tcMar>
            <w:vAlign w:val="center"/>
            <w:shd w:fill="E8EEF5"/>
          </w:tcPr>
          <w:p>
            <w:pPr>
              <w:spacing w:after="0"/>
            </w:pPr>
            <w:r>
              <w:rPr>
                <w:rFonts w:ascii="Calibri" w:hAnsi="Calibri"/>
                <w:b/>
                <w:color w:val="1F4D78"/>
                <w:sz w:val="19"/>
              </w:rPr>
              <w:t>Evidence posture</w:t>
            </w:r>
          </w:p>
        </w:tc>
        <w:tc>
          <w:tcPr>
            <w:tcW w:type="dxa" w:w="7160"/>
            <w:tcMar>
              <w:top w:w="110" w:type="dxa"/>
              <w:start w:w="140" w:type="dxa"/>
              <w:bottom w:w="110" w:type="dxa"/>
              <w:end w:w="140" w:type="dxa"/>
            </w:tcMar>
            <w:vAlign w:val="center"/>
          </w:tcPr>
          <w:p>
            <w:pPr>
              <w:spacing w:after="0"/>
            </w:pPr>
            <w:r>
              <w:rPr>
                <w:rFonts w:ascii="Calibri" w:hAnsi="Calibri"/>
                <w:b w:val="0"/>
                <w:color w:val="20262E"/>
                <w:sz w:val="19"/>
              </w:rPr>
              <w:t>Primary sources first · fast-moving versions date-stamped · gaps labeled</w:t>
            </w:r>
          </w:p>
        </w:tc>
      </w:tr>
    </w:tbl>
    <w:p>
      <w:pPr>
        <w:spacing w:before="120" w:after="120"/>
        <w:shd w:fill="FFF4DB"/>
        <w:pBdr>
          <w:left w:val="single" w:sz="18" w:space="6" w:color="B36B00"/>
        </w:pBdr>
        <w:ind w:left="160" w:right="160"/>
      </w:pPr>
      <w:r>
        <w:rPr>
          <w:b/>
          <w:sz w:val="20"/>
        </w:rPr>
        <w:t>Scope boundary.</w:t>
      </w:r>
      <w:r>
        <w:rPr>
          <w:sz w:val="20"/>
        </w:rPr>
        <w:t xml:space="preserve"> Futures and evaluation-account services are age-restricted. This edition intentionally excludes live-account activation, firm-specific rule tables, real contract sizing, payout tactics, broker onboarding, and automated order transmission. The architecture hard-disables transmit capability.</w:t>
      </w:r>
    </w:p>
    <w:p>
      <w:r>
        <w:br w:type="page"/>
      </w:r>
    </w:p>
    <w:p>
      <w:pPr>
        <w:pStyle w:val="Heading1"/>
      </w:pPr>
      <w:r>
        <w:t>Contents</w:t>
      </w:r>
    </w:p>
    <w:p>
      <w:pPr>
        <w:pStyle w:val="SmallNote"/>
      </w:pPr>
      <w:r>
        <w:t>Eight technical sections, followed by a reference build, source ledger, and verification-gap register.</w:t>
      </w:r>
    </w:p>
    <w:tbl>
      <w:tblPr>
        <w:tblW w:type="auto" w:w="0"/>
        <w:jc w:val="left"/>
        <w:tblLayout w:type="fixed"/>
        <w:tblLook w:firstColumn="1" w:firstRow="1" w:lastColumn="0" w:lastRow="0" w:noHBand="0" w:noVBand="1" w:val="04A0"/>
        <w:tblBorders>
          <w:top w:val="single" w:sz="3" w:color="DDE4EA"/>
          <w:left w:val="single" w:sz="3" w:color="DDE4EA"/>
          <w:bottom w:val="single" w:sz="3" w:color="DDE4EA"/>
          <w:right w:val="single" w:sz="3" w:color="DDE4EA"/>
          <w:insideH w:val="single" w:sz="3" w:color="DDE4EA"/>
          <w:insideV w:val="single" w:sz="3" w:color="DDE4EA"/>
        </w:tblBorders>
      </w:tblPr>
      <w:tblGrid>
        <w:gridCol w:w="4680"/>
        <w:gridCol w:w="4680"/>
      </w:tblGrid>
      <w:tr>
        <w:trPr>
          <w:tblHeader w:val="true"/>
        </w:trPr>
        <w:tc>
          <w:tcPr>
            <w:tcW w:type="dxa" w:w="1300"/>
            <w:tcMar>
              <w:top w:w="105" w:type="dxa"/>
              <w:start w:w="130" w:type="dxa"/>
              <w:bottom w:w="105" w:type="dxa"/>
              <w:end w:w="130" w:type="dxa"/>
            </w:tcMar>
            <w:shd w:fill="E8F3F4"/>
          </w:tcPr>
          <w:p>
            <w:pPr>
              <w:spacing w:after="0"/>
            </w:pPr>
            <w:r>
              <w:rPr>
                <w:b/>
                <w:color w:val="1F4D78"/>
                <w:sz w:val="20"/>
              </w:rPr>
              <w:t>Section</w:t>
            </w:r>
          </w:p>
        </w:tc>
        <w:tc>
          <w:tcPr>
            <w:tcW w:type="dxa" w:w="8060"/>
            <w:tcMar>
              <w:top w:w="105" w:type="dxa"/>
              <w:start w:w="130" w:type="dxa"/>
              <w:bottom w:w="105" w:type="dxa"/>
              <w:end w:w="130" w:type="dxa"/>
            </w:tcMar>
            <w:shd w:fill="E8F3F4"/>
          </w:tcPr>
          <w:p>
            <w:pPr>
              <w:spacing w:after="0"/>
            </w:pPr>
            <w:r>
              <w:rPr>
                <w:b/>
                <w:sz w:val="20"/>
              </w:rPr>
              <w:t>Focus</w:t>
            </w:r>
          </w:p>
        </w:tc>
      </w:tr>
      <w:tr>
        <w:tc>
          <w:tcPr>
            <w:tcW w:type="dxa" w:w="1300"/>
            <w:tcMar>
              <w:top w:w="105" w:type="dxa"/>
              <w:start w:w="130" w:type="dxa"/>
              <w:bottom w:w="105" w:type="dxa"/>
              <w:end w:w="130" w:type="dxa"/>
            </w:tcMar>
            <w:shd w:fill="E8EEF5"/>
          </w:tcPr>
          <w:p>
            <w:pPr>
              <w:spacing w:after="0"/>
            </w:pPr>
            <w:r>
              <w:rPr>
                <w:b/>
                <w:color w:val="1F4D78"/>
                <w:sz w:val="20"/>
              </w:rPr>
              <w:t>Executive answer</w:t>
            </w:r>
          </w:p>
        </w:tc>
        <w:tc>
          <w:tcPr>
            <w:tcW w:type="dxa" w:w="8060"/>
            <w:tcMar>
              <w:top w:w="105" w:type="dxa"/>
              <w:start w:w="130" w:type="dxa"/>
              <w:bottom w:w="105" w:type="dxa"/>
              <w:end w:w="130" w:type="dxa"/>
            </w:tcMar>
          </w:tcPr>
          <w:p>
            <w:pPr>
              <w:spacing w:after="0"/>
            </w:pPr>
            <w:r>
              <w:rPr>
                <w:b w:val="0"/>
                <w:sz w:val="20"/>
              </w:rPr>
              <w:t>Architecture thesis, evidence levels, and first-build recommendation</w:t>
            </w:r>
          </w:p>
        </w:tc>
      </w:tr>
      <w:tr>
        <w:tc>
          <w:tcPr>
            <w:tcW w:type="dxa" w:w="1300"/>
            <w:tcMar>
              <w:top w:w="105" w:type="dxa"/>
              <w:start w:w="130" w:type="dxa"/>
              <w:bottom w:w="105" w:type="dxa"/>
              <w:end w:w="130" w:type="dxa"/>
            </w:tcMar>
            <w:shd w:fill="E8EEF5"/>
          </w:tcPr>
          <w:p>
            <w:pPr>
              <w:spacing w:after="0"/>
            </w:pPr>
            <w:r>
              <w:rPr>
                <w:b/>
                <w:color w:val="1F4D78"/>
                <w:sz w:val="20"/>
              </w:rPr>
              <w:t>1</w:t>
            </w:r>
          </w:p>
        </w:tc>
        <w:tc>
          <w:tcPr>
            <w:tcW w:type="dxa" w:w="8060"/>
            <w:tcMar>
              <w:top w:w="105" w:type="dxa"/>
              <w:start w:w="130" w:type="dxa"/>
              <w:bottom w:w="105" w:type="dxa"/>
              <w:end w:w="130" w:type="dxa"/>
            </w:tcMar>
          </w:tcPr>
          <w:p>
            <w:pPr>
              <w:spacing w:after="0"/>
            </w:pPr>
            <w:r>
              <w:rPr>
                <w:b w:val="0"/>
                <w:sz w:val="20"/>
              </w:rPr>
              <w:t>Data pipelines a systematic futures research desk runs</w:t>
            </w:r>
          </w:p>
        </w:tc>
      </w:tr>
      <w:tr>
        <w:tc>
          <w:tcPr>
            <w:tcW w:type="dxa" w:w="1300"/>
            <w:tcMar>
              <w:top w:w="105" w:type="dxa"/>
              <w:start w:w="130" w:type="dxa"/>
              <w:bottom w:w="105" w:type="dxa"/>
              <w:end w:w="130" w:type="dxa"/>
            </w:tcMar>
            <w:shd w:fill="E8EEF5"/>
          </w:tcPr>
          <w:p>
            <w:pPr>
              <w:spacing w:after="0"/>
            </w:pPr>
            <w:r>
              <w:rPr>
                <w:b/>
                <w:color w:val="1F4D78"/>
                <w:sz w:val="20"/>
              </w:rPr>
              <w:t>2</w:t>
            </w:r>
          </w:p>
        </w:tc>
        <w:tc>
          <w:tcPr>
            <w:tcW w:type="dxa" w:w="8060"/>
            <w:tcMar>
              <w:top w:w="105" w:type="dxa"/>
              <w:start w:w="130" w:type="dxa"/>
              <w:bottom w:w="105" w:type="dxa"/>
              <w:end w:w="130" w:type="dxa"/>
            </w:tcMar>
          </w:tcPr>
          <w:p>
            <w:pPr>
              <w:spacing w:after="0"/>
            </w:pPr>
            <w:r>
              <w:rPr>
                <w:b w:val="0"/>
                <w:sz w:val="20"/>
              </w:rPr>
              <w:t>Model types, categorized by use case</w:t>
            </w:r>
          </w:p>
        </w:tc>
      </w:tr>
      <w:tr>
        <w:tc>
          <w:tcPr>
            <w:tcW w:type="dxa" w:w="1300"/>
            <w:tcMar>
              <w:top w:w="105" w:type="dxa"/>
              <w:start w:w="130" w:type="dxa"/>
              <w:bottom w:w="105" w:type="dxa"/>
              <w:end w:w="130" w:type="dxa"/>
            </w:tcMar>
            <w:shd w:fill="E8EEF5"/>
          </w:tcPr>
          <w:p>
            <w:pPr>
              <w:spacing w:after="0"/>
            </w:pPr>
            <w:r>
              <w:rPr>
                <w:b/>
                <w:color w:val="1F4D78"/>
                <w:sz w:val="20"/>
              </w:rPr>
              <w:t>3</w:t>
            </w:r>
          </w:p>
        </w:tc>
        <w:tc>
          <w:tcPr>
            <w:tcW w:type="dxa" w:w="8060"/>
            <w:tcMar>
              <w:top w:w="105" w:type="dxa"/>
              <w:start w:w="130" w:type="dxa"/>
              <w:bottom w:w="105" w:type="dxa"/>
              <w:end w:w="130" w:type="dxa"/>
            </w:tcMar>
          </w:tcPr>
          <w:p>
            <w:pPr>
              <w:spacing w:after="0"/>
            </w:pPr>
            <w:r>
              <w:rPr>
                <w:b w:val="0"/>
                <w:sz w:val="20"/>
              </w:rPr>
              <w:t>Optimization and validation protocol, in strict order</w:t>
            </w:r>
          </w:p>
        </w:tc>
      </w:tr>
      <w:tr>
        <w:tc>
          <w:tcPr>
            <w:tcW w:type="dxa" w:w="1300"/>
            <w:tcMar>
              <w:top w:w="105" w:type="dxa"/>
              <w:start w:w="130" w:type="dxa"/>
              <w:bottom w:w="105" w:type="dxa"/>
              <w:end w:w="130" w:type="dxa"/>
            </w:tcMar>
            <w:shd w:fill="E8EEF5"/>
          </w:tcPr>
          <w:p>
            <w:pPr>
              <w:spacing w:after="0"/>
            </w:pPr>
            <w:r>
              <w:rPr>
                <w:b/>
                <w:color w:val="1F4D78"/>
                <w:sz w:val="20"/>
              </w:rPr>
              <w:t>4</w:t>
            </w:r>
          </w:p>
        </w:tc>
        <w:tc>
          <w:tcPr>
            <w:tcW w:type="dxa" w:w="8060"/>
            <w:tcMar>
              <w:top w:w="105" w:type="dxa"/>
              <w:start w:w="130" w:type="dxa"/>
              <w:bottom w:w="105" w:type="dxa"/>
              <w:end w:w="130" w:type="dxa"/>
            </w:tcMar>
          </w:tcPr>
          <w:p>
            <w:pPr>
              <w:spacing w:after="0"/>
            </w:pPr>
            <w:r>
              <w:rPr>
                <w:b w:val="0"/>
                <w:sz w:val="20"/>
              </w:rPr>
              <w:t>Feature engineering, ranking, lifecycle, and research firewall</w:t>
            </w:r>
          </w:p>
        </w:tc>
      </w:tr>
      <w:tr>
        <w:tc>
          <w:tcPr>
            <w:tcW w:type="dxa" w:w="1300"/>
            <w:tcMar>
              <w:top w:w="105" w:type="dxa"/>
              <w:start w:w="130" w:type="dxa"/>
              <w:bottom w:w="105" w:type="dxa"/>
              <w:end w:w="130" w:type="dxa"/>
            </w:tcMar>
            <w:shd w:fill="E8EEF5"/>
          </w:tcPr>
          <w:p>
            <w:pPr>
              <w:spacing w:after="0"/>
            </w:pPr>
            <w:r>
              <w:rPr>
                <w:b/>
                <w:color w:val="1F4D78"/>
                <w:sz w:val="20"/>
              </w:rPr>
              <w:t>5</w:t>
            </w:r>
          </w:p>
        </w:tc>
        <w:tc>
          <w:tcPr>
            <w:tcW w:type="dxa" w:w="8060"/>
            <w:tcMar>
              <w:top w:w="105" w:type="dxa"/>
              <w:start w:w="130" w:type="dxa"/>
              <w:bottom w:w="105" w:type="dxa"/>
              <w:end w:w="130" w:type="dxa"/>
            </w:tcMar>
          </w:tcPr>
          <w:p>
            <w:pPr>
              <w:spacing w:after="0"/>
            </w:pPr>
            <w:r>
              <w:rPr>
                <w:b w:val="0"/>
                <w:sz w:val="20"/>
              </w:rPr>
              <w:t>Backtesting, paper execution, and connectivity stack</w:t>
            </w:r>
          </w:p>
        </w:tc>
      </w:tr>
      <w:tr>
        <w:tc>
          <w:tcPr>
            <w:tcW w:type="dxa" w:w="1300"/>
            <w:tcMar>
              <w:top w:w="105" w:type="dxa"/>
              <w:start w:w="130" w:type="dxa"/>
              <w:bottom w:w="105" w:type="dxa"/>
              <w:end w:w="130" w:type="dxa"/>
            </w:tcMar>
            <w:shd w:fill="E8EEF5"/>
          </w:tcPr>
          <w:p>
            <w:pPr>
              <w:spacing w:after="0"/>
            </w:pPr>
            <w:r>
              <w:rPr>
                <w:b/>
                <w:color w:val="1F4D78"/>
                <w:sz w:val="20"/>
              </w:rPr>
              <w:t>6</w:t>
            </w:r>
          </w:p>
        </w:tc>
        <w:tc>
          <w:tcPr>
            <w:tcW w:type="dxa" w:w="8060"/>
            <w:tcMar>
              <w:top w:w="105" w:type="dxa"/>
              <w:start w:w="130" w:type="dxa"/>
              <w:bottom w:w="105" w:type="dxa"/>
              <w:end w:w="130" w:type="dxa"/>
            </w:tcMar>
          </w:tcPr>
          <w:p>
            <w:pPr>
              <w:spacing w:after="0"/>
            </w:pPr>
            <w:r>
              <w:rPr>
                <w:b w:val="0"/>
                <w:sz w:val="20"/>
              </w:rPr>
              <w:t>Evaluation-firm governance and research-only abstractions</w:t>
            </w:r>
          </w:p>
        </w:tc>
      </w:tr>
      <w:tr>
        <w:tc>
          <w:tcPr>
            <w:tcW w:type="dxa" w:w="1300"/>
            <w:tcMar>
              <w:top w:w="105" w:type="dxa"/>
              <w:start w:w="130" w:type="dxa"/>
              <w:bottom w:w="105" w:type="dxa"/>
              <w:end w:w="130" w:type="dxa"/>
            </w:tcMar>
            <w:shd w:fill="E8EEF5"/>
          </w:tcPr>
          <w:p>
            <w:pPr>
              <w:spacing w:after="0"/>
            </w:pPr>
            <w:r>
              <w:rPr>
                <w:b/>
                <w:color w:val="1F4D78"/>
                <w:sz w:val="20"/>
              </w:rPr>
              <w:t>7</w:t>
            </w:r>
          </w:p>
        </w:tc>
        <w:tc>
          <w:tcPr>
            <w:tcW w:type="dxa" w:w="8060"/>
            <w:tcMar>
              <w:top w:w="105" w:type="dxa"/>
              <w:start w:w="130" w:type="dxa"/>
              <w:bottom w:w="105" w:type="dxa"/>
              <w:end w:w="130" w:type="dxa"/>
            </w:tcMar>
          </w:tcPr>
          <w:p>
            <w:pPr>
              <w:spacing w:after="0"/>
            </w:pPr>
            <w:r>
              <w:rPr>
                <w:b w:val="0"/>
                <w:sz w:val="20"/>
              </w:rPr>
              <w:t>Agentic architecture on CELL//OS and the 12-week build plan</w:t>
            </w:r>
          </w:p>
        </w:tc>
      </w:tr>
      <w:tr>
        <w:tc>
          <w:tcPr>
            <w:tcW w:type="dxa" w:w="1300"/>
            <w:tcMar>
              <w:top w:w="105" w:type="dxa"/>
              <w:start w:w="130" w:type="dxa"/>
              <w:bottom w:w="105" w:type="dxa"/>
              <w:end w:w="130" w:type="dxa"/>
            </w:tcMar>
            <w:shd w:fill="E8EEF5"/>
          </w:tcPr>
          <w:p>
            <w:pPr>
              <w:spacing w:after="0"/>
            </w:pPr>
            <w:r>
              <w:rPr>
                <w:b/>
                <w:color w:val="1F4D78"/>
                <w:sz w:val="20"/>
              </w:rPr>
              <w:t>8</w:t>
            </w:r>
          </w:p>
        </w:tc>
        <w:tc>
          <w:tcPr>
            <w:tcW w:type="dxa" w:w="8060"/>
            <w:tcMar>
              <w:top w:w="105" w:type="dxa"/>
              <w:start w:w="130" w:type="dxa"/>
              <w:bottom w:w="105" w:type="dxa"/>
              <w:end w:w="130" w:type="dxa"/>
            </w:tcMar>
          </w:tcPr>
          <w:p>
            <w:pPr>
              <w:spacing w:after="0"/>
            </w:pPr>
            <w:r>
              <w:rPr>
                <w:b w:val="0"/>
                <w:sz w:val="20"/>
              </w:rPr>
              <w:t>Gaps, warnings, and features to add</w:t>
            </w:r>
          </w:p>
        </w:tc>
      </w:tr>
      <w:tr>
        <w:tc>
          <w:tcPr>
            <w:tcW w:type="dxa" w:w="1300"/>
            <w:tcMar>
              <w:top w:w="105" w:type="dxa"/>
              <w:start w:w="130" w:type="dxa"/>
              <w:bottom w:w="105" w:type="dxa"/>
              <w:end w:w="130" w:type="dxa"/>
            </w:tcMar>
            <w:shd w:fill="E8EEF5"/>
          </w:tcPr>
          <w:p>
            <w:pPr>
              <w:spacing w:after="0"/>
            </w:pPr>
            <w:r>
              <w:rPr>
                <w:b/>
                <w:color w:val="1F4D78"/>
                <w:sz w:val="20"/>
              </w:rPr>
              <w:t>A–C</w:t>
            </w:r>
          </w:p>
        </w:tc>
        <w:tc>
          <w:tcPr>
            <w:tcW w:type="dxa" w:w="8060"/>
            <w:tcMar>
              <w:top w:w="105" w:type="dxa"/>
              <w:start w:w="130" w:type="dxa"/>
              <w:bottom w:w="105" w:type="dxa"/>
              <w:end w:w="130" w:type="dxa"/>
            </w:tcMar>
          </w:tcPr>
          <w:p>
            <w:pPr>
              <w:spacing w:after="0"/>
            </w:pPr>
            <w:r>
              <w:rPr>
                <w:b w:val="0"/>
                <w:sz w:val="20"/>
              </w:rPr>
              <w:t>Reference build, claim/source ledger, and unresolved gaps</w:t>
            </w:r>
          </w:p>
        </w:tc>
      </w:tr>
    </w:tbl>
    <w:p/>
    <w:p>
      <w:pPr>
        <w:shd w:fill="E8F3F4"/>
        <w:pBdr>
          <w:left w:val="single" w:sz="18" w:space="6" w:color="137C8B"/>
        </w:pBdr>
        <w:ind w:left="160" w:right="160"/>
        <w:spacing w:before="100" w:after="100"/>
      </w:pPr>
      <w:r>
        <w:rPr>
          <w:b/>
          <w:sz w:val="20"/>
        </w:rPr>
        <w:t>Evidence bands.</w:t>
      </w:r>
      <w:r>
        <w:rPr>
          <w:sz w:val="20"/>
        </w:rPr>
        <w:t xml:space="preserve"> Established practice = mature theory or operational semantics. Promising but unproven = plausible research without robust transferable evidence in this exact setting. Hype / reject for v1 = complexity whose marginal evidence does not justify its degrees of freedom or operational risk.</w:t>
      </w:r>
    </w:p>
    <w:p>
      <w:r>
        <w:br w:type="page"/>
      </w:r>
    </w:p>
    <w:p>
      <w:pPr>
        <w:pStyle w:val="Heading1"/>
      </w:pPr>
      <w:r>
        <w:t>Executive answer</w:t>
      </w:r>
    </w:p>
    <w:p>
      <w:r>
        <w:t>The right CELL//OS design is not “many LLM agents that trade.” It is a deterministic quantitative platform in which agents propose, inspect, schedule, and explain work, while typed services own market data, simulation, validation, risk-state calculation, and every state mutation. The winning architecture has five properties.</w:t>
      </w:r>
    </w:p>
    <w:p>
      <w:pPr>
        <w:numPr>
          <w:ilvl w:val="0"/>
          <w:numId w:val="10"/>
        </w:numPr>
        <w:spacing w:after="80" w:line="300" w:lineRule="auto"/>
      </w:pPr>
      <w:r>
        <w:rPr>
          <w:b/>
        </w:rPr>
        <w:t>A point-in-time data plane is the system of record.</w:t>
      </w:r>
      <w:r>
        <w:t xml:space="preserve"> Store immutable raw messages, event time, receive time, processing time, valid time, and transaction time. Construct bars, rolls, economic vintages, contract definitions, costs, and rule documents as versioned derived datasets. Every feature row carries an </w:t>
      </w:r>
      <w:r>
        <w:rPr>
          <w:rFonts w:ascii="Consolas" w:hAnsi="Consolas"/>
          <w:color w:val="1F4D78"/>
          <w:sz w:val="18"/>
          <w:shd w:fill="EEF2F6"/>
        </w:rPr>
        <w:t>available_at</w:t>
      </w:r>
      <w:r>
        <w:t xml:space="preserve"> timestamp and an upstream snapshot identifier. CME's MDP 3.0 is event-based and SBE-encoded; Databento's MBO schema preserves individual order events and order identifiers, while MBP-10 preserves only ten levels. Those are different research objects, not interchangeable “tick data” (</w:t>
      </w:r>
      <w:hyperlink r:id="rId11">
        <w:r>
          <w:rPr>
            <w:color w:val="2E74B5"/>
            <w:u w:val="single"/>
          </w:rPr>
          <w:t xml:space="preserve">CME MDP 3.0</w:t>
        </w:r>
      </w:hyperlink>
      <w:r>
        <w:t xml:space="preserve">; </w:t>
      </w:r>
      <w:hyperlink r:id="rId12">
        <w:r>
          <w:rPr>
            <w:color w:val="2E74B5"/>
            <w:u w:val="single"/>
          </w:rPr>
          <w:t xml:space="preserve">Databento MBO</w:t>
        </w:r>
      </w:hyperlink>
      <w:r>
        <w:t xml:space="preserve">; </w:t>
      </w:r>
      <w:hyperlink r:id="rId13">
        <w:r>
          <w:rPr>
            <w:color w:val="2E74B5"/>
            <w:u w:val="single"/>
          </w:rPr>
          <w:t xml:space="preserve">Databento MBP-10</w:t>
        </w:r>
      </w:hyperlink>
      <w:r>
        <w:t>).</w:t>
      </w:r>
    </w:p>
    <w:p>
      <w:pPr>
        <w:numPr>
          <w:ilvl w:val="0"/>
          <w:numId w:val="10"/>
        </w:numPr>
        <w:spacing w:after="80" w:line="300" w:lineRule="auto"/>
      </w:pPr>
      <w:r>
        <w:rPr>
          <w:b/>
        </w:rPr>
        <w:t>Validation is a budgeted sequence, not a final report.</w:t>
      </w:r>
      <w:r>
        <w:t xml:space="preserve"> Pre-register a hypothesis family and test budget; run data-hygiene gates; label with event-time semantics; evaluate features by stability as well as association; use purged and embargoed splits; nest model selection; correct the entire search for multiplicity; simulate costs and hard risk limits; and promote only after a locked, untouched forward interval. White's Reality Check, Hansen's SPA, the Deflated Sharpe Ratio (DSR), and Probability of Backtest Overfitting (PBO) address related but non-identical questions; none rescues a contaminated experiment (</w:t>
      </w:r>
      <w:hyperlink r:id="rId14">
        <w:r>
          <w:rPr>
            <w:color w:val="2E74B5"/>
            <w:u w:val="single"/>
          </w:rPr>
          <w:t xml:space="preserve">White 2000</w:t>
        </w:r>
      </w:hyperlink>
      <w:r>
        <w:t xml:space="preserve">; </w:t>
      </w:r>
      <w:hyperlink r:id="rId15">
        <w:r>
          <w:rPr>
            <w:color w:val="2E74B5"/>
            <w:u w:val="single"/>
          </w:rPr>
          <w:t xml:space="preserve">Hansen 2005</w:t>
        </w:r>
      </w:hyperlink>
      <w:r>
        <w:t xml:space="preserve">; </w:t>
      </w:r>
      <w:hyperlink r:id="rId16">
        <w:r>
          <w:rPr>
            <w:color w:val="2E74B5"/>
            <w:u w:val="single"/>
          </w:rPr>
          <w:t xml:space="preserve">Bailey and Lopez de Prado, DSR</w:t>
        </w:r>
      </w:hyperlink>
      <w:r>
        <w:t xml:space="preserve">; </w:t>
      </w:r>
      <w:hyperlink r:id="rId17">
        <w:r>
          <w:rPr>
            <w:color w:val="2E74B5"/>
            <w:u w:val="single"/>
          </w:rPr>
          <w:t xml:space="preserve">Bailey et al., PBO</w:t>
        </w:r>
      </w:hyperlink>
      <w:r>
        <w:t>).</w:t>
      </w:r>
    </w:p>
    <w:p>
      <w:pPr>
        <w:numPr>
          <w:ilvl w:val="0"/>
          <w:numId w:val="10"/>
        </w:numPr>
        <w:spacing w:after="80" w:line="300" w:lineRule="auto"/>
      </w:pPr>
      <w:r>
        <w:rPr>
          <w:b/>
        </w:rPr>
        <w:t>Model complexity must earn its place.</w:t>
      </w:r>
      <w:r>
        <w:t xml:space="preserve"> State-space, regularized linear models, gradient boosting, and simple regime-conditioned ensembles are the reference baselines. TFT and PatchTST are credible research candidates, but public benchmark accuracy is not trading alpha. Generic time-series foundation models show strong zero-shot forecasting on mixed-domain benchmarks, yet finance-specific studies report weak off-the-shelf results and benefits mainly after financial pretraining. No credible public, model-isolated live NQ/MNQ P&amp;L was verified for TFT, PatchTST, TimesFM, Chronos, or trading RL as of the report date (</w:t>
      </w:r>
      <w:hyperlink r:id="rId18">
        <w:r>
          <w:rPr>
            <w:color w:val="2E74B5"/>
            <w:u w:val="single"/>
          </w:rPr>
          <w:t xml:space="preserve">TFT</w:t>
        </w:r>
      </w:hyperlink>
      <w:r>
        <w:t xml:space="preserve">; </w:t>
      </w:r>
      <w:hyperlink r:id="rId19">
        <w:r>
          <w:rPr>
            <w:color w:val="2E74B5"/>
            <w:u w:val="single"/>
          </w:rPr>
          <w:t xml:space="preserve">PatchTST</w:t>
        </w:r>
      </w:hyperlink>
      <w:r>
        <w:t xml:space="preserve">; </w:t>
      </w:r>
      <w:hyperlink r:id="rId20">
        <w:r>
          <w:rPr>
            <w:color w:val="2E74B5"/>
            <w:u w:val="single"/>
          </w:rPr>
          <w:t xml:space="preserve">TimesFM</w:t>
        </w:r>
      </w:hyperlink>
      <w:r>
        <w:t xml:space="preserve">; </w:t>
      </w:r>
      <w:hyperlink r:id="rId21">
        <w:r>
          <w:rPr>
            <w:color w:val="2E74B5"/>
            <w:u w:val="single"/>
          </w:rPr>
          <w:t xml:space="preserve">Chronos</w:t>
        </w:r>
      </w:hyperlink>
      <w:r>
        <w:t xml:space="preserve">; </w:t>
      </w:r>
      <w:hyperlink r:id="rId22">
        <w:r>
          <w:rPr>
            <w:color w:val="2E74B5"/>
            <w:u w:val="single"/>
          </w:rPr>
          <w:t xml:space="preserve">finance TSFM study</w:t>
        </w:r>
      </w:hyperlink>
      <w:r>
        <w:t>).</w:t>
      </w:r>
    </w:p>
    <w:p>
      <w:pPr>
        <w:numPr>
          <w:ilvl w:val="0"/>
          <w:numId w:val="10"/>
        </w:numPr>
        <w:spacing w:after="80" w:line="300" w:lineRule="auto"/>
      </w:pPr>
      <w:r>
        <w:rPr>
          <w:b/>
        </w:rPr>
        <w:t>Execution fidelity is a model.</w:t>
      </w:r>
      <w:r>
        <w:t xml:space="preserve"> For NQ/MNQ research, use an event-driven engine as the authoritative simulator, preserve the exact contract, and model fees, spread, order latency, partial fills, queue uncertainty, session boundaries, and rolls. NautilusTrader is the best general open-source starting point; hftbacktest is the specialist queue/latency laboratory; vectorbt is a fast hypothesis sieve, not an execution truth machine. A custom Rust kernel becomes justified only after a golden event corpus proves a real fidelity or throughput gap.</w:t>
      </w:r>
    </w:p>
    <w:p>
      <w:pPr>
        <w:numPr>
          <w:ilvl w:val="0"/>
          <w:numId w:val="10"/>
        </w:numPr>
        <w:spacing w:after="80" w:line="300" w:lineRule="auto"/>
      </w:pPr>
      <w:r>
        <w:rPr>
          <w:b/>
        </w:rPr>
        <w:t>Agent authority must be asymmetric.</w:t>
      </w:r>
      <w:r>
        <w:t xml:space="preserve"> Research agents may generate breadth. Evaluation agents receive frozen artifacts and no access to generator reasoning. The risk service has a deterministic veto. The execution adapter is absent or cryptographically disabled in this release. Temporal owns durable workflows; CELL//OS owns identity, capabilities, evidence, policy, and promotion. LangGraph or the OpenAI Agents SDK can wrap bounded cognitive workflows, but no framework should become the domain model.</w:t>
      </w:r>
    </w:p>
    <w:p>
      <w:pPr>
        <w:shd w:fill="E8F3F4"/>
        <w:pBdr>
          <w:left w:val="single" w:sz="18" w:space="6" w:color="137C8B"/>
        </w:pBdr>
        <w:ind w:left="160" w:right="160"/>
        <w:spacing w:before="90" w:after="90"/>
      </w:pPr>
      <w:r>
        <w:rPr>
          <w:b/>
        </w:rPr>
        <w:t>Recommendation:</w:t>
      </w:r>
      <w:r>
        <w:t xml:space="preserve"> build one narrow, reproducible research lane first: NQ/MNQ trades and L2/L3 replay; exact contract definitions; a bar/feature factory; two deliberately simple strategy families; one authoritative simulator; a locked validation service; generic loss-limit stress tests; and a shadow dashboard. Do not start with RL, a strategy genetic-programming farm, an LLM “CIO,” or multi-firm connectivity.</w:t>
      </w:r>
    </w:p>
    <w:p>
      <w:pPr>
        <w:pStyle w:val="Heading2"/>
      </w:pPr>
      <w:r>
        <w:t>Evidence labels used in this report</w:t>
      </w:r>
    </w:p>
    <w:p>
      <w:pPr>
        <w:numPr>
          <w:ilvl w:val="0"/>
          <w:numId w:val="11"/>
        </w:numPr>
        <w:spacing w:after="80" w:line="300" w:lineRule="auto"/>
      </w:pPr>
      <w:r>
        <w:rPr>
          <w:b/>
        </w:rPr>
        <w:t>Established practice:</w:t>
      </w:r>
      <w:r>
        <w:t xml:space="preserve"> supported by mature statistical theory, exchange/vendor semantics, or repeatable engineering practice.</w:t>
      </w:r>
    </w:p>
    <w:p>
      <w:pPr>
        <w:numPr>
          <w:ilvl w:val="0"/>
          <w:numId w:val="11"/>
        </w:numPr>
        <w:spacing w:after="80" w:line="300" w:lineRule="auto"/>
      </w:pPr>
      <w:r>
        <w:rPr>
          <w:b/>
        </w:rPr>
        <w:t>Promising but unproven:</w:t>
      </w:r>
      <w:r>
        <w:t xml:space="preserve"> plausible and supported by research results, but without robust evidence of transferable net alpha or production reliability in this exact setting.</w:t>
      </w:r>
    </w:p>
    <w:p>
      <w:pPr>
        <w:numPr>
          <w:ilvl w:val="0"/>
          <w:numId w:val="11"/>
        </w:numPr>
        <w:spacing w:after="80" w:line="300" w:lineRule="auto"/>
      </w:pPr>
      <w:r>
        <w:rPr>
          <w:b/>
        </w:rPr>
        <w:t>Hype / reject for v1:</w:t>
      </w:r>
      <w:r>
        <w:t xml:space="preserve"> complexity whose marginal evidence does not justify its search degrees of freedom, operational risk, or cost.</w:t>
      </w:r>
    </w:p>
    <w:p>
      <w:r>
        <w:br w:type="page"/>
      </w:r>
    </w:p>
    <w:p>
      <w:pPr>
        <w:pStyle w:val="Heading1"/>
      </w:pPr>
      <w:r>
        <w:t>1. Data pipelines a systematic futures research desk runs</w:t>
      </w:r>
    </w:p>
    <w:p>
      <w:pPr>
        <w:pStyle w:val="Heading2"/>
      </w:pPr>
      <w:r>
        <w:t>1.1 Canonical data contract</w:t>
      </w:r>
    </w:p>
    <w:p>
      <w:r>
        <w:t>Every record entering the Futures Domain Pane should implement a common envelope:</w:t>
      </w:r>
    </w:p>
    <w:p>
      <w:r>
        <w:rPr>
          <w:rFonts w:ascii="Consolas" w:hAnsi="Consolas"/>
          <w:color w:val="1F4D78"/>
          <w:sz w:val="18"/>
          <w:shd w:fill="EEF2F6"/>
        </w:rPr>
        <w:t>dataset_id, schema_version, source, venue, instrument_id, event_time, receive_time, ingest_time, available_at, valid_from, valid_to, system_from, system_to, source_sequence, payload_hash, quality_flags, lineage_run_id</w:t>
      </w:r>
      <w:r>
        <w:t>.</w:t>
      </w:r>
    </w:p>
    <w:p>
      <w:r>
        <w:t xml:space="preserve">The four clocks are deliberately distinct. </w:t>
      </w:r>
      <w:r>
        <w:rPr>
          <w:rFonts w:ascii="Consolas" w:hAnsi="Consolas"/>
          <w:color w:val="1F4D78"/>
          <w:sz w:val="18"/>
          <w:shd w:fill="EEF2F6"/>
        </w:rPr>
        <w:t>event_time</w:t>
      </w:r>
      <w:r>
        <w:t xml:space="preserve"> is when the venue says the event occurred; </w:t>
      </w:r>
      <w:r>
        <w:rPr>
          <w:rFonts w:ascii="Consolas" w:hAnsi="Consolas"/>
          <w:color w:val="1F4D78"/>
          <w:sz w:val="18"/>
          <w:shd w:fill="EEF2F6"/>
        </w:rPr>
        <w:t>receive_time</w:t>
      </w:r>
      <w:r>
        <w:t xml:space="preserve"> is when the upstream feed observed it; </w:t>
      </w:r>
      <w:r>
        <w:rPr>
          <w:rFonts w:ascii="Consolas" w:hAnsi="Consolas"/>
          <w:color w:val="1F4D78"/>
          <w:sz w:val="18"/>
          <w:shd w:fill="EEF2F6"/>
        </w:rPr>
        <w:t>ingest_time</w:t>
      </w:r>
      <w:r>
        <w:t xml:space="preserve"> is when CELL//OS persisted it; </w:t>
      </w:r>
      <w:r>
        <w:rPr>
          <w:rFonts w:ascii="Consolas" w:hAnsi="Consolas"/>
          <w:color w:val="1F4D78"/>
          <w:sz w:val="18"/>
          <w:shd w:fill="EEF2F6"/>
        </w:rPr>
        <w:t>available_at</w:t>
      </w:r>
      <w:r>
        <w:t xml:space="preserve"> is the earliest time a historical decision could legitimately use it. </w:t>
      </w:r>
      <w:r>
        <w:rPr>
          <w:rFonts w:ascii="Consolas" w:hAnsi="Consolas"/>
          <w:color w:val="1F4D78"/>
          <w:sz w:val="18"/>
          <w:shd w:fill="EEF2F6"/>
        </w:rPr>
        <w:t>valid_*</w:t>
      </w:r>
      <w:r>
        <w:t xml:space="preserve"> describes when a fact applies in the world, while </w:t>
      </w:r>
      <w:r>
        <w:rPr>
          <w:rFonts w:ascii="Consolas" w:hAnsi="Consolas"/>
          <w:color w:val="1F4D78"/>
          <w:sz w:val="18"/>
          <w:shd w:fill="EEF2F6"/>
        </w:rPr>
        <w:t>system_*</w:t>
      </w:r>
      <w:r>
        <w:t xml:space="preserve"> describes when the platform knew that version. Bitemporal tables preserve both fact history and correction history rather than overwriting revisions (</w:t>
      </w:r>
      <w:hyperlink r:id="rId23">
        <w:r>
          <w:rPr>
            <w:color w:val="2E74B5"/>
            <w:u w:val="single"/>
          </w:rPr>
          <w:t xml:space="preserve">NYU bitemporal benchmark</w:t>
        </w:r>
      </w:hyperlink>
      <w:r>
        <w:t>).</w:t>
      </w:r>
    </w:p>
    <w:p>
      <w:r>
        <w:t xml:space="preserve">An as-of feature join is valid only when </w:t>
      </w:r>
      <w:r>
        <w:rPr>
          <w:rFonts w:ascii="Consolas" w:hAnsi="Consolas"/>
          <w:color w:val="1F4D78"/>
          <w:sz w:val="18"/>
          <w:shd w:fill="EEF2F6"/>
        </w:rPr>
        <w:t>right.available_at &lt;= left.decision_time</w:t>
      </w:r>
      <w:r>
        <w:t xml:space="preserve"> and the selected right-hand version has the greatest </w:t>
      </w:r>
      <w:r>
        <w:rPr>
          <w:rFonts w:ascii="Consolas" w:hAnsi="Consolas"/>
          <w:color w:val="1F4D78"/>
          <w:sz w:val="18"/>
          <w:shd w:fill="EEF2F6"/>
        </w:rPr>
        <w:t>available_at</w:t>
      </w:r>
      <w:r>
        <w:t xml:space="preserve"> satisfying that condition. Economic values require vintage selection; contract specifications require the definition effective on the simulated date; roll maps require the roll decision observable at that time. A normal </w:t>
      </w:r>
      <w:r>
        <w:rPr>
          <w:rFonts w:ascii="Consolas" w:hAnsi="Consolas"/>
          <w:color w:val="1F4D78"/>
          <w:sz w:val="18"/>
          <w:shd w:fill="EEF2F6"/>
        </w:rPr>
        <w:t>JOIN ON date</w:t>
      </w:r>
      <w:r>
        <w:t xml:space="preserve"> is unsafe.</w:t>
      </w:r>
    </w:p>
    <w:p>
      <w:pPr>
        <w:pStyle w:val="Heading2"/>
      </w:pPr>
      <w:r>
        <w:t>1.2 Pipeline inventory and operating pattern</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1872"/>
        <w:gridCol w:w="1872"/>
        <w:gridCol w:w="1872"/>
        <w:gridCol w:w="1872"/>
        <w:gridCol w:w="1872"/>
      </w:tblGrid>
      <w:tr>
        <w:trPr>
          <w:tblHeader w:val="true"/>
          <w:cantSplit w:val="true"/>
        </w:trPr>
        <w:tc>
          <w:tcPr>
            <w:tcW w:type="dxa" w:w="1197"/>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Pipeline</w:t>
            </w:r>
          </w:p>
        </w:tc>
        <w:tc>
          <w:tcPr>
            <w:tcW w:type="dxa" w:w="2056"/>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Ingestion and validation</w:t>
            </w:r>
          </w:p>
        </w:tc>
        <w:tc>
          <w:tcPr>
            <w:tcW w:type="dxa" w:w="2056"/>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Storage and partitioning</w:t>
            </w:r>
          </w:p>
        </w:tc>
        <w:tc>
          <w:tcPr>
            <w:tcW w:type="dxa" w:w="1992"/>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Serving and lineage</w:t>
            </w:r>
          </w:p>
        </w:tc>
        <w:tc>
          <w:tcPr>
            <w:tcW w:type="dxa" w:w="205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Open-source-first options and trade-offs</w:t>
            </w:r>
          </w:p>
        </w:tc>
      </w:tr>
      <w:tr>
        <w:trPr>
          <w:cantSplit w:val="true"/>
        </w:trPr>
        <w:tc>
          <w:tcPr>
            <w:tcW w:type="dxa" w:w="1197"/>
            <w:tcMar>
              <w:top w:w="80" w:type="dxa"/>
              <w:start w:w="120" w:type="dxa"/>
              <w:bottom w:w="80" w:type="dxa"/>
              <w:end w:w="120" w:type="dxa"/>
            </w:tcMar>
            <w:vAlign w:val="top"/>
          </w:tcPr>
          <w:p>
            <w:pPr>
              <w:spacing w:before="0" w:after="60" w:line="252" w:lineRule="auto"/>
            </w:pPr>
            <w:r>
              <w:rPr>
                <w:rFonts w:ascii="Calibri" w:hAnsi="Calibri"/>
                <w:b/>
                <w:color w:val="20262E"/>
                <w:sz w:val="16"/>
              </w:rPr>
              <w:t>Raw venue L3/MBO</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Capture packets or normalized MBO; enforce sequence monotonicity, duplicate detection, schema compatibility, crossed-book checks, and gap intervals. Keep upstream payload bytes. CME MDP 3.0 incremental refresh is an event stream; gap recovery is part of correctness, not housekeeping.</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 xml:space="preserve">Immutable object storage: compressed native frames plus Parquet projections. Partition </w:t>
            </w:r>
            <w:r>
              <w:rPr>
                <w:rFonts w:ascii="Calibri" w:hAnsi="Calibri"/>
                <w:color w:val="1F4D78"/>
                <w:sz w:val="16"/>
                <w:shd w:fill="EEF2F6"/>
              </w:rPr>
              <w:t>venue/dataset/schema/date/hour</w:t>
            </w:r>
            <w:r>
              <w:rPr>
                <w:rFonts w:ascii="Calibri" w:hAnsi="Calibri"/>
                <w:color w:val="20262E"/>
                <w:sz w:val="16"/>
              </w:rPr>
              <w:t>; sort by instrument and event time; compact only into new snapshots.</w:t>
            </w:r>
          </w:p>
        </w:tc>
        <w:tc>
          <w:tcPr>
            <w:tcW w:type="dxa" w:w="1992"/>
            <w:tcMar>
              <w:top w:w="80" w:type="dxa"/>
              <w:start w:w="120" w:type="dxa"/>
              <w:bottom w:w="80" w:type="dxa"/>
              <w:end w:w="120" w:type="dxa"/>
            </w:tcMar>
            <w:vAlign w:val="top"/>
          </w:tcPr>
          <w:p>
            <w:pPr>
              <w:spacing w:before="0" w:after="60" w:line="252" w:lineRule="auto"/>
            </w:pPr>
            <w:r>
              <w:rPr>
                <w:rFonts w:ascii="Calibri" w:hAnsi="Calibri"/>
                <w:color w:val="20262E"/>
                <w:sz w:val="16"/>
              </w:rPr>
              <w:t>Replay by snapshot and instrument; expose deterministic cursor with event and receive clocks. Lineage: packet/file hash -&gt; normalized batch -&gt; book reconstruction build.</w:t>
            </w:r>
          </w:p>
        </w:tc>
        <w:tc>
          <w:tcPr>
            <w:tcW w:type="dxa" w:w="2059"/>
            <w:tcMar>
              <w:top w:w="80" w:type="dxa"/>
              <w:start w:w="120" w:type="dxa"/>
              <w:bottom w:w="80" w:type="dxa"/>
              <w:end w:w="120" w:type="dxa"/>
            </w:tcMar>
            <w:vAlign w:val="top"/>
          </w:tcPr>
          <w:p>
            <w:pPr>
              <w:spacing w:before="0" w:after="60" w:line="252" w:lineRule="auto"/>
            </w:pPr>
            <w:r>
              <w:rPr>
                <w:rFonts w:ascii="Calibri" w:hAnsi="Calibri"/>
                <w:color w:val="20262E"/>
                <w:sz w:val="16"/>
              </w:rPr>
              <w:t>Redpanda/Kafka + Rust decoder; Databento DBN client; Apache Arrow/Parquet. Raw capture gives auditability; vendor normalization accelerates delivery but imports vendor semantics.</w:t>
            </w:r>
          </w:p>
        </w:tc>
      </w:tr>
      <w:tr>
        <w:trPr>
          <w:cantSplit w:val="true"/>
        </w:trPr>
        <w:tc>
          <w:tcPr>
            <w:tcW w:type="dxa" w:w="1197"/>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L2/MBP and trades</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Validate price-grid conformity, nonnegative size, bid/ask ordering, trade-condition mappings, sequence gaps, and session calendar. Do not infer queue position from MBP as if it were MBO.</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Parquet/Iceberg, partition by venue/date and bucket instrument; ZSTD; target 128-512 MiB files after compaction.</w:t>
            </w:r>
          </w:p>
        </w:tc>
        <w:tc>
          <w:tcPr>
            <w:tcW w:type="dxa" w:w="1992"/>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Polars/DuckDB for research; TimescaleDB for recent-window APIs; materialized book snapshots at controlled intervals.</w:t>
            </w:r>
          </w:p>
        </w:tc>
        <w:tc>
          <w:tcPr>
            <w:tcW w:type="dxa" w:w="20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Databento MBP-10 and trades; dxFeed normalized feed; native exchange feed. MBP is cheaper and smaller, but queue estimates are necessarily model-based.</w:t>
            </w:r>
          </w:p>
        </w:tc>
      </w:tr>
      <w:tr>
        <w:trPr>
          <w:cantSplit w:val="true"/>
        </w:trPr>
        <w:tc>
          <w:tcPr>
            <w:tcW w:type="dxa" w:w="1197"/>
            <w:tcMar>
              <w:top w:w="80" w:type="dxa"/>
              <w:start w:w="120" w:type="dxa"/>
              <w:bottom w:w="80" w:type="dxa"/>
              <w:end w:w="120" w:type="dxa"/>
            </w:tcMar>
            <w:vAlign w:val="top"/>
          </w:tcPr>
          <w:p>
            <w:pPr>
              <w:spacing w:before="0" w:after="60" w:line="252" w:lineRule="auto"/>
            </w:pPr>
            <w:r>
              <w:rPr>
                <w:rFonts w:ascii="Calibri" w:hAnsi="Calibri"/>
                <w:b/>
                <w:color w:val="20262E"/>
                <w:sz w:val="16"/>
              </w:rPr>
              <w:t>Bars: time, tick, volume, dollar, imbalance</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Derive only from validated trades/quotes. Record exact inclusion rule, late-event policy, session, threshold, and whether quote or trade price drives value. Recompute changed partitions after late data.</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 xml:space="preserve">Iceberg table per bar family or one table with </w:t>
            </w:r>
            <w:r>
              <w:rPr>
                <w:rFonts w:ascii="Calibri" w:hAnsi="Calibri"/>
                <w:color w:val="1F4D78"/>
                <w:sz w:val="16"/>
                <w:shd w:fill="EEF2F6"/>
              </w:rPr>
              <w:t>bar_type/threshold</w:t>
            </w:r>
            <w:r>
              <w:rPr>
                <w:rFonts w:ascii="Calibri" w:hAnsi="Calibri"/>
                <w:color w:val="20262E"/>
                <w:sz w:val="16"/>
              </w:rPr>
              <w:t>; partition by product/date; retain source offsets.</w:t>
            </w:r>
          </w:p>
        </w:tc>
        <w:tc>
          <w:tcPr>
            <w:tcW w:type="dxa" w:w="1992"/>
            <w:tcMar>
              <w:top w:w="80" w:type="dxa"/>
              <w:start w:w="120" w:type="dxa"/>
              <w:bottom w:w="80" w:type="dxa"/>
              <w:end w:w="120" w:type="dxa"/>
            </w:tcMar>
            <w:vAlign w:val="top"/>
          </w:tcPr>
          <w:p>
            <w:pPr>
              <w:spacing w:before="0" w:after="60" w:line="252" w:lineRule="auto"/>
            </w:pPr>
            <w:r>
              <w:rPr>
                <w:rFonts w:ascii="Calibri" w:hAnsi="Calibri"/>
                <w:color w:val="20262E"/>
                <w:sz w:val="16"/>
              </w:rPr>
              <w:t xml:space="preserve">Feature service joins by bar close </w:t>
            </w:r>
            <w:r>
              <w:rPr>
                <w:rFonts w:ascii="Calibri" w:hAnsi="Calibri"/>
                <w:color w:val="1F4D78"/>
                <w:sz w:val="16"/>
                <w:shd w:fill="EEF2F6"/>
              </w:rPr>
              <w:t>available_at</w:t>
            </w:r>
            <w:r>
              <w:rPr>
                <w:rFonts w:ascii="Calibri" w:hAnsi="Calibri"/>
                <w:color w:val="20262E"/>
                <w:sz w:val="16"/>
              </w:rPr>
              <w:t>, never bar start. Emit deterministic bar IDs and upstream min/max sequence.</w:t>
            </w:r>
          </w:p>
        </w:tc>
        <w:tc>
          <w:tcPr>
            <w:tcW w:type="dxa" w:w="2059"/>
            <w:tcMar>
              <w:top w:w="80" w:type="dxa"/>
              <w:start w:w="120" w:type="dxa"/>
              <w:bottom w:w="80" w:type="dxa"/>
              <w:end w:w="120" w:type="dxa"/>
            </w:tcMar>
            <w:vAlign w:val="top"/>
          </w:tcPr>
          <w:p>
            <w:pPr>
              <w:spacing w:before="0" w:after="60" w:line="252" w:lineRule="auto"/>
            </w:pPr>
            <w:r>
              <w:rPr>
                <w:rFonts w:ascii="Calibri" w:hAnsi="Calibri"/>
                <w:color w:val="20262E"/>
                <w:sz w:val="16"/>
              </w:rPr>
              <w:t>Polars streaming/groupby; Rust Arrow kernels; Timescale continuous aggregates for time bars. Database aggregates are convenient; event bars usually need custom deterministic state machines.</w:t>
            </w:r>
          </w:p>
        </w:tc>
      </w:tr>
      <w:tr>
        <w:trPr>
          <w:cantSplit w:val="true"/>
        </w:trPr>
        <w:tc>
          <w:tcPr>
            <w:tcW w:type="dxa" w:w="1197"/>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Contract master, margins, fees, sessions</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Pull exchange definitions and calendars; diff every release; validate tick size, multiplier, currency, listing cycle, first/last trade, settlement, price limits, and session exceptions. Manual approval for breaking changes.</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Bitemporal Postgres master plus Iceberg change history; key by venue instrument ID, not display symbol.</w:t>
            </w:r>
          </w:p>
        </w:tc>
        <w:tc>
          <w:tcPr>
            <w:tcW w:type="dxa" w:w="1992"/>
            <w:tcMar>
              <w:top w:w="80" w:type="dxa"/>
              <w:start w:w="120" w:type="dxa"/>
              <w:bottom w:w="80" w:type="dxa"/>
              <w:end w:w="120" w:type="dxa"/>
            </w:tcMar>
            <w:vAlign w:val="top"/>
            <w:shd w:fill="F8FAFC"/>
          </w:tcPr>
          <w:p>
            <w:pPr>
              <w:spacing w:before="0" w:after="60" w:line="252" w:lineRule="auto"/>
            </w:pPr>
            <w:r>
              <w:rPr>
                <w:rFonts w:ascii="Calibri" w:hAnsi="Calibri"/>
                <w:color w:val="1F4D78"/>
                <w:sz w:val="16"/>
                <w:shd w:fill="EEF2F6"/>
              </w:rPr>
              <w:t>contract_as_of(decision_time)</w:t>
            </w:r>
            <w:r>
              <w:rPr>
                <w:rFonts w:ascii="Calibri" w:hAnsi="Calibri"/>
                <w:color w:val="20262E"/>
                <w:sz w:val="16"/>
              </w:rPr>
              <w:t xml:space="preserve"> API; cost model receives version IDs. Contract facts are evidence artifacts.</w:t>
            </w:r>
          </w:p>
        </w:tc>
        <w:tc>
          <w:tcPr>
            <w:tcW w:type="dxa" w:w="20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Postgres temporal schema; OpenFIGI only as secondary mapping; vendor definition schema. Exchange documentation is authoritative. NQ is $20 x index with 0.25-point minimum increment; MNQ is $2 x index with the same increment (</w:t>
            </w:r>
            <w:hyperlink r:id="rId24">
              <w:r>
                <w:rPr>
                  <w:color w:val="2E74B5"/>
                  <w:u w:val="single"/>
                </w:rPr>
                <w:t xml:space="preserve">NQ specs</w:t>
              </w:r>
            </w:hyperlink>
            <w:r>
              <w:rPr>
                <w:rFonts w:ascii="Calibri" w:hAnsi="Calibri"/>
                <w:color w:val="20262E"/>
                <w:sz w:val="16"/>
              </w:rPr>
              <w:t xml:space="preserve">; </w:t>
            </w:r>
            <w:hyperlink r:id="rId25">
              <w:r>
                <w:rPr>
                  <w:color w:val="2E74B5"/>
                  <w:u w:val="single"/>
                </w:rPr>
                <w:t xml:space="preserve">MNQ specs</w:t>
              </w:r>
            </w:hyperlink>
            <w:r>
              <w:rPr>
                <w:rFonts w:ascii="Calibri" w:hAnsi="Calibri"/>
                <w:color w:val="20262E"/>
                <w:sz w:val="16"/>
              </w:rPr>
              <w:t>).</w:t>
            </w:r>
          </w:p>
        </w:tc>
      </w:tr>
      <w:tr>
        <w:trPr>
          <w:cantSplit w:val="true"/>
        </w:trPr>
        <w:tc>
          <w:tcPr>
            <w:tcW w:type="dxa" w:w="1197"/>
            <w:tcMar>
              <w:top w:w="80" w:type="dxa"/>
              <w:start w:w="120" w:type="dxa"/>
              <w:bottom w:w="80" w:type="dxa"/>
              <w:end w:w="120" w:type="dxa"/>
            </w:tcMar>
            <w:vAlign w:val="top"/>
          </w:tcPr>
          <w:p>
            <w:pPr>
              <w:spacing w:before="0" w:after="60" w:line="252" w:lineRule="auto"/>
            </w:pPr>
            <w:r>
              <w:rPr>
                <w:rFonts w:ascii="Calibri" w:hAnsi="Calibri"/>
                <w:b/>
                <w:color w:val="20262E"/>
                <w:sz w:val="16"/>
              </w:rPr>
              <w:t>Roll calendar and continuous series</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Compute calendar-, volume-, and open-interest-ranked candidates using only information available at the roll decision. Persist the chosen underlying contract for every timestamp. Unit-test holiday and expiry boundaries.</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Raw contracts remain primary. Store separate roll map and derived series; never replace tradable prices.</w:t>
            </w:r>
          </w:p>
        </w:tc>
        <w:tc>
          <w:tcPr>
            <w:tcW w:type="dxa" w:w="1992"/>
            <w:tcMar>
              <w:top w:w="80" w:type="dxa"/>
              <w:start w:w="120" w:type="dxa"/>
              <w:bottom w:w="80" w:type="dxa"/>
              <w:end w:w="120" w:type="dxa"/>
            </w:tcMar>
            <w:vAlign w:val="top"/>
          </w:tcPr>
          <w:p>
            <w:pPr>
              <w:spacing w:before="0" w:after="60" w:line="252" w:lineRule="auto"/>
            </w:pPr>
            <w:r>
              <w:rPr>
                <w:rFonts w:ascii="Calibri" w:hAnsi="Calibri"/>
                <w:color w:val="20262E"/>
                <w:sz w:val="16"/>
              </w:rPr>
              <w:t>Research API returns both continuous analytic values and actual contract IDs. Backtests execute actual contracts and explicit roll transactions.</w:t>
            </w:r>
          </w:p>
        </w:tc>
        <w:tc>
          <w:tcPr>
            <w:tcW w:type="dxa" w:w="2059"/>
            <w:tcMar>
              <w:top w:w="80" w:type="dxa"/>
              <w:start w:w="120" w:type="dxa"/>
              <w:bottom w:w="80" w:type="dxa"/>
              <w:end w:w="120" w:type="dxa"/>
            </w:tcMar>
            <w:vAlign w:val="top"/>
          </w:tcPr>
          <w:p>
            <w:pPr>
              <w:spacing w:before="0" w:after="60" w:line="252" w:lineRule="auto"/>
            </w:pPr>
            <w:r>
              <w:rPr>
                <w:rFonts w:ascii="Calibri" w:hAnsi="Calibri"/>
                <w:color w:val="20262E"/>
                <w:sz w:val="16"/>
              </w:rPr>
              <w:t>Databento continuous symbology; LEAN mappings; custom Rust/Python. Databento's continuous values are unadjusted originals and map to a tradable instrument, while back-adjusted series alter history (</w:t>
            </w:r>
            <w:hyperlink r:id="rId26">
              <w:r>
                <w:rPr>
                  <w:color w:val="2E74B5"/>
                  <w:u w:val="single"/>
                </w:rPr>
                <w:t xml:space="preserve">Databento continuous contracts</w:t>
              </w:r>
            </w:hyperlink>
            <w:r>
              <w:rPr>
                <w:rFonts w:ascii="Calibri" w:hAnsi="Calibri"/>
                <w:color w:val="20262E"/>
                <w:sz w:val="16"/>
              </w:rPr>
              <w:t>). Difference-adjustment preserves absolute changes but can create implausible old prices; ratio adjustment preserves returns but changes price levels; perpetual weighting smooths the join but implies multi-contract exposure.</w:t>
            </w:r>
          </w:p>
        </w:tc>
      </w:tr>
      <w:tr>
        <w:trPr>
          <w:cantSplit w:val="true"/>
        </w:trPr>
        <w:tc>
          <w:tcPr>
            <w:tcW w:type="dxa" w:w="1197"/>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Economic calendar and revisions</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Ingest announced release timestamp, expected/actual, prior, revised prior, embargo/source timezone, and cancellation/delay. Cross-check official schedules.</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Bitemporal event table plus vintage observation table; partition by publisher/year.</w:t>
            </w:r>
          </w:p>
        </w:tc>
        <w:tc>
          <w:tcPr>
            <w:tcW w:type="dxa" w:w="1992"/>
            <w:tcMar>
              <w:top w:w="80" w:type="dxa"/>
              <w:start w:w="120" w:type="dxa"/>
              <w:bottom w:w="80" w:type="dxa"/>
              <w:end w:w="120" w:type="dxa"/>
            </w:tcMar>
            <w:vAlign w:val="top"/>
            <w:shd w:fill="F8FAFC"/>
          </w:tcPr>
          <w:p>
            <w:pPr>
              <w:spacing w:before="0" w:after="60" w:line="252" w:lineRule="auto"/>
            </w:pPr>
            <w:r>
              <w:rPr>
                <w:rFonts w:ascii="Calibri" w:hAnsi="Calibri"/>
                <w:color w:val="1F4D78"/>
                <w:sz w:val="16"/>
                <w:shd w:fill="EEF2F6"/>
              </w:rPr>
              <w:t>latest_known_before(t)</w:t>
            </w:r>
            <w:r>
              <w:rPr>
                <w:rFonts w:ascii="Calibri" w:hAnsi="Calibri"/>
                <w:color w:val="20262E"/>
                <w:sz w:val="16"/>
              </w:rPr>
              <w:t xml:space="preserve"> and </w:t>
            </w:r>
            <w:r>
              <w:rPr>
                <w:rFonts w:ascii="Calibri" w:hAnsi="Calibri"/>
                <w:color w:val="1F4D78"/>
                <w:sz w:val="16"/>
                <w:shd w:fill="EEF2F6"/>
              </w:rPr>
              <w:t>all_vintages(series)</w:t>
            </w:r>
            <w:r>
              <w:rPr>
                <w:rFonts w:ascii="Calibri" w:hAnsi="Calibri"/>
                <w:color w:val="20262E"/>
                <w:sz w:val="16"/>
              </w:rPr>
              <w:t xml:space="preserve"> APIs. Record scrape/API version and document hash.</w:t>
            </w:r>
          </w:p>
        </w:tc>
        <w:tc>
          <w:tcPr>
            <w:tcW w:type="dxa" w:w="20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FRED/ALFRED API; official BLS/BEA/Federal Reserve calendars; Trading Economics only as secondary. ALFRED exposes vintages, making it preferable to a single overwritten macro series (</w:t>
            </w:r>
            <w:hyperlink r:id="rId27">
              <w:r>
                <w:rPr>
                  <w:color w:val="2E74B5"/>
                  <w:u w:val="single"/>
                </w:rPr>
                <w:t xml:space="preserve">FRED/ALFRED API</w:t>
              </w:r>
            </w:hyperlink>
            <w:r>
              <w:rPr>
                <w:rFonts w:ascii="Calibri" w:hAnsi="Calibri"/>
                <w:color w:val="20262E"/>
                <w:sz w:val="16"/>
              </w:rPr>
              <w:t xml:space="preserve">; </w:t>
            </w:r>
            <w:hyperlink r:id="rId28">
              <w:r>
                <w:rPr>
                  <w:color w:val="2E74B5"/>
                  <w:u w:val="single"/>
                </w:rPr>
                <w:t xml:space="preserve">BLS schedule</w:t>
              </w:r>
            </w:hyperlink>
            <w:r>
              <w:rPr>
                <w:rFonts w:ascii="Calibri" w:hAnsi="Calibri"/>
                <w:color w:val="20262E"/>
                <w:sz w:val="16"/>
              </w:rPr>
              <w:t xml:space="preserve">; </w:t>
            </w:r>
            <w:hyperlink r:id="rId29">
              <w:r>
                <w:rPr>
                  <w:color w:val="2E74B5"/>
                  <w:u w:val="single"/>
                </w:rPr>
                <w:t xml:space="preserve">FOMC calendars</w:t>
              </w:r>
            </w:hyperlink>
            <w:r>
              <w:rPr>
                <w:rFonts w:ascii="Calibri" w:hAnsi="Calibri"/>
                <w:color w:val="20262E"/>
                <w:sz w:val="16"/>
              </w:rPr>
              <w:t>).</w:t>
            </w:r>
          </w:p>
        </w:tc>
      </w:tr>
      <w:tr>
        <w:trPr>
          <w:cantSplit w:val="true"/>
        </w:trPr>
        <w:tc>
          <w:tcPr>
            <w:tcW w:type="dxa" w:w="1197"/>
            <w:tcMar>
              <w:top w:w="80" w:type="dxa"/>
              <w:start w:w="120" w:type="dxa"/>
              <w:bottom w:w="80" w:type="dxa"/>
              <w:end w:w="120" w:type="dxa"/>
            </w:tcMar>
            <w:vAlign w:val="top"/>
          </w:tcPr>
          <w:p>
            <w:pPr>
              <w:spacing w:before="0" w:after="60" w:line="252" w:lineRule="auto"/>
            </w:pPr>
            <w:r>
              <w:rPr>
                <w:rFonts w:ascii="Calibri" w:hAnsi="Calibri"/>
                <w:b/>
                <w:color w:val="20262E"/>
                <w:sz w:val="16"/>
              </w:rPr>
              <w:t>COT</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Ingest release timestamp separately from report date; reconcile categories, market codes, and revisions. The CFTC report reflects Tuesday positions and is generally published Friday at 15:30 ET.</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Bitemporal Parquet/Postgres by CFTC market code/report family/report date/vintage.</w:t>
            </w:r>
          </w:p>
        </w:tc>
        <w:tc>
          <w:tcPr>
            <w:tcW w:type="dxa" w:w="1992"/>
            <w:tcMar>
              <w:top w:w="80" w:type="dxa"/>
              <w:start w:w="120" w:type="dxa"/>
              <w:bottom w:w="80" w:type="dxa"/>
              <w:end w:w="120" w:type="dxa"/>
            </w:tcMar>
            <w:vAlign w:val="top"/>
          </w:tcPr>
          <w:p>
            <w:pPr>
              <w:spacing w:before="0" w:after="60" w:line="252" w:lineRule="auto"/>
            </w:pPr>
            <w:r>
              <w:rPr>
                <w:rFonts w:ascii="Calibri" w:hAnsi="Calibri"/>
                <w:color w:val="20262E"/>
                <w:sz w:val="16"/>
              </w:rPr>
              <w:t>Serve only after actual release time; map to futures roots through reviewed crosswalk.</w:t>
            </w:r>
          </w:p>
        </w:tc>
        <w:tc>
          <w:tcPr>
            <w:tcW w:type="dxa" w:w="2059"/>
            <w:tcMar>
              <w:top w:w="80" w:type="dxa"/>
              <w:start w:w="120" w:type="dxa"/>
              <w:bottom w:w="80" w:type="dxa"/>
              <w:end w:w="120" w:type="dxa"/>
            </w:tcMar>
            <w:vAlign w:val="top"/>
          </w:tcPr>
          <w:p>
            <w:pPr>
              <w:spacing w:before="0" w:after="60" w:line="252" w:lineRule="auto"/>
            </w:pPr>
            <w:r>
              <w:rPr>
                <w:rFonts w:ascii="Calibri" w:hAnsi="Calibri"/>
                <w:color w:val="20262E"/>
                <w:sz w:val="16"/>
              </w:rPr>
              <w:t xml:space="preserve">CFTC historical compressed files and Socrata/API; </w:t>
            </w:r>
            <w:r>
              <w:rPr>
                <w:rFonts w:ascii="Calibri" w:hAnsi="Calibri"/>
                <w:color w:val="1F4D78"/>
                <w:sz w:val="16"/>
                <w:shd w:fill="EEF2F6"/>
              </w:rPr>
              <w:t>cot_reports</w:t>
            </w:r>
            <w:r>
              <w:rPr>
                <w:rFonts w:ascii="Calibri" w:hAnsi="Calibri"/>
                <w:color w:val="20262E"/>
                <w:sz w:val="16"/>
              </w:rPr>
              <w:t xml:space="preserve"> parser; vendor mirror as contingency. Official files are primary, but classifications and market mappings change (</w:t>
            </w:r>
            <w:hyperlink r:id="rId30">
              <w:r>
                <w:rPr>
                  <w:color w:val="2E74B5"/>
                  <w:u w:val="single"/>
                </w:rPr>
                <w:t xml:space="preserve">CFTC COT</w:t>
              </w:r>
            </w:hyperlink>
            <w:r>
              <w:rPr>
                <w:rFonts w:ascii="Calibri" w:hAnsi="Calibri"/>
                <w:color w:val="20262E"/>
                <w:sz w:val="16"/>
              </w:rPr>
              <w:t xml:space="preserve">; </w:t>
            </w:r>
            <w:hyperlink r:id="rId31">
              <w:r>
                <w:rPr>
                  <w:color w:val="2E74B5"/>
                  <w:u w:val="single"/>
                </w:rPr>
                <w:t xml:space="preserve">release schedule</w:t>
              </w:r>
            </w:hyperlink>
            <w:r>
              <w:rPr>
                <w:rFonts w:ascii="Calibri" w:hAnsi="Calibri"/>
                <w:color w:val="20262E"/>
                <w:sz w:val="16"/>
              </w:rPr>
              <w:t>).</w:t>
            </w:r>
          </w:p>
        </w:tc>
      </w:tr>
      <w:tr>
        <w:trPr>
          <w:cantSplit w:val="true"/>
        </w:trPr>
        <w:tc>
          <w:tcPr>
            <w:tcW w:type="dxa" w:w="1197"/>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Options-on-futures surface</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Ingest option definitions, quotes, trades, settlement, underlying mapping, rates, and exercise style. Reject static arbitrage violations or flag them before fitting.</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Quote facts in Iceberg; calibrated surface parameters and diagnostics in Postgres/ML artifact store; partition by underlying/expiry/observation time.</w:t>
            </w:r>
          </w:p>
        </w:tc>
        <w:tc>
          <w:tcPr>
            <w:tcW w:type="dxa" w:w="1992"/>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Serve total variance/interpolated IV with model, fit error, arbitrage flags, and source snapshot.</w:t>
            </w:r>
          </w:p>
        </w:tc>
        <w:tc>
          <w:tcPr>
            <w:tcW w:type="dxa" w:w="20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QuantLib; py_vollib/vectorized numerical code; vendor CVOL as an independent benchmark. CME CVOL derives implied-volatility information from options and publishes methodology/FAQ, but it is a benchmark, not a substitute for preserving quotes (</w:t>
            </w:r>
            <w:hyperlink r:id="rId32">
              <w:r>
                <w:rPr>
                  <w:color w:val="2E74B5"/>
                  <w:u w:val="single"/>
                </w:rPr>
                <w:t xml:space="preserve">CME CVOL</w:t>
              </w:r>
            </w:hyperlink>
            <w:r>
              <w:rPr>
                <w:rFonts w:ascii="Calibri" w:hAnsi="Calibri"/>
                <w:color w:val="20262E"/>
                <w:sz w:val="16"/>
              </w:rPr>
              <w:t>).</w:t>
            </w:r>
          </w:p>
        </w:tc>
      </w:tr>
      <w:tr>
        <w:trPr>
          <w:cantSplit w:val="true"/>
        </w:trPr>
        <w:tc>
          <w:tcPr>
            <w:tcW w:type="dxa" w:w="1197"/>
            <w:tcMar>
              <w:top w:w="80" w:type="dxa"/>
              <w:start w:w="120" w:type="dxa"/>
              <w:bottom w:w="80" w:type="dxa"/>
              <w:end w:w="120" w:type="dxa"/>
            </w:tcMar>
            <w:vAlign w:val="top"/>
          </w:tcPr>
          <w:p>
            <w:pPr>
              <w:spacing w:before="0" w:after="60" w:line="252" w:lineRule="auto"/>
            </w:pPr>
            <w:r>
              <w:rPr>
                <w:rFonts w:ascii="Calibri" w:hAnsi="Calibri"/>
                <w:b/>
                <w:color w:val="20262E"/>
                <w:sz w:val="16"/>
              </w:rPr>
              <w:t>Alternative/news data</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Capture source rights, document timestamp, first-seen timestamp, edits, entity resolution, language, and model/parser version. Quarantine unverifiable timestamps.</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Immutable document store plus embeddings keyed to content hash; structured facts bitemporal.</w:t>
            </w:r>
          </w:p>
        </w:tc>
        <w:tc>
          <w:tcPr>
            <w:tcW w:type="dxa" w:w="1992"/>
            <w:tcMar>
              <w:top w:w="80" w:type="dxa"/>
              <w:start w:w="120" w:type="dxa"/>
              <w:bottom w:w="80" w:type="dxa"/>
              <w:end w:w="120" w:type="dxa"/>
            </w:tcMar>
            <w:vAlign w:val="top"/>
          </w:tcPr>
          <w:p>
            <w:pPr>
              <w:spacing w:before="0" w:after="60" w:line="252" w:lineRule="auto"/>
            </w:pPr>
            <w:r>
              <w:rPr>
                <w:rFonts w:ascii="Calibri" w:hAnsi="Calibri"/>
                <w:color w:val="20262E"/>
                <w:sz w:val="16"/>
              </w:rPr>
              <w:t xml:space="preserve">Retrieval must filter </w:t>
            </w:r>
            <w:r>
              <w:rPr>
                <w:rFonts w:ascii="Calibri" w:hAnsi="Calibri"/>
                <w:color w:val="1F4D78"/>
                <w:sz w:val="16"/>
                <w:shd w:fill="EEF2F6"/>
              </w:rPr>
              <w:t>first_seen &lt;= decision_time</w:t>
            </w:r>
            <w:r>
              <w:rPr>
                <w:rFonts w:ascii="Calibri" w:hAnsi="Calibri"/>
                <w:color w:val="20262E"/>
                <w:sz w:val="16"/>
              </w:rPr>
              <w:t>; LLM summaries are derived artifacts, never facts.</w:t>
            </w:r>
          </w:p>
        </w:tc>
        <w:tc>
          <w:tcPr>
            <w:tcW w:type="dxa" w:w="2059"/>
            <w:tcMar>
              <w:top w:w="80" w:type="dxa"/>
              <w:start w:w="120" w:type="dxa"/>
              <w:bottom w:w="80" w:type="dxa"/>
              <w:end w:w="120" w:type="dxa"/>
            </w:tcMar>
            <w:vAlign w:val="top"/>
          </w:tcPr>
          <w:p>
            <w:pPr>
              <w:spacing w:before="0" w:after="60" w:line="252" w:lineRule="auto"/>
            </w:pPr>
            <w:r>
              <w:rPr>
                <w:rFonts w:ascii="Calibri" w:hAnsi="Calibri"/>
                <w:color w:val="20262E"/>
                <w:sz w:val="16"/>
              </w:rPr>
              <w:t>GDELT/RSS and official releases; OpenSearch; a vector DB. Cheap sources have unstable timestamps and licensing; high-quality feeds are expensive but operationally clearer.</w:t>
            </w:r>
          </w:p>
        </w:tc>
      </w:tr>
      <w:tr>
        <w:trPr>
          <w:cantSplit w:val="true"/>
        </w:trPr>
        <w:tc>
          <w:tcPr>
            <w:tcW w:type="dxa" w:w="1197"/>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Own execution exhaust (paper/shadow)</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Persist every intent, risk decision, simulated order, acknowledgement, cancellation, fill, book state, clock, and model version. Reconcile state-machine transitions and P&amp;L identities.</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Append-only event log in Kafka/NATS plus Iceberg archive; hot relational read model.</w:t>
            </w:r>
          </w:p>
        </w:tc>
        <w:tc>
          <w:tcPr>
            <w:tcW w:type="dxa" w:w="1992"/>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Deterministic replay; slippage attribution by decision, arrival, and fill benchmarks.</w:t>
            </w:r>
          </w:p>
        </w:tc>
        <w:tc>
          <w:tcPr>
            <w:tcW w:type="dxa" w:w="20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Kafka + Postgres; NATS JetStream + TimescaleDB; event-sourced custom Rust service. Kafka offers ordered records within a partition and transactional semantics; JetStream adds persistence/replay to Core NATS's at-most-once messaging (</w:t>
            </w:r>
            <w:hyperlink r:id="rId33">
              <w:r>
                <w:rPr>
                  <w:color w:val="2E74B5"/>
                  <w:u w:val="single"/>
                </w:rPr>
                <w:t xml:space="preserve">Kafka design</w:t>
              </w:r>
            </w:hyperlink>
            <w:r>
              <w:rPr>
                <w:rFonts w:ascii="Calibri" w:hAnsi="Calibri"/>
                <w:color w:val="20262E"/>
                <w:sz w:val="16"/>
              </w:rPr>
              <w:t xml:space="preserve">; </w:t>
            </w:r>
            <w:hyperlink r:id="rId34">
              <w:r>
                <w:rPr>
                  <w:color w:val="2E74B5"/>
                  <w:u w:val="single"/>
                </w:rPr>
                <w:t xml:space="preserve">NATS JetStream</w:t>
              </w:r>
            </w:hyperlink>
            <w:r>
              <w:rPr>
                <w:rFonts w:ascii="Calibri" w:hAnsi="Calibri"/>
                <w:color w:val="20262E"/>
                <w:sz w:val="16"/>
              </w:rPr>
              <w:t>).</w:t>
            </w:r>
          </w:p>
        </w:tc>
      </w:tr>
      <w:tr>
        <w:trPr>
          <w:cantSplit w:val="true"/>
        </w:trPr>
        <w:tc>
          <w:tcPr>
            <w:tcW w:type="dxa" w:w="1197"/>
            <w:tcMar>
              <w:top w:w="80" w:type="dxa"/>
              <w:start w:w="120" w:type="dxa"/>
              <w:bottom w:w="80" w:type="dxa"/>
              <w:end w:w="120" w:type="dxa"/>
            </w:tcMar>
            <w:vAlign w:val="top"/>
          </w:tcPr>
          <w:p>
            <w:pPr>
              <w:spacing w:before="0" w:after="60" w:line="252" w:lineRule="auto"/>
            </w:pPr>
            <w:r>
              <w:rPr>
                <w:rFonts w:ascii="Calibri" w:hAnsi="Calibri"/>
                <w:b/>
                <w:color w:val="20262E"/>
                <w:sz w:val="16"/>
              </w:rPr>
              <w:t>Experiments, models, and features</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Log code commit, container digest, data snapshot, parameter search space, seed, split manifest, metric definitions, and test-budget debit. Validate signature and dependency lock.</w:t>
            </w:r>
          </w:p>
        </w:tc>
        <w:tc>
          <w:tcPr>
            <w:tcW w:type="dxa" w:w="2056"/>
            <w:tcMar>
              <w:top w:w="80" w:type="dxa"/>
              <w:start w:w="120" w:type="dxa"/>
              <w:bottom w:w="80" w:type="dxa"/>
              <w:end w:w="120" w:type="dxa"/>
            </w:tcMar>
            <w:vAlign w:val="top"/>
          </w:tcPr>
          <w:p>
            <w:pPr>
              <w:spacing w:before="0" w:after="60" w:line="252" w:lineRule="auto"/>
            </w:pPr>
            <w:r>
              <w:rPr>
                <w:rFonts w:ascii="Calibri" w:hAnsi="Calibri"/>
                <w:color w:val="20262E"/>
                <w:sz w:val="16"/>
              </w:rPr>
              <w:t>MLflow-compatible metadata, OCI registry, object store; feature definitions in Git; large arrays in Parquet/Zarr.</w:t>
            </w:r>
          </w:p>
        </w:tc>
        <w:tc>
          <w:tcPr>
            <w:tcW w:type="dxa" w:w="1992"/>
            <w:tcMar>
              <w:top w:w="80" w:type="dxa"/>
              <w:start w:w="120" w:type="dxa"/>
              <w:bottom w:w="80" w:type="dxa"/>
              <w:end w:w="120" w:type="dxa"/>
            </w:tcMar>
            <w:vAlign w:val="top"/>
          </w:tcPr>
          <w:p>
            <w:pPr>
              <w:spacing w:before="0" w:after="60" w:line="252" w:lineRule="auto"/>
            </w:pPr>
            <w:r>
              <w:rPr>
                <w:rFonts w:ascii="Calibri" w:hAnsi="Calibri"/>
                <w:color w:val="20262E"/>
                <w:sz w:val="16"/>
              </w:rPr>
              <w:t>Registry serves immutable bundles; promotion creates a new signed manifest, never mutates a prior model.</w:t>
            </w:r>
          </w:p>
        </w:tc>
        <w:tc>
          <w:tcPr>
            <w:tcW w:type="dxa" w:w="2059"/>
            <w:tcMar>
              <w:top w:w="80" w:type="dxa"/>
              <w:start w:w="120" w:type="dxa"/>
              <w:bottom w:w="80" w:type="dxa"/>
              <w:end w:w="120" w:type="dxa"/>
            </w:tcMar>
            <w:vAlign w:val="top"/>
          </w:tcPr>
          <w:p>
            <w:pPr>
              <w:spacing w:before="0" w:after="60" w:line="252" w:lineRule="auto"/>
            </w:pPr>
            <w:r>
              <w:rPr>
                <w:rFonts w:ascii="Calibri" w:hAnsi="Calibri"/>
                <w:color w:val="20262E"/>
                <w:sz w:val="16"/>
              </w:rPr>
              <w:t>MLflow; DVC/lakeFS; Weights &amp; Biases if hosted convenience is worth lock-in.</w:t>
            </w:r>
          </w:p>
        </w:tc>
      </w:tr>
      <w:tr>
        <w:trPr>
          <w:cantSplit w:val="true"/>
        </w:trPr>
        <w:tc>
          <w:tcPr>
            <w:tcW w:type="dxa" w:w="1197"/>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Agent and platform telemetry</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OpenTelemetry traces around mission, tool, artifact, policy, evaluation, and workflow transitions; redact secrets and market-data entitlements.</w:t>
            </w:r>
          </w:p>
        </w:tc>
        <w:tc>
          <w:tcPr>
            <w:tcW w:type="dxa" w:w="205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Trace backend plus metrics/log stores; cold archive with retention classes.</w:t>
            </w:r>
          </w:p>
        </w:tc>
        <w:tc>
          <w:tcPr>
            <w:tcW w:type="dxa" w:w="1992"/>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Join trace IDs to lineage and promotion evidence; track retries, tool failures, token use, policy denials, and artifact validity.</w:t>
            </w:r>
          </w:p>
        </w:tc>
        <w:tc>
          <w:tcPr>
            <w:tcW w:type="dxa" w:w="20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OpenTelemetry + Prometheus/Grafana/Tempo; ClickHouse; vendor APM. OTel semantic conventions were 1.44.0 when checked and now include GenAI-oriented observability work (</w:t>
            </w:r>
            <w:hyperlink r:id="rId35">
              <w:r>
                <w:rPr>
                  <w:color w:val="2E74B5"/>
                  <w:u w:val="single"/>
                </w:rPr>
                <w:t xml:space="preserve">OTel conventions</w:t>
              </w:r>
            </w:hyperlink>
            <w:r>
              <w:rPr>
                <w:rFonts w:ascii="Calibri" w:hAnsi="Calibri"/>
                <w:color w:val="20262E"/>
                <w:sz w:val="16"/>
              </w:rPr>
              <w:t xml:space="preserve">; </w:t>
            </w:r>
            <w:hyperlink r:id="rId36">
              <w:r>
                <w:rPr>
                  <w:color w:val="2E74B5"/>
                  <w:u w:val="single"/>
                </w:rPr>
                <w:t xml:space="preserve">GenAI observability</w:t>
              </w:r>
            </w:hyperlink>
            <w:r>
              <w:rPr>
                <w:rFonts w:ascii="Calibri" w:hAnsi="Calibri"/>
                <w:color w:val="20262E"/>
                <w:sz w:val="16"/>
              </w:rPr>
              <w:t>).</w:t>
            </w:r>
          </w:p>
        </w:tc>
      </w:tr>
    </w:tbl>
    <w:p>
      <w:pPr>
        <w:spacing w:after="40"/>
      </w:pPr>
    </w:p>
    <w:p>
      <w:pPr>
        <w:pStyle w:val="Heading2"/>
      </w:pPr>
      <w:r>
        <w:t>1.3 Point-in-time gates and leak tests</w:t>
      </w:r>
    </w:p>
    <w:p>
      <w:r>
        <w:rPr>
          <w:b/>
        </w:rPr>
        <w:t>Established practice.</w:t>
      </w:r>
      <w:r>
        <w:t xml:space="preserve"> Make the feature store a compiler from versioned facts, not a cache of columns. A feature definition declares inputs, lookback, window closure, missing-value rule, availability lag, transformation state, and output type. Compilation emits both online and historical functions from the same specification. The historical materialization job refuses an input without </w:t>
      </w:r>
      <w:r>
        <w:rPr>
          <w:rFonts w:ascii="Consolas" w:hAnsi="Consolas"/>
          <w:color w:val="1F4D78"/>
          <w:sz w:val="18"/>
          <w:shd w:fill="EEF2F6"/>
        </w:rPr>
        <w:t>available_at</w:t>
      </w:r>
      <w:r>
        <w:t>.</w:t>
      </w:r>
    </w:p>
    <w:p>
      <w:r>
        <w:t>Run these automated gates before any experiment:</w:t>
      </w:r>
    </w:p>
    <w:p>
      <w:pPr>
        <w:numPr>
          <w:ilvl w:val="0"/>
          <w:numId w:val="12"/>
        </w:numPr>
        <w:spacing w:after="80" w:line="300" w:lineRule="auto"/>
      </w:pPr>
      <w:r>
        <w:rPr>
          <w:b/>
        </w:rPr>
        <w:t>Future-shift test:</w:t>
      </w:r>
      <w:r>
        <w:t xml:space="preserve"> shift every input's availability forward by one event; a decision at time </w:t>
      </w:r>
      <w:r>
        <w:rPr>
          <w:rFonts w:ascii="Consolas" w:hAnsi="Consolas"/>
          <w:color w:val="1F4D78"/>
          <w:sz w:val="18"/>
          <w:shd w:fill="EEF2F6"/>
        </w:rPr>
        <w:t>t</w:t>
      </w:r>
      <w:r>
        <w:t xml:space="preserve"> must not change until the shifted input becomes available.</w:t>
      </w:r>
    </w:p>
    <w:p>
      <w:pPr>
        <w:numPr>
          <w:ilvl w:val="0"/>
          <w:numId w:val="12"/>
        </w:numPr>
        <w:spacing w:after="80" w:line="300" w:lineRule="auto"/>
      </w:pPr>
      <w:r>
        <w:rPr>
          <w:b/>
        </w:rPr>
        <w:t>Vintage replay test:</w:t>
      </w:r>
      <w:r>
        <w:t xml:space="preserve"> reproduce a past run from the exact Iceberg snapshot. Iceberg's snapshot/time-travel and atomic commit model support this pattern (</w:t>
      </w:r>
      <w:hyperlink r:id="rId37">
        <w:r>
          <w:rPr>
            <w:color w:val="2E74B5"/>
            <w:u w:val="single"/>
          </w:rPr>
          <w:t xml:space="preserve">Iceberg queries</w:t>
        </w:r>
      </w:hyperlink>
      <w:r>
        <w:t xml:space="preserve">; </w:t>
      </w:r>
      <w:hyperlink r:id="rId38">
        <w:r>
          <w:rPr>
            <w:color w:val="2E74B5"/>
            <w:u w:val="single"/>
          </w:rPr>
          <w:t xml:space="preserve">Iceberg reliability</w:t>
        </w:r>
      </w:hyperlink>
      <w:r>
        <w:t>).</w:t>
      </w:r>
    </w:p>
    <w:p>
      <w:pPr>
        <w:numPr>
          <w:ilvl w:val="0"/>
          <w:numId w:val="12"/>
        </w:numPr>
        <w:spacing w:after="80" w:line="300" w:lineRule="auto"/>
      </w:pPr>
      <w:r>
        <w:rPr>
          <w:b/>
        </w:rPr>
        <w:t>Tail-mutation test:</w:t>
      </w:r>
      <w:r>
        <w:t xml:space="preserve"> randomize data after each split boundary; training features and model state before the boundary must remain bit-identical.</w:t>
      </w:r>
    </w:p>
    <w:p>
      <w:pPr>
        <w:numPr>
          <w:ilvl w:val="0"/>
          <w:numId w:val="12"/>
        </w:numPr>
        <w:spacing w:after="80" w:line="300" w:lineRule="auto"/>
      </w:pPr>
      <w:r>
        <w:rPr>
          <w:b/>
        </w:rPr>
        <w:t>Clock-order test:</w:t>
      </w:r>
      <w:r>
        <w:t xml:space="preserve"> assert </w:t>
      </w:r>
      <w:r>
        <w:rPr>
          <w:rFonts w:ascii="Consolas" w:hAnsi="Consolas"/>
          <w:color w:val="1F4D78"/>
          <w:sz w:val="18"/>
          <w:shd w:fill="EEF2F6"/>
        </w:rPr>
        <w:t>event_time &lt;= receive_time &lt;= ingest_time</w:t>
      </w:r>
      <w:r>
        <w:t xml:space="preserve"> only where the source contract warrants it; late or clock-skewed events are flags, not silently rewritten facts.</w:t>
      </w:r>
    </w:p>
    <w:p>
      <w:pPr>
        <w:numPr>
          <w:ilvl w:val="0"/>
          <w:numId w:val="12"/>
        </w:numPr>
        <w:spacing w:after="80" w:line="300" w:lineRule="auto"/>
      </w:pPr>
      <w:r>
        <w:rPr>
          <w:b/>
        </w:rPr>
        <w:t>Cross-frequency closure test:</w:t>
      </w:r>
      <w:r>
        <w:t xml:space="preserve"> a five-minute bar becomes available after its final contributing event plus processing lag, not at its label timestamp by convention.</w:t>
      </w:r>
    </w:p>
    <w:p>
      <w:pPr>
        <w:numPr>
          <w:ilvl w:val="0"/>
          <w:numId w:val="12"/>
        </w:numPr>
        <w:spacing w:after="80" w:line="300" w:lineRule="auto"/>
      </w:pPr>
      <w:r>
        <w:rPr>
          <w:b/>
        </w:rPr>
        <w:t>Roll-map freeze test:</w:t>
      </w:r>
      <w:r>
        <w:t xml:space="preserve"> recomputing a volume-based roll with future volume must fail snapshot equality.</w:t>
      </w:r>
    </w:p>
    <w:p>
      <w:pPr>
        <w:numPr>
          <w:ilvl w:val="0"/>
          <w:numId w:val="12"/>
        </w:numPr>
        <w:spacing w:after="80" w:line="300" w:lineRule="auto"/>
      </w:pPr>
      <w:r>
        <w:rPr>
          <w:b/>
        </w:rPr>
        <w:t>Revision test:</w:t>
      </w:r>
      <w:r>
        <w:t xml:space="preserve"> a revised macro observation changes only decisions after the revision's first-seen time.</w:t>
      </w:r>
    </w:p>
    <w:p>
      <w:pPr>
        <w:pStyle w:val="Heading2"/>
      </w:pPr>
      <w:r>
        <w:t>1.4 Storage and serving blueprint</w:t>
      </w:r>
    </w:p>
    <w:p>
      <w:r>
        <w:t xml:space="preserve">Use three temperatures. </w:t>
      </w:r>
      <w:r>
        <w:rPr>
          <w:b/>
        </w:rPr>
        <w:t>Cold truth:</w:t>
      </w:r>
      <w:r>
        <w:t xml:space="preserve"> object storage plus Iceberg for immutable events, derived facts, snapshots, schema/partition evolution, and audit. </w:t>
      </w:r>
      <w:r>
        <w:rPr>
          <w:b/>
        </w:rPr>
        <w:t>Warm analysis:</w:t>
      </w:r>
      <w:r>
        <w:t xml:space="preserve"> DuckDB/Polars and distributed Ray/Dask workers scan selected snapshots. </w:t>
      </w:r>
      <w:r>
        <w:rPr>
          <w:b/>
        </w:rPr>
        <w:t>Hot state:</w:t>
      </w:r>
      <w:r>
        <w:t xml:space="preserve"> Postgres/TimescaleDB holds contract/rule masters, recent bars, paper positions, and dashboards. Neo4j stores lineage and knowledge relationships, not tick facts; a vector database stores text retrieval indexes, not authoritative numeric values; Snowflake is optional for cross-domain analytics, not the lowest-latency source.</w:t>
      </w:r>
    </w:p>
    <w:p>
      <w:r>
        <w:t>Partition for pruning, not for conceptual elegance. Use coarse date/hour partitions and hash buckets for high-cardinality instruments; avoid a directory per symbol per minute. Target compacted Parquet files large enough for efficient scans. Iceberg hidden partitioning and partition evolution reduce query coupling to layout (</w:t>
      </w:r>
      <w:hyperlink r:id="rId39">
        <w:r>
          <w:rPr>
            <w:color w:val="2E74B5"/>
            <w:u w:val="single"/>
          </w:rPr>
          <w:t xml:space="preserve">Iceberg documentation</w:t>
        </w:r>
      </w:hyperlink>
      <w:r>
        <w:t>). Timescale hypertables and continuous aggregates are useful for operational windows, but they do not replace immutable snapshots (</w:t>
      </w:r>
      <w:hyperlink r:id="rId40">
        <w:r>
          <w:rPr>
            <w:color w:val="2E74B5"/>
            <w:u w:val="single"/>
          </w:rPr>
          <w:t xml:space="preserve">Timescale hypertables</w:t>
        </w:r>
      </w:hyperlink>
      <w:r>
        <w:t xml:space="preserve">; </w:t>
      </w:r>
      <w:hyperlink r:id="rId41">
        <w:r>
          <w:rPr>
            <w:color w:val="2E74B5"/>
            <w:u w:val="single"/>
          </w:rPr>
          <w:t xml:space="preserve">continuous aggregates</w:t>
        </w:r>
      </w:hyperlink>
      <w:r>
        <w:t>).</w:t>
      </w:r>
    </w:p>
    <w:p>
      <w:pPr>
        <w:shd w:fill="E8EEF5"/>
        <w:pBdr>
          <w:left w:val="single" w:sz="18" w:space="6" w:color="2E74B5"/>
        </w:pBdr>
        <w:ind w:left="160" w:right="160"/>
        <w:spacing w:before="90" w:after="90"/>
      </w:pPr>
      <w:r>
        <w:rPr>
          <w:b/>
        </w:rPr>
        <w:t>CELL//OS mapping.</w:t>
      </w:r>
      <w:r>
        <w:t xml:space="preserve"> Memory &amp; Data owns Iceberg/Postgres/Timescale/Neo4j; Event/Telemetry owns Kafka or NATS and OpenTelemetry; the Domain Pane supplies the canonical futures envelope, contract master, bar compiler, and PIT join service. The Data Steward Operative can propose mappings and triage failures, but only typed ingestion/validation services commit data. Crucible runs leak and replay gates before a dataset is eligible for research.</w:t>
      </w:r>
    </w:p>
    <w:p>
      <w:r>
        <w:br w:type="page"/>
      </w:r>
    </w:p>
    <w:p>
      <w:pPr>
        <w:pStyle w:val="Heading1"/>
      </w:pPr>
      <w:r>
        <w:t>2. Model types, categorized by use case</w:t>
      </w:r>
    </w:p>
    <w:p>
      <w:pPr>
        <w:pStyle w:val="Heading2"/>
      </w:pPr>
      <w:r>
        <w:t>2.1 Baselines before sophistication</w:t>
      </w:r>
    </w:p>
    <w:p>
      <w:r>
        <w:t>The primary prediction target should be modest: conditional sign, expected return net of estimated friction, volatility, event risk, or fill probability over a declared horizon. The platform should test a zero forecast, persistence, historical mean, simple seasonal profile, regularized linear/logistic model, and a small gradient-boosted tree before any deep architecture. Complex models must win on the identical splits, cost surface, feature availability, and search budget.</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1872"/>
        <w:gridCol w:w="1872"/>
        <w:gridCol w:w="1872"/>
        <w:gridCol w:w="1872"/>
        <w:gridCol w:w="1872"/>
      </w:tblGrid>
      <w:tr>
        <w:trPr>
          <w:tblHeader w:val="true"/>
          <w:cantSplit w:val="true"/>
        </w:trPr>
        <w:tc>
          <w:tcPr>
            <w:tcW w:type="dxa" w:w="1425"/>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Use case</w:t>
            </w:r>
          </w:p>
        </w:tc>
        <w:tc>
          <w:tcPr>
            <w:tcW w:type="dxa" w:w="173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Model family</w:t>
            </w:r>
          </w:p>
        </w:tc>
        <w:tc>
          <w:tcPr>
            <w:tcW w:type="dxa" w:w="1206"/>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Status</w:t>
            </w:r>
          </w:p>
        </w:tc>
        <w:tc>
          <w:tcPr>
            <w:tcW w:type="dxa" w:w="2136"/>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Best role in this platform</w:t>
            </w:r>
          </w:p>
        </w:tc>
        <w:tc>
          <w:tcPr>
            <w:tcW w:type="dxa" w:w="2854"/>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Principal failure mode</w:t>
            </w:r>
          </w:p>
        </w:tc>
      </w:tr>
      <w:tr>
        <w:trPr>
          <w:cantSplit w:val="true"/>
        </w:trPr>
        <w:tc>
          <w:tcPr>
            <w:tcW w:type="dxa" w:w="1425"/>
            <w:tcMar>
              <w:top w:w="80" w:type="dxa"/>
              <w:start w:w="120" w:type="dxa"/>
              <w:bottom w:w="80" w:type="dxa"/>
              <w:end w:w="120" w:type="dxa"/>
            </w:tcMar>
            <w:vAlign w:val="top"/>
          </w:tcPr>
          <w:p>
            <w:pPr>
              <w:spacing w:before="0" w:after="60" w:line="252" w:lineRule="auto"/>
            </w:pPr>
            <w:r>
              <w:rPr>
                <w:rFonts w:ascii="Calibri" w:hAnsi="Calibri"/>
                <w:color w:val="20262E"/>
                <w:sz w:val="16"/>
              </w:rPr>
              <w:t>Latent fair value, dynamic beta, volatility</w:t>
            </w:r>
          </w:p>
        </w:tc>
        <w:tc>
          <w:tcPr>
            <w:tcW w:type="dxa" w:w="1739"/>
            <w:tcMar>
              <w:top w:w="80" w:type="dxa"/>
              <w:start w:w="120" w:type="dxa"/>
              <w:bottom w:w="80" w:type="dxa"/>
              <w:end w:w="120" w:type="dxa"/>
            </w:tcMar>
            <w:vAlign w:val="top"/>
          </w:tcPr>
          <w:p>
            <w:pPr>
              <w:spacing w:before="0" w:after="60" w:line="252" w:lineRule="auto"/>
            </w:pPr>
            <w:r>
              <w:rPr>
                <w:rFonts w:ascii="Calibri" w:hAnsi="Calibri"/>
                <w:color w:val="20262E"/>
                <w:sz w:val="16"/>
              </w:rPr>
              <w:t>Kalman/structural state-space, stochastic volatility</w:t>
            </w:r>
          </w:p>
        </w:tc>
        <w:tc>
          <w:tcPr>
            <w:tcW w:type="dxa" w:w="1206"/>
            <w:tcMar>
              <w:top w:w="80" w:type="dxa"/>
              <w:start w:w="120" w:type="dxa"/>
              <w:bottom w:w="80" w:type="dxa"/>
              <w:end w:w="120" w:type="dxa"/>
            </w:tcMar>
            <w:vAlign w:val="top"/>
          </w:tcPr>
          <w:p>
            <w:pPr>
              <w:spacing w:before="0" w:after="60" w:line="252" w:lineRule="auto"/>
            </w:pPr>
            <w:r>
              <w:rPr>
                <w:rFonts w:ascii="Calibri" w:hAnsi="Calibri"/>
                <w:b/>
                <w:color w:val="20262E"/>
                <w:sz w:val="16"/>
              </w:rPr>
              <w:t>Established</w:t>
            </w:r>
          </w:p>
        </w:tc>
        <w:tc>
          <w:tcPr>
            <w:tcW w:type="dxa" w:w="2136"/>
            <w:tcMar>
              <w:top w:w="80" w:type="dxa"/>
              <w:start w:w="120" w:type="dxa"/>
              <w:bottom w:w="80" w:type="dxa"/>
              <w:end w:w="120" w:type="dxa"/>
            </w:tcMar>
            <w:vAlign w:val="top"/>
          </w:tcPr>
          <w:p>
            <w:pPr>
              <w:spacing w:before="0" w:after="60" w:line="252" w:lineRule="auto"/>
            </w:pPr>
            <w:r>
              <w:rPr>
                <w:rFonts w:ascii="Calibri" w:hAnsi="Calibri"/>
                <w:color w:val="20262E"/>
                <w:sz w:val="16"/>
              </w:rPr>
              <w:t>Filtering noisy observations; dynamic hedge ratios; uncertainty-aware state estimates</w:t>
            </w:r>
          </w:p>
        </w:tc>
        <w:tc>
          <w:tcPr>
            <w:tcW w:type="dxa" w:w="2854"/>
            <w:tcMar>
              <w:top w:w="80" w:type="dxa"/>
              <w:start w:w="120" w:type="dxa"/>
              <w:bottom w:w="80" w:type="dxa"/>
              <w:end w:w="120" w:type="dxa"/>
            </w:tcMar>
            <w:vAlign w:val="top"/>
          </w:tcPr>
          <w:p>
            <w:pPr>
              <w:spacing w:before="0" w:after="60" w:line="252" w:lineRule="auto"/>
            </w:pPr>
            <w:r>
              <w:rPr>
                <w:rFonts w:ascii="Calibri" w:hAnsi="Calibri"/>
                <w:color w:val="20262E"/>
                <w:sz w:val="16"/>
              </w:rPr>
              <w:t>Mis-specified transitions; underestimated parameter uncertainty</w:t>
            </w:r>
          </w:p>
        </w:tc>
      </w:tr>
      <w:tr>
        <w:trPr>
          <w:cantSplit w:val="true"/>
        </w:trPr>
        <w:tc>
          <w:tcPr>
            <w:tcW w:type="dxa" w:w="142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Discrete market states</w:t>
            </w:r>
          </w:p>
        </w:tc>
        <w:tc>
          <w:tcPr>
            <w:tcW w:type="dxa" w:w="17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Hidden Markov or Markov-switching models</w:t>
            </w:r>
          </w:p>
        </w:tc>
        <w:tc>
          <w:tcPr>
            <w:tcW w:type="dxa" w:w="1206"/>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Established with caution</w:t>
            </w:r>
          </w:p>
        </w:tc>
        <w:tc>
          <w:tcPr>
            <w:tcW w:type="dxa" w:w="213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Low-dimensional gating variable; scenario stratification</w:t>
            </w:r>
          </w:p>
        </w:tc>
        <w:tc>
          <w:tcPr>
            <w:tcW w:type="dxa" w:w="28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Label switching, unstable state count, retrospective regime certainty. Hamilton's regime-switching formulation remains foundational (</w:t>
            </w:r>
            <w:hyperlink r:id="rId42">
              <w:r>
                <w:rPr>
                  <w:color w:val="2E74B5"/>
                  <w:u w:val="single"/>
                </w:rPr>
                <w:t xml:space="preserve">Hamilton 1989</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tcPr>
          <w:p>
            <w:pPr>
              <w:spacing w:before="0" w:after="60" w:line="252" w:lineRule="auto"/>
            </w:pPr>
            <w:r>
              <w:rPr>
                <w:rFonts w:ascii="Calibri" w:hAnsi="Calibri"/>
                <w:color w:val="20262E"/>
                <w:sz w:val="16"/>
              </w:rPr>
              <w:t>Relative-value relationships</w:t>
            </w:r>
          </w:p>
        </w:tc>
        <w:tc>
          <w:tcPr>
            <w:tcW w:type="dxa" w:w="1739"/>
            <w:tcMar>
              <w:top w:w="80" w:type="dxa"/>
              <w:start w:w="120" w:type="dxa"/>
              <w:bottom w:w="80" w:type="dxa"/>
              <w:end w:w="120" w:type="dxa"/>
            </w:tcMar>
            <w:vAlign w:val="top"/>
          </w:tcPr>
          <w:p>
            <w:pPr>
              <w:spacing w:before="0" w:after="60" w:line="252" w:lineRule="auto"/>
            </w:pPr>
            <w:r>
              <w:rPr>
                <w:rFonts w:ascii="Calibri" w:hAnsi="Calibri"/>
                <w:color w:val="20262E"/>
                <w:sz w:val="16"/>
              </w:rPr>
              <w:t>Engle-Granger/Johansen, error-correction, sparse dynamic regression</w:t>
            </w:r>
          </w:p>
        </w:tc>
        <w:tc>
          <w:tcPr>
            <w:tcW w:type="dxa" w:w="1206"/>
            <w:tcMar>
              <w:top w:w="80" w:type="dxa"/>
              <w:start w:w="120" w:type="dxa"/>
              <w:bottom w:w="80" w:type="dxa"/>
              <w:end w:w="120" w:type="dxa"/>
            </w:tcMar>
            <w:vAlign w:val="top"/>
          </w:tcPr>
          <w:p>
            <w:pPr>
              <w:spacing w:before="0" w:after="60" w:line="252" w:lineRule="auto"/>
            </w:pPr>
            <w:r>
              <w:rPr>
                <w:rFonts w:ascii="Calibri" w:hAnsi="Calibri"/>
                <w:b/>
                <w:color w:val="20262E"/>
                <w:sz w:val="16"/>
              </w:rPr>
              <w:t>Established with caution</w:t>
            </w:r>
          </w:p>
        </w:tc>
        <w:tc>
          <w:tcPr>
            <w:tcW w:type="dxa" w:w="2136"/>
            <w:tcMar>
              <w:top w:w="80" w:type="dxa"/>
              <w:start w:w="120" w:type="dxa"/>
              <w:bottom w:w="80" w:type="dxa"/>
              <w:end w:w="120" w:type="dxa"/>
            </w:tcMar>
            <w:vAlign w:val="top"/>
          </w:tcPr>
          <w:p>
            <w:pPr>
              <w:spacing w:before="0" w:after="60" w:line="252" w:lineRule="auto"/>
            </w:pPr>
            <w:r>
              <w:rPr>
                <w:rFonts w:ascii="Calibri" w:hAnsi="Calibri"/>
                <w:color w:val="20262E"/>
                <w:sz w:val="16"/>
              </w:rPr>
              <w:t>Cross-product diagnostics and slower-horizon residual models</w:t>
            </w:r>
          </w:p>
        </w:tc>
        <w:tc>
          <w:tcPr>
            <w:tcW w:type="dxa" w:w="2854"/>
            <w:tcMar>
              <w:top w:w="80" w:type="dxa"/>
              <w:start w:w="120" w:type="dxa"/>
              <w:bottom w:w="80" w:type="dxa"/>
              <w:end w:w="120" w:type="dxa"/>
            </w:tcMar>
            <w:vAlign w:val="top"/>
          </w:tcPr>
          <w:p>
            <w:pPr>
              <w:spacing w:before="0" w:after="60" w:line="252" w:lineRule="auto"/>
            </w:pPr>
            <w:r>
              <w:rPr>
                <w:rFonts w:ascii="Calibri" w:hAnsi="Calibri"/>
                <w:color w:val="20262E"/>
                <w:sz w:val="16"/>
              </w:rPr>
              <w:t>Structural breaks and repeated pair selection. Cointegration is not guaranteed stationarity of a mechanically chosen spread (</w:t>
            </w:r>
            <w:hyperlink r:id="rId43">
              <w:r>
                <w:rPr>
                  <w:color w:val="2E74B5"/>
                  <w:u w:val="single"/>
                </w:rPr>
                <w:t xml:space="preserve">Engle and Granger 1987</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Event arrivals and order-flow clustering</w:t>
            </w:r>
          </w:p>
        </w:tc>
        <w:tc>
          <w:tcPr>
            <w:tcW w:type="dxa" w:w="17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Hawkes/marked point processes</w:t>
            </w:r>
          </w:p>
        </w:tc>
        <w:tc>
          <w:tcPr>
            <w:tcW w:type="dxa" w:w="1206"/>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Promising, specialist</w:t>
            </w:r>
          </w:p>
        </w:tc>
        <w:tc>
          <w:tcPr>
            <w:tcW w:type="dxa" w:w="213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Explain excitation among trade/cancel/price events; scenario generator; adverse-selection proxy</w:t>
            </w:r>
          </w:p>
        </w:tc>
        <w:tc>
          <w:tcPr>
            <w:tcW w:type="dxa" w:w="28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Nonstationarity, expensive calibration, overinterpretation of kernels. Empirical work shows multivariate Hawkes models can describe mutually excited limit-order, cancel, and execution events (</w:t>
            </w:r>
            <w:hyperlink r:id="rId44">
              <w:r>
                <w:rPr>
                  <w:color w:val="2E74B5"/>
                  <w:u w:val="single"/>
                </w:rPr>
                <w:t xml:space="preserve">Watari et al. 2022</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tcPr>
          <w:p>
            <w:pPr>
              <w:spacing w:before="0" w:after="60" w:line="252" w:lineRule="auto"/>
            </w:pPr>
            <w:r>
              <w:rPr>
                <w:rFonts w:ascii="Calibri" w:hAnsi="Calibri"/>
                <w:color w:val="20262E"/>
                <w:sz w:val="16"/>
              </w:rPr>
              <w:t>Tabular nonlinear prediction</w:t>
            </w:r>
          </w:p>
        </w:tc>
        <w:tc>
          <w:tcPr>
            <w:tcW w:type="dxa" w:w="1739"/>
            <w:tcMar>
              <w:top w:w="80" w:type="dxa"/>
              <w:start w:w="120" w:type="dxa"/>
              <w:bottom w:w="80" w:type="dxa"/>
              <w:end w:w="120" w:type="dxa"/>
            </w:tcMar>
            <w:vAlign w:val="top"/>
          </w:tcPr>
          <w:p>
            <w:pPr>
              <w:spacing w:before="0" w:after="60" w:line="252" w:lineRule="auto"/>
            </w:pPr>
            <w:r>
              <w:rPr>
                <w:rFonts w:ascii="Calibri" w:hAnsi="Calibri"/>
                <w:color w:val="20262E"/>
                <w:sz w:val="16"/>
              </w:rPr>
              <w:t>Gradient boosting, random forests, GAMs</w:t>
            </w:r>
          </w:p>
        </w:tc>
        <w:tc>
          <w:tcPr>
            <w:tcW w:type="dxa" w:w="1206"/>
            <w:tcMar>
              <w:top w:w="80" w:type="dxa"/>
              <w:start w:w="120" w:type="dxa"/>
              <w:bottom w:w="80" w:type="dxa"/>
              <w:end w:w="120" w:type="dxa"/>
            </w:tcMar>
            <w:vAlign w:val="top"/>
          </w:tcPr>
          <w:p>
            <w:pPr>
              <w:spacing w:before="0" w:after="60" w:line="252" w:lineRule="auto"/>
            </w:pPr>
            <w:r>
              <w:rPr>
                <w:rFonts w:ascii="Calibri" w:hAnsi="Calibri"/>
                <w:b/>
                <w:color w:val="20262E"/>
                <w:sz w:val="16"/>
              </w:rPr>
              <w:t>Established</w:t>
            </w:r>
          </w:p>
        </w:tc>
        <w:tc>
          <w:tcPr>
            <w:tcW w:type="dxa" w:w="2136"/>
            <w:tcMar>
              <w:top w:w="80" w:type="dxa"/>
              <w:start w:w="120" w:type="dxa"/>
              <w:bottom w:w="80" w:type="dxa"/>
              <w:end w:w="120" w:type="dxa"/>
            </w:tcMar>
            <w:vAlign w:val="top"/>
          </w:tcPr>
          <w:p>
            <w:pPr>
              <w:spacing w:before="0" w:after="60" w:line="252" w:lineRule="auto"/>
            </w:pPr>
            <w:r>
              <w:rPr>
                <w:rFonts w:ascii="Calibri" w:hAnsi="Calibri"/>
                <w:color w:val="20262E"/>
                <w:sz w:val="16"/>
              </w:rPr>
              <w:t>Default nonlinear baseline; handles interactions and mixed features; supports monotonic constraints</w:t>
            </w:r>
          </w:p>
        </w:tc>
        <w:tc>
          <w:tcPr>
            <w:tcW w:type="dxa" w:w="2854"/>
            <w:tcMar>
              <w:top w:w="80" w:type="dxa"/>
              <w:start w:w="120" w:type="dxa"/>
              <w:bottom w:w="80" w:type="dxa"/>
              <w:end w:w="120" w:type="dxa"/>
            </w:tcMar>
            <w:vAlign w:val="top"/>
          </w:tcPr>
          <w:p>
            <w:pPr>
              <w:spacing w:before="0" w:after="60" w:line="252" w:lineRule="auto"/>
            </w:pPr>
            <w:r>
              <w:rPr>
                <w:rFonts w:ascii="Calibri" w:hAnsi="Calibri"/>
                <w:color w:val="20262E"/>
                <w:sz w:val="16"/>
              </w:rPr>
              <w:t>Leakage through target-derived features; unstable importance under collinearity</w:t>
            </w:r>
          </w:p>
        </w:tc>
      </w:tr>
      <w:tr>
        <w:trPr>
          <w:cantSplit w:val="true"/>
        </w:trPr>
        <w:tc>
          <w:tcPr>
            <w:tcW w:type="dxa" w:w="142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Decision filtering</w:t>
            </w:r>
          </w:p>
        </w:tc>
        <w:tc>
          <w:tcPr>
            <w:tcW w:type="dxa" w:w="17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Meta-labeling after a fixed primary rule</w:t>
            </w:r>
          </w:p>
        </w:tc>
        <w:tc>
          <w:tcPr>
            <w:tcW w:type="dxa" w:w="1206"/>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Promising</w:t>
            </w:r>
          </w:p>
        </w:tc>
        <w:tc>
          <w:tcPr>
            <w:tcW w:type="dxa" w:w="213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Estimate whether to accept/skip a pre-specified signal; calibrate probability</w:t>
            </w:r>
          </w:p>
        </w:tc>
        <w:tc>
          <w:tcPr>
            <w:tcW w:type="dxa" w:w="28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Doubles search surface and often hides a weak primary rule. Triple-barrier labels are volatility-scaled event outcomes, not a substitute for an economic hypothesis (</w:t>
            </w:r>
            <w:hyperlink r:id="rId45">
              <w:r>
                <w:rPr>
                  <w:color w:val="2E74B5"/>
                  <w:u w:val="single"/>
                </w:rPr>
                <w:t xml:space="preserve">mlfinpy labeling docs</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tcPr>
          <w:p>
            <w:pPr>
              <w:spacing w:before="0" w:after="60" w:line="252" w:lineRule="auto"/>
            </w:pPr>
            <w:r>
              <w:rPr>
                <w:rFonts w:ascii="Calibri" w:hAnsi="Calibri"/>
                <w:color w:val="20262E"/>
                <w:sz w:val="16"/>
              </w:rPr>
              <w:t>Multi-horizon forecasts with known covariates</w:t>
            </w:r>
          </w:p>
        </w:tc>
        <w:tc>
          <w:tcPr>
            <w:tcW w:type="dxa" w:w="1739"/>
            <w:tcMar>
              <w:top w:w="80" w:type="dxa"/>
              <w:start w:w="120" w:type="dxa"/>
              <w:bottom w:w="80" w:type="dxa"/>
              <w:end w:w="120" w:type="dxa"/>
            </w:tcMar>
            <w:vAlign w:val="top"/>
          </w:tcPr>
          <w:p>
            <w:pPr>
              <w:spacing w:before="0" w:after="60" w:line="252" w:lineRule="auto"/>
            </w:pPr>
            <w:r>
              <w:rPr>
                <w:rFonts w:ascii="Calibri" w:hAnsi="Calibri"/>
                <w:color w:val="20262E"/>
                <w:sz w:val="16"/>
              </w:rPr>
              <w:t>TFT</w:t>
            </w:r>
          </w:p>
        </w:tc>
        <w:tc>
          <w:tcPr>
            <w:tcW w:type="dxa" w:w="1206"/>
            <w:tcMar>
              <w:top w:w="80" w:type="dxa"/>
              <w:start w:w="120" w:type="dxa"/>
              <w:bottom w:w="80" w:type="dxa"/>
              <w:end w:w="120" w:type="dxa"/>
            </w:tcMar>
            <w:vAlign w:val="top"/>
          </w:tcPr>
          <w:p>
            <w:pPr>
              <w:spacing w:before="0" w:after="60" w:line="252" w:lineRule="auto"/>
            </w:pPr>
            <w:r>
              <w:rPr>
                <w:rFonts w:ascii="Calibri" w:hAnsi="Calibri"/>
                <w:b/>
                <w:color w:val="20262E"/>
                <w:sz w:val="16"/>
              </w:rPr>
              <w:t>Promising</w:t>
            </w:r>
          </w:p>
        </w:tc>
        <w:tc>
          <w:tcPr>
            <w:tcW w:type="dxa" w:w="2136"/>
            <w:tcMar>
              <w:top w:w="80" w:type="dxa"/>
              <w:start w:w="120" w:type="dxa"/>
              <w:bottom w:w="80" w:type="dxa"/>
              <w:end w:w="120" w:type="dxa"/>
            </w:tcMar>
            <w:vAlign w:val="top"/>
          </w:tcPr>
          <w:p>
            <w:pPr>
              <w:spacing w:before="0" w:after="60" w:line="252" w:lineRule="auto"/>
            </w:pPr>
            <w:r>
              <w:rPr>
                <w:rFonts w:ascii="Calibri" w:hAnsi="Calibri"/>
                <w:color w:val="20262E"/>
                <w:sz w:val="16"/>
              </w:rPr>
              <w:t>Research benchmark when calendars and static/dynamic covariates matter</w:t>
            </w:r>
          </w:p>
        </w:tc>
        <w:tc>
          <w:tcPr>
            <w:tcW w:type="dxa" w:w="2854"/>
            <w:tcMar>
              <w:top w:w="80" w:type="dxa"/>
              <w:start w:w="120" w:type="dxa"/>
              <w:bottom w:w="80" w:type="dxa"/>
              <w:end w:w="120" w:type="dxa"/>
            </w:tcMar>
            <w:vAlign w:val="top"/>
          </w:tcPr>
          <w:p>
            <w:pPr>
              <w:spacing w:before="0" w:after="60" w:line="252" w:lineRule="auto"/>
            </w:pPr>
            <w:r>
              <w:rPr>
                <w:rFonts w:ascii="Calibri" w:hAnsi="Calibri"/>
                <w:color w:val="20262E"/>
                <w:sz w:val="16"/>
              </w:rPr>
              <w:t>High search cost, fragile calibration, benchmark-to-P&amp;L gap. TFT combines local recurrent processing, interpretable attention, feature selection, and gates (</w:t>
            </w:r>
            <w:hyperlink r:id="rId18">
              <w:r>
                <w:rPr>
                  <w:color w:val="2E74B5"/>
                  <w:u w:val="single"/>
                </w:rPr>
                <w:t xml:space="preserve">Google Research / IJF 2021</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Long lookbacks and representation learning</w:t>
            </w:r>
          </w:p>
        </w:tc>
        <w:tc>
          <w:tcPr>
            <w:tcW w:type="dxa" w:w="17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PatchTST or small state-space sequence models</w:t>
            </w:r>
          </w:p>
        </w:tc>
        <w:tc>
          <w:tcPr>
            <w:tcW w:type="dxa" w:w="1206"/>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Promising</w:t>
            </w:r>
          </w:p>
        </w:tc>
        <w:tc>
          <w:tcPr>
            <w:tcW w:type="dxa" w:w="213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Self-supervised representation benchmark; patching reduces attention cost</w:t>
            </w:r>
          </w:p>
        </w:tc>
        <w:tc>
          <w:tcPr>
            <w:tcW w:type="dxa" w:w="28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Dataset sensitivity and no guarantee that forecast loss maps to net return. PatchTST treats subseries patches as tokens and shares weights channel-wise (</w:t>
            </w:r>
            <w:hyperlink r:id="rId19">
              <w:r>
                <w:rPr>
                  <w:color w:val="2E74B5"/>
                  <w:u w:val="single"/>
                </w:rPr>
                <w:t xml:space="preserve">Nie et al.</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tcPr>
          <w:p>
            <w:pPr>
              <w:spacing w:before="0" w:after="60" w:line="252" w:lineRule="auto"/>
            </w:pPr>
            <w:r>
              <w:rPr>
                <w:rFonts w:ascii="Calibri" w:hAnsi="Calibri"/>
                <w:color w:val="20262E"/>
                <w:sz w:val="16"/>
              </w:rPr>
              <w:t>Generic zero-shot forecasting</w:t>
            </w:r>
          </w:p>
        </w:tc>
        <w:tc>
          <w:tcPr>
            <w:tcW w:type="dxa" w:w="1739"/>
            <w:tcMar>
              <w:top w:w="80" w:type="dxa"/>
              <w:start w:w="120" w:type="dxa"/>
              <w:bottom w:w="80" w:type="dxa"/>
              <w:end w:w="120" w:type="dxa"/>
            </w:tcMar>
            <w:vAlign w:val="top"/>
          </w:tcPr>
          <w:p>
            <w:pPr>
              <w:spacing w:before="0" w:after="60" w:line="252" w:lineRule="auto"/>
            </w:pPr>
            <w:r>
              <w:rPr>
                <w:rFonts w:ascii="Calibri" w:hAnsi="Calibri"/>
                <w:color w:val="20262E"/>
                <w:sz w:val="16"/>
              </w:rPr>
              <w:t>TimesFM, Chronos, similar TSFMs</w:t>
            </w:r>
          </w:p>
        </w:tc>
        <w:tc>
          <w:tcPr>
            <w:tcW w:type="dxa" w:w="1206"/>
            <w:tcMar>
              <w:top w:w="80" w:type="dxa"/>
              <w:start w:w="120" w:type="dxa"/>
              <w:bottom w:w="80" w:type="dxa"/>
              <w:end w:w="120" w:type="dxa"/>
            </w:tcMar>
            <w:vAlign w:val="top"/>
          </w:tcPr>
          <w:p>
            <w:pPr>
              <w:spacing w:before="0" w:after="60" w:line="252" w:lineRule="auto"/>
            </w:pPr>
            <w:r>
              <w:rPr>
                <w:rFonts w:ascii="Calibri" w:hAnsi="Calibri"/>
                <w:b/>
                <w:color w:val="20262E"/>
                <w:sz w:val="16"/>
              </w:rPr>
              <w:t>Unproven for alpha</w:t>
            </w:r>
          </w:p>
        </w:tc>
        <w:tc>
          <w:tcPr>
            <w:tcW w:type="dxa" w:w="2136"/>
            <w:tcMar>
              <w:top w:w="80" w:type="dxa"/>
              <w:start w:w="120" w:type="dxa"/>
              <w:bottom w:w="80" w:type="dxa"/>
              <w:end w:w="120" w:type="dxa"/>
            </w:tcMar>
            <w:vAlign w:val="top"/>
          </w:tcPr>
          <w:p>
            <w:pPr>
              <w:spacing w:before="0" w:after="60" w:line="252" w:lineRule="auto"/>
            </w:pPr>
            <w:r>
              <w:rPr>
                <w:rFonts w:ascii="Calibri" w:hAnsi="Calibri"/>
                <w:color w:val="20262E"/>
                <w:sz w:val="16"/>
              </w:rPr>
              <w:t>Feature generator, anomaly baseline, transfer-learning experiment</w:t>
            </w:r>
          </w:p>
        </w:tc>
        <w:tc>
          <w:tcPr>
            <w:tcW w:type="dxa" w:w="2854"/>
            <w:tcMar>
              <w:top w:w="80" w:type="dxa"/>
              <w:start w:w="120" w:type="dxa"/>
              <w:bottom w:w="80" w:type="dxa"/>
              <w:end w:w="120" w:type="dxa"/>
            </w:tcMar>
            <w:vAlign w:val="top"/>
          </w:tcPr>
          <w:p>
            <w:pPr>
              <w:spacing w:before="0" w:after="60" w:line="252" w:lineRule="auto"/>
            </w:pPr>
            <w:r>
              <w:rPr>
                <w:rFonts w:ascii="Calibri" w:hAnsi="Calibri"/>
                <w:color w:val="20262E"/>
                <w:sz w:val="16"/>
              </w:rPr>
              <w:t>Domain mismatch, contamination, wrong loss, large inference cost. TimesFM and Chronos report broad forecasting benchmarks, while finance-focused evidence finds off-the-shelf models weak without domain pretraining (</w:t>
            </w:r>
            <w:hyperlink r:id="rId20">
              <w:r>
                <w:rPr>
                  <w:color w:val="2E74B5"/>
                  <w:u w:val="single"/>
                </w:rPr>
                <w:t xml:space="preserve">TimesFM</w:t>
              </w:r>
            </w:hyperlink>
            <w:r>
              <w:rPr>
                <w:rFonts w:ascii="Calibri" w:hAnsi="Calibri"/>
                <w:color w:val="20262E"/>
                <w:sz w:val="16"/>
              </w:rPr>
              <w:t xml:space="preserve">; </w:t>
            </w:r>
            <w:hyperlink r:id="rId21">
              <w:r>
                <w:rPr>
                  <w:color w:val="2E74B5"/>
                  <w:u w:val="single"/>
                </w:rPr>
                <w:t xml:space="preserve">Chronos</w:t>
              </w:r>
            </w:hyperlink>
            <w:r>
              <w:rPr>
                <w:rFonts w:ascii="Calibri" w:hAnsi="Calibri"/>
                <w:color w:val="20262E"/>
                <w:sz w:val="16"/>
              </w:rPr>
              <w:t xml:space="preserve">; </w:t>
            </w:r>
            <w:hyperlink r:id="rId46">
              <w:r>
                <w:rPr>
                  <w:color w:val="2E74B5"/>
                  <w:u w:val="single"/>
                </w:rPr>
                <w:t xml:space="preserve">Rahimikia et al.</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Sequential control</w:t>
            </w:r>
          </w:p>
        </w:tc>
        <w:tc>
          <w:tcPr>
            <w:tcW w:type="dxa" w:w="17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Offline RL, contextual bandits</w:t>
            </w:r>
          </w:p>
        </w:tc>
        <w:tc>
          <w:tcPr>
            <w:tcW w:type="dxa" w:w="1206"/>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Narrowly promising</w:t>
            </w:r>
          </w:p>
        </w:tc>
        <w:tc>
          <w:tcPr>
            <w:tcW w:type="dxa" w:w="213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Scheduling, execution-policy research, or allocator exploration in a simulator with known constraints</w:t>
            </w:r>
          </w:p>
        </w:tc>
        <w:tc>
          <w:tcPr>
            <w:tcW w:type="dxa" w:w="28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Reward hacking, nonstationarity, extrapolation outside logged policy, simulator exploitation. A survey found that few trading-RL studies jointly include costs, risk metrics, and meaningful baselines (</w:t>
            </w:r>
            <w:hyperlink r:id="rId47">
              <w:r>
                <w:rPr>
                  <w:color w:val="2E74B5"/>
                  <w:u w:val="single"/>
                </w:rPr>
                <w:t xml:space="preserve">Hambly, Xu and Yang 2021</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tcPr>
          <w:p>
            <w:pPr>
              <w:spacing w:before="0" w:after="60" w:line="252" w:lineRule="auto"/>
            </w:pPr>
            <w:r>
              <w:rPr>
                <w:rFonts w:ascii="Calibri" w:hAnsi="Calibri"/>
                <w:color w:val="20262E"/>
                <w:sz w:val="16"/>
              </w:rPr>
              <w:t>Formula discovery</w:t>
            </w:r>
          </w:p>
        </w:tc>
        <w:tc>
          <w:tcPr>
            <w:tcW w:type="dxa" w:w="1739"/>
            <w:tcMar>
              <w:top w:w="80" w:type="dxa"/>
              <w:start w:w="120" w:type="dxa"/>
              <w:bottom w:w="80" w:type="dxa"/>
              <w:end w:w="120" w:type="dxa"/>
            </w:tcMar>
            <w:vAlign w:val="top"/>
          </w:tcPr>
          <w:p>
            <w:pPr>
              <w:spacing w:before="0" w:after="60" w:line="252" w:lineRule="auto"/>
            </w:pPr>
            <w:r>
              <w:rPr>
                <w:rFonts w:ascii="Calibri" w:hAnsi="Calibri"/>
                <w:color w:val="20262E"/>
                <w:sz w:val="16"/>
              </w:rPr>
              <w:t>Genetic programming/evolution strategies</w:t>
            </w:r>
          </w:p>
        </w:tc>
        <w:tc>
          <w:tcPr>
            <w:tcW w:type="dxa" w:w="1206"/>
            <w:tcMar>
              <w:top w:w="80" w:type="dxa"/>
              <w:start w:w="120" w:type="dxa"/>
              <w:bottom w:w="80" w:type="dxa"/>
              <w:end w:w="120" w:type="dxa"/>
            </w:tcMar>
            <w:vAlign w:val="top"/>
          </w:tcPr>
          <w:p>
            <w:pPr>
              <w:spacing w:before="0" w:after="60" w:line="252" w:lineRule="auto"/>
            </w:pPr>
            <w:r>
              <w:rPr>
                <w:rFonts w:ascii="Calibri" w:hAnsi="Calibri"/>
                <w:b/>
                <w:color w:val="20262E"/>
                <w:sz w:val="16"/>
              </w:rPr>
              <w:t>Research only</w:t>
            </w:r>
          </w:p>
        </w:tc>
        <w:tc>
          <w:tcPr>
            <w:tcW w:type="dxa" w:w="2136"/>
            <w:tcMar>
              <w:top w:w="80" w:type="dxa"/>
              <w:start w:w="120" w:type="dxa"/>
              <w:bottom w:w="80" w:type="dxa"/>
              <w:end w:w="120" w:type="dxa"/>
            </w:tcMar>
            <w:vAlign w:val="top"/>
          </w:tcPr>
          <w:p>
            <w:pPr>
              <w:spacing w:before="0" w:after="60" w:line="252" w:lineRule="auto"/>
            </w:pPr>
            <w:r>
              <w:rPr>
                <w:rFonts w:ascii="Calibri" w:hAnsi="Calibri"/>
                <w:color w:val="20262E"/>
                <w:sz w:val="16"/>
              </w:rPr>
              <w:t>Generate interpretable expressions under hard complexity and test budgets</w:t>
            </w:r>
          </w:p>
        </w:tc>
        <w:tc>
          <w:tcPr>
            <w:tcW w:type="dxa" w:w="2854"/>
            <w:tcMar>
              <w:top w:w="80" w:type="dxa"/>
              <w:start w:w="120" w:type="dxa"/>
              <w:bottom w:w="80" w:type="dxa"/>
              <w:end w:w="120" w:type="dxa"/>
            </w:tcMar>
            <w:vAlign w:val="top"/>
          </w:tcPr>
          <w:p>
            <w:pPr>
              <w:spacing w:before="0" w:after="60" w:line="252" w:lineRule="auto"/>
            </w:pPr>
            <w:r>
              <w:rPr>
                <w:rFonts w:ascii="Calibri" w:hAnsi="Calibri"/>
                <w:color w:val="20262E"/>
                <w:sz w:val="16"/>
              </w:rPr>
              <w:t>Massive hidden multiple testing. GP can produce robust-looking out-of-sample results while consuming an enormous effective trial count; complexity penalties help but do not remove multiplicity (</w:t>
            </w:r>
            <w:hyperlink r:id="rId48">
              <w:r>
                <w:rPr>
                  <w:color w:val="2E74B5"/>
                  <w:u w:val="single"/>
                </w:rPr>
                <w:t xml:space="preserve">Berutich et al. 2016</w:t>
              </w:r>
            </w:hyperlink>
            <w:r>
              <w:rPr>
                <w:rFonts w:ascii="Calibri" w:hAnsi="Calibri"/>
                <w:color w:val="20262E"/>
                <w:sz w:val="16"/>
              </w:rPr>
              <w:t>).</w:t>
            </w:r>
          </w:p>
        </w:tc>
      </w:tr>
      <w:tr>
        <w:trPr>
          <w:cantSplit w:val="true"/>
        </w:trPr>
        <w:tc>
          <w:tcPr>
            <w:tcW w:type="dxa" w:w="142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Regime-conditioned combination</w:t>
            </w:r>
          </w:p>
        </w:tc>
        <w:tc>
          <w:tcPr>
            <w:tcW w:type="dxa" w:w="17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Stacking, Bayesian averaging, mixture of experts</w:t>
            </w:r>
          </w:p>
        </w:tc>
        <w:tc>
          <w:tcPr>
            <w:tcW w:type="dxa" w:w="1206"/>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Established pattern</w:t>
            </w:r>
          </w:p>
        </w:tc>
        <w:tc>
          <w:tcPr>
            <w:tcW w:type="dxa" w:w="213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Combine genuinely diverse, independently validated signals; gate by observable state</w:t>
            </w:r>
          </w:p>
        </w:tc>
        <w:tc>
          <w:tcPr>
            <w:tcW w:type="dxa" w:w="28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Allocator overfit and synchronized failure under a common hidden exposure</w:t>
            </w:r>
          </w:p>
        </w:tc>
      </w:tr>
    </w:tbl>
    <w:p>
      <w:pPr>
        <w:spacing w:after="40"/>
      </w:pPr>
    </w:p>
    <w:p>
      <w:pPr>
        <w:pStyle w:val="Heading2"/>
      </w:pPr>
      <w:r>
        <w:t>2.2 Statistical models</w:t>
      </w:r>
    </w:p>
    <w:p>
      <w:r>
        <w:t>State-space models are especially useful because they force an explicit observation equation, transition equation, and noise model. For intraday equity-index futures, candidates include a local-level fair value with time-of-day variance, dynamic regression on related market returns, and stochastic volatility. Their uncertainty estimates can feed the decision threshold. Refit on rolling training data; do not smooth with future observations when generating historical states. Filtering is causal; full-sample smoothing is not.</w:t>
      </w:r>
    </w:p>
    <w:p>
      <w:r>
        <w:t>Regime-switching models should gate risk or model weights rather than manufacture a trade by themselves. Regime features must be available in real time, and evaluation must integrate state uncertainty: weight experts by posterior state probabilities instead of hard labels. Evaluate stability across state counts, seeds, and windows. A “crisis” state discovered only after the crisis is a descriptive cluster, not a deployable classifier.</w:t>
      </w:r>
    </w:p>
    <w:p>
      <w:r>
        <w:t>Cointegration is more natural across economically linked contracts than between arbitrary features. Use contract-level, roll-aware prices; test residual stability; account for financing/carry and different trading hours; and rerun structural-break tests. For NQ/MNQ, the two products are mechanically related and not a durable alpha pair; their different multiplier and liquidity make them useful for simulator consistency tests.</w:t>
      </w:r>
    </w:p>
    <w:p>
      <w:r>
        <w:t>Hawkes models fit event-time intensity. In this minutes-to-hours scope they are better as microstructure state features—cancel intensity, aggressive-flow excitation, decay half-life—than as a full strategy. Estimate on finite rolling windows, regularize the excitation matrix, enforce stability, and compare against simpler exponential-weighted counts.</w:t>
      </w:r>
    </w:p>
    <w:p>
      <w:pPr>
        <w:pStyle w:val="Heading2"/>
      </w:pPr>
      <w:r>
        <w:t>2.3 Machine learning and sequence models</w:t>
      </w:r>
    </w:p>
    <w:p>
      <w:r>
        <w:t>Gradient boosting should be the nonlinear workhorse. Use shallow trees, monotonic constraints where theory supports them, sample weights for overlapping labels, and probability calibration fitted only inside training folds. Inspect grouped permutation importance and conditional performance; raw split-gain importance is not sufficient. A feature that is important only because it proxies time or contract identity is a rejection signal.</w:t>
      </w:r>
    </w:p>
    <w:p>
      <w:r>
        <w:t>Meta-labeling is defensible only when the primary rule is frozen before the meta-model is trained. The base rule chooses direction; the meta-model estimates acceptance or size in paper units. Triple barriers should be set from volatility known at event start, with the vertical barrier matching the research horizon. Because labels overlap, training/test purge length must cover the maximum information span.</w:t>
      </w:r>
    </w:p>
    <w:p>
      <w:r>
        <w:t>TFT is appropriate when the problem truly has static identifiers, observed inputs, known future inputs, and multi-horizon outputs. PatchTST is appropriate when long history and self-supervised pretraining are central. The 2026 large-scale daily-futures benchmark reports that temporal representation models can outperform linear and generic deep models, but that is a research preprint on daily multi-asset data, not evidence for intraday NQ/MNQ or live profitability (</w:t>
      </w:r>
      <w:hyperlink r:id="rId49">
        <w:r>
          <w:rPr>
            <w:color w:val="2E74B5"/>
            <w:u w:val="single"/>
          </w:rPr>
          <w:t xml:space="preserve">Saly-Kaufmann et al. 2026</w:t>
        </w:r>
      </w:hyperlink>
      <w:r>
        <w:t>). Conversely, simple linear models have beaten transformer variants on standard long-horizon forecasting benchmarks, demonstrating why every deep candidate needs a trivial baseline (</w:t>
      </w:r>
      <w:hyperlink r:id="rId50">
        <w:r>
          <w:rPr>
            <w:color w:val="2E74B5"/>
            <w:u w:val="single"/>
          </w:rPr>
          <w:t xml:space="preserve">Zeng et al. 2023</w:t>
        </w:r>
      </w:hyperlink>
      <w:r>
        <w:t>).</w:t>
      </w:r>
    </w:p>
    <w:p>
      <w:r>
        <w:t>Time-series foundation models are best treated as frozen encoders or challenger forecasters. Test zero-shot, linear-probe, and small fine-tune modes separately. Debit each prompt, context construction, checkpoint, and fine-tune from the experiment budget. Detect training-corpus overlap where possible. A lower MAE is irrelevant if sign accuracy, calibration, net return, and stability do not improve on untouched periods.</w:t>
      </w:r>
    </w:p>
    <w:p>
      <w:pPr>
        <w:pStyle w:val="Heading2"/>
      </w:pPr>
      <w:r>
        <w:t>2.4 RL, evolution, ensembles, and the role of LLMs</w:t>
      </w:r>
    </w:p>
    <w:p>
      <w:r>
        <w:t>RL works where the action changes later opportunity and the simulator is credible: execution scheduling, inventory control, or a constrained allocator. It fails when used as an expensive nonlinear predictor on a tiny nonstationary history, when the reward omits market impact, or when the agent can exploit fill assumptions. V1 should include RL interfaces but no promoted RL policy. Offline evaluation needs behavior-policy coverage, conservative objectives, and replay across simulator variants.</w:t>
      </w:r>
    </w:p>
    <w:p>
      <w:r>
        <w:t>Blackbox may use genetic programming to produce formula trees from a type-safe grammar: lagged returns, signed flow, volatility, spread, time-of-day, bounded arithmetic, rolling operators, and explicit units. Enforce maximum depth, operator count, turnover, and correlation to existing alphas. Crucially, debit every evaluated genome—even failed or cached ones—from the trial ledger. Select a Pareto set across net score, instability, turnover, and complexity; then send survivors to a separately held evaluation service.</w:t>
      </w:r>
    </w:p>
    <w:p>
      <w:r>
        <w:t>Ensembles should combine models whose residuals and failure modes differ, not merely different seeds of the same representation. Start with equal weight or inverse-error weight; then compare Bayesian model averaging, regime-conditional weights, and a cautious contextual bandit. Hierarchical Risk Parity (HRP) is a useful clustering-based allocation baseline that avoids inverting a noisy covariance matrix (</w:t>
      </w:r>
      <w:hyperlink r:id="rId51">
        <w:r>
          <w:rPr>
            <w:color w:val="2E74B5"/>
            <w:u w:val="single"/>
          </w:rPr>
          <w:t xml:space="preserve">Lopez de Prado 2016</w:t>
        </w:r>
      </w:hyperlink>
      <w:r>
        <w:t>). The allocator itself is a model and must undergo the same nested validation as its children.</w:t>
      </w:r>
    </w:p>
    <w:p>
      <w:r>
        <w:t>LLMs belong in hypothesis drafting, literature triage, data-dictionary mapping, code scaffolding, test generation, news/event extraction, and post-mortems. They do not calculate canonical risk, construct authoritative features, approve promotion, or appear in the order path. Any LLM output that becomes a hypothesis is compiled to a typed specification and evaluated by deterministic code. The prompt, model identifier, retrieved sources, and output hash join the trial ledger.</w:t>
      </w:r>
    </w:p>
    <w:p>
      <w:r>
        <w:rPr>
          <w:b/>
        </w:rPr>
        <w:t>Live-performance evidence assessment.</w:t>
      </w:r>
      <w:r>
        <w:t xml:space="preserve"> The strongest public evidence in systematic futures remains strategy-family evidence, not modern-model attribution. For example, Moskowitz, Ooi, and Pedersen document time-series momentum across 58 liquid futures/forwards over more than 25 years, with persistence over roughly one to twelve months (</w:t>
      </w:r>
      <w:hyperlink r:id="rId52">
        <w:r>
          <w:rPr>
            <w:color w:val="2E74B5"/>
            <w:u w:val="single"/>
          </w:rPr>
          <w:t xml:space="preserve">Journal of Financial Economics paper</w:t>
        </w:r>
      </w:hyperlink>
      <w:r>
        <w:t>). That horizon does not validate an intraday strategy. Public live fund results rarely reveal enough model, cost, and selection detail to attribute performance. No independently auditable, model-isolated live evidence was verified for the modern deep/RL families above; classify marketing claims as unverified.</w:t>
      </w:r>
    </w:p>
    <w:p>
      <w:pPr>
        <w:shd w:fill="E8EEF5"/>
        <w:pBdr>
          <w:left w:val="single" w:sz="18" w:space="6" w:color="2E74B5"/>
        </w:pBdr>
        <w:ind w:left="160" w:right="160"/>
        <w:spacing w:before="90" w:after="90"/>
      </w:pPr>
      <w:r>
        <w:rPr>
          <w:b/>
        </w:rPr>
        <w:t>CELL//OS mapping.</w:t>
      </w:r>
      <w:r>
        <w:t xml:space="preserve"> The Cognitive Core's Planning engine produces typed experiment DAGs; Blackbox proposes bounded candidates; Memory stores immutable experiment manifests; Crucible owns blind evaluation and trial-budget accounting; the Evaluation engine computes comparable metrics; the Learning engine records failures as first-class evidence. LLM Operatives can propose and explain, while Rust/Python services train, score, and validate.</w:t>
      </w:r>
    </w:p>
    <w:p>
      <w:r>
        <w:br w:type="page"/>
      </w:r>
    </w:p>
    <w:p>
      <w:pPr>
        <w:pStyle w:val="Heading1"/>
      </w:pPr>
      <w:r>
        <w:t>3. Optimization and validation protocol, in strict order</w:t>
      </w:r>
    </w:p>
    <w:p>
      <w:pPr>
        <w:pStyle w:val="Heading2"/>
      </w:pPr>
      <w:r>
        <w:t>3.1 The protocol</w:t>
      </w:r>
    </w:p>
    <w:p>
      <w:r>
        <w:t>Skipping or reordering these gates invalidates the promotion claim. Thresholds below are starting research policies, not universal constants and not live sizing advice.</w:t>
      </w:r>
    </w:p>
    <w:p>
      <w:pPr>
        <w:numPr>
          <w:ilvl w:val="0"/>
          <w:numId w:val="13"/>
        </w:numPr>
        <w:spacing w:after="80" w:line="300" w:lineRule="auto"/>
      </w:pPr>
      <w:r>
        <w:rPr>
          <w:b/>
        </w:rPr>
        <w:t>Pre-register the hypothesis family.</w:t>
      </w:r>
      <w:r>
        <w:t xml:space="preserve"> Record economic mechanism, universe, horizon, decision timestamp, inputs, labels, baseline, primary metric, cost model, stress tests, acceptable failure conditions, and maximum number of candidate evaluations. Hash the document. Separate exploratory and confirmatory questions.</w:t>
      </w:r>
    </w:p>
    <w:p>
      <w:pPr>
        <w:numPr>
          <w:ilvl w:val="0"/>
          <w:numId w:val="13"/>
        </w:numPr>
        <w:spacing w:after="80" w:line="300" w:lineRule="auto"/>
      </w:pPr>
      <w:r>
        <w:rPr>
          <w:b/>
        </w:rPr>
        <w:t>Issue a trial budget.</w:t>
      </w:r>
      <w:r>
        <w:t xml:space="preserve"> A “trial” is any materially different feature set, label, horizon, parameterization, seed-selection rule, model, cost assumption, or post-hoc slice inspected for selection. The ledger is append-only. Blackbox cannot create unmetered descendants. Reserve a small confirmatory budget that the generator cannot spend.</w:t>
      </w:r>
    </w:p>
    <w:p>
      <w:pPr>
        <w:numPr>
          <w:ilvl w:val="0"/>
          <w:numId w:val="13"/>
        </w:numPr>
        <w:spacing w:after="80" w:line="300" w:lineRule="auto"/>
      </w:pPr>
      <w:r>
        <w:rPr>
          <w:b/>
        </w:rPr>
        <w:t>Freeze data and definitions.</w:t>
      </w:r>
      <w:r>
        <w:t xml:space="preserve"> Pin raw and derived Iceberg snapshots, code commit, contract master version, calendar, roll map, fee/slippage model, timezone database, and dependency/container digests. Produce a split manifest before observing model results.</w:t>
      </w:r>
    </w:p>
    <w:p>
      <w:pPr>
        <w:numPr>
          <w:ilvl w:val="0"/>
          <w:numId w:val="13"/>
        </w:numPr>
        <w:spacing w:after="80" w:line="300" w:lineRule="auto"/>
      </w:pPr>
      <w:r>
        <w:rPr>
          <w:b/>
        </w:rPr>
        <w:t>Pass hygiene gates.</w:t>
      </w:r>
      <w:r>
        <w:t xml:space="preserve"> Require sequence-gap accounting, duplicate rate within source contract, price-grid validity, session reconciliation, cross-source count checks, revision tests, future-shift/tail-mutation tests, and reproducible checksums. Missing intervals are explicit masks; no silent forward-fill across closures or data gaps.</w:t>
      </w:r>
    </w:p>
    <w:p>
      <w:pPr>
        <w:numPr>
          <w:ilvl w:val="0"/>
          <w:numId w:val="13"/>
        </w:numPr>
        <w:spacing w:after="80" w:line="300" w:lineRule="auto"/>
      </w:pPr>
      <w:r>
        <w:rPr>
          <w:b/>
        </w:rPr>
        <w:t>Define labels causally.</w:t>
      </w:r>
      <w:r>
        <w:t xml:space="preserve"> Declare event start, information span, vertical horizon, barrier values derived from start-time information, and overlap. For return regression, align executable entry/exit assumptions and include fees/slippage in evaluation, not in a leaked feature. Labels and sample weights are versioned datasets.</w:t>
      </w:r>
    </w:p>
    <w:p>
      <w:pPr>
        <w:numPr>
          <w:ilvl w:val="0"/>
          <w:numId w:val="13"/>
        </w:numPr>
        <w:spacing w:after="80" w:line="300" w:lineRule="auto"/>
      </w:pPr>
      <w:r>
        <w:rPr>
          <w:b/>
        </w:rPr>
        <w:t>Evaluate features inside training folds.</w:t>
      </w:r>
      <w:r>
        <w:t xml:space="preserve"> Compute signed Information Coefficient (Pearson and rank), IC information ratio with dependence-aware uncertainty, mutual information with estimator sensitivity, coverage, turnover, monotonicity, and stability across time-of-day, volatility, trend, event, and liquidity slices. Cluster correlated features and measure importance at the cluster level; clustered feature importance is designed to reduce substitution effects among correlated inputs (</w:t>
      </w:r>
      <w:hyperlink r:id="rId53">
        <w:r>
          <w:rPr>
            <w:color w:val="2E74B5"/>
            <w:u w:val="single"/>
          </w:rPr>
          <w:t xml:space="preserve">Lopez de Prado, CFI</w:t>
        </w:r>
      </w:hyperlink>
      <w:r>
        <w:t>). Remove features with unstable sign, tiny effective sample, or no incremental value over the baseline.</w:t>
      </w:r>
    </w:p>
    <w:p>
      <w:pPr>
        <w:numPr>
          <w:ilvl w:val="0"/>
          <w:numId w:val="13"/>
        </w:numPr>
        <w:spacing w:after="80" w:line="300" w:lineRule="auto"/>
      </w:pPr>
      <w:r>
        <w:rPr>
          <w:b/>
        </w:rPr>
        <w:t>Construct time-respecting outer folds.</w:t>
      </w:r>
      <w:r>
        <w:t xml:space="preserve"> Use walk-forward folds for chronological deployment realism. Use purged K-fold or CPCV when labels overlap and multiple paths are needed. Purge training observations whose label intervals intersect the test interval; embargo observations immediately after the test window. Embargo length comes from maximum information leakage or empirical dependence, not a ritual percentage.</w:t>
      </w:r>
    </w:p>
    <w:p>
      <w:pPr>
        <w:numPr>
          <w:ilvl w:val="0"/>
          <w:numId w:val="13"/>
        </w:numPr>
        <w:spacing w:after="80" w:line="300" w:lineRule="auto"/>
      </w:pPr>
      <w:r>
        <w:rPr>
          <w:b/>
        </w:rPr>
        <w:t>Nest selection.</w:t>
      </w:r>
      <w:r>
        <w:t xml:space="preserve"> The outer test fold is never used for feature selection, hyperparameter tuning, probability calibration, regime definition, or early stopping. All of those occur in an inner time-respecting loop. Store predictions for every outer observation exactly once per path.</w:t>
      </w:r>
    </w:p>
    <w:p>
      <w:pPr>
        <w:numPr>
          <w:ilvl w:val="0"/>
          <w:numId w:val="13"/>
        </w:numPr>
        <w:spacing w:after="80" w:line="300" w:lineRule="auto"/>
      </w:pPr>
      <w:r>
        <w:rPr>
          <w:b/>
        </w:rPr>
        <w:t>Tune economically, not to the third decimal.</w:t>
      </w:r>
      <w:r>
        <w:t xml:space="preserve"> Prefer bounded random/Bayesian search over dense grids. Evaluate parameter neighborhoods; choose stable plateaus, not isolated maxima. Report the entire response surface and search distribution.</w:t>
      </w:r>
    </w:p>
    <w:p>
      <w:pPr>
        <w:numPr>
          <w:ilvl w:val="0"/>
          <w:numId w:val="13"/>
        </w:numPr>
        <w:spacing w:after="80" w:line="300" w:lineRule="auto"/>
      </w:pPr>
      <w:r>
        <w:rPr>
          <w:b/>
        </w:rPr>
        <w:t>Correct multiplicity across the whole search.</w:t>
      </w:r>
      <w:r>
        <w:t xml:space="preserve"> DSR asks whether an observed Sharpe remains exceptional after non-normality and selection effects. PBO estimates how often the in-sample winner ranks poorly out of sample. White's Reality Check tests whether the best encountered model beats a benchmark under data snooping; Hansen's SPA is more powerful and less sensitive to poor alternatives. Keep the population of tested strategies, not only winners (</w:t>
      </w:r>
      <w:hyperlink r:id="rId16">
        <w:r>
          <w:rPr>
            <w:color w:val="2E74B5"/>
            <w:u w:val="single"/>
          </w:rPr>
          <w:t xml:space="preserve">DSR</w:t>
        </w:r>
      </w:hyperlink>
      <w:r>
        <w:t xml:space="preserve">; </w:t>
      </w:r>
      <w:hyperlink r:id="rId17">
        <w:r>
          <w:rPr>
            <w:color w:val="2E74B5"/>
            <w:u w:val="single"/>
          </w:rPr>
          <w:t xml:space="preserve">PBO</w:t>
        </w:r>
      </w:hyperlink>
      <w:r>
        <w:t xml:space="preserve">; </w:t>
      </w:r>
      <w:hyperlink r:id="rId54">
        <w:r>
          <w:rPr>
            <w:color w:val="2E74B5"/>
            <w:u w:val="single"/>
          </w:rPr>
          <w:t xml:space="preserve">White 2000</w:t>
        </w:r>
      </w:hyperlink>
      <w:r>
        <w:t xml:space="preserve">; </w:t>
      </w:r>
      <w:hyperlink r:id="rId15">
        <w:r>
          <w:rPr>
            <w:color w:val="2E74B5"/>
            <w:u w:val="single"/>
          </w:rPr>
          <w:t xml:space="preserve">Hansen 2005</w:t>
        </w:r>
      </w:hyperlink>
      <w:r>
        <w:t>).</w:t>
      </w:r>
    </w:p>
    <w:p>
      <w:pPr>
        <w:numPr>
          <w:ilvl w:val="0"/>
          <w:numId w:val="13"/>
        </w:numPr>
        <w:spacing w:after="80" w:line="300" w:lineRule="auto"/>
      </w:pPr>
      <w:r>
        <w:rPr>
          <w:b/>
        </w:rPr>
        <w:t>Report uncertainty, not one Sharpe.</w:t>
      </w:r>
      <w:r>
        <w:t xml:space="preserve"> Include net mean and volatility, Sharpe/Sortino/Calmar, hit rate, profit/loss distribution, turnover, exposure, tail loss, maximum and duration of drawdown, slippage, and capacity proxies. Use stationary or moving-block bootstrap confidence intervals to retain dependence. Report the Probabilistic Sharpe Ratio and Minimum Track Record Length (MinTRL) for the chosen benchmark; MinTRL is a function of target Sharpe, observed Sharpe, non-normality, confidence, and sampling frequency, not “three months.”</w:t>
      </w:r>
    </w:p>
    <w:p>
      <w:pPr>
        <w:numPr>
          <w:ilvl w:val="0"/>
          <w:numId w:val="13"/>
        </w:numPr>
        <w:spacing w:after="80" w:line="300" w:lineRule="auto"/>
      </w:pPr>
      <w:r>
        <w:rPr>
          <w:b/>
        </w:rPr>
        <w:t>Audit implementation risk.</w:t>
      </w:r>
      <w:r>
        <w:t xml:space="preserve"> Run the same frozen intent stream through at least two independent P&amp;L/cost calculators. A 2026 comparison showed that different engines can produce materially different outcomes through cost handling alone, so engine agreement is evidence, not redundancy (</w:t>
      </w:r>
      <w:hyperlink r:id="rId55">
        <w:r>
          <w:rPr>
            <w:color w:val="2E74B5"/>
            <w:u w:val="single"/>
          </w:rPr>
          <w:t xml:space="preserve">implementation-risk preprint</w:t>
        </w:r>
      </w:hyperlink>
      <w:r>
        <w:t>). Reconcile every mismatch on a golden corpus.</w:t>
      </w:r>
    </w:p>
    <w:p>
      <w:pPr>
        <w:numPr>
          <w:ilvl w:val="0"/>
          <w:numId w:val="13"/>
        </w:numPr>
        <w:spacing w:after="80" w:line="300" w:lineRule="auto"/>
      </w:pPr>
      <w:r>
        <w:rPr>
          <w:b/>
        </w:rPr>
        <w:t>Run Monte Carlo stress families.</w:t>
      </w:r>
      <w:r>
        <w:t xml:space="preserve"> Use (a) IID trade reshuffles only as a weak diagnostic; (b) moving/stationary block bootstrap; (c) parameter perturbation; (d) latency, spread, fee, missed-fill, and adverse-selection shocks; (e) regime-conditional resampling; and (f) strategy-correlation shocks. Preserve dependence where it matters.</w:t>
      </w:r>
    </w:p>
    <w:p>
      <w:pPr>
        <w:numPr>
          <w:ilvl w:val="0"/>
          <w:numId w:val="13"/>
        </w:numPr>
        <w:spacing w:after="80" w:line="300" w:lineRule="auto"/>
      </w:pPr>
      <w:r>
        <w:rPr>
          <w:b/>
        </w:rPr>
        <w:t>Run a generic hard-loss-limit sandbox.</w:t>
      </w:r>
      <w:r>
        <w:t xml:space="preserve"> This is deliberately not a prop-firm pass simulator. Define dimensionless risk containers with starting buffer </w:t>
      </w:r>
      <w:r>
        <w:rPr>
          <w:rFonts w:ascii="Consolas" w:hAnsi="Consolas"/>
          <w:color w:val="1F4D78"/>
          <w:sz w:val="18"/>
          <w:shd w:fill="EEF2F6"/>
        </w:rPr>
        <w:t>B</w:t>
      </w:r>
      <w:r>
        <w:t xml:space="preserve">, daily stop </w:t>
      </w:r>
      <w:r>
        <w:rPr>
          <w:rFonts w:ascii="Consolas" w:hAnsi="Consolas"/>
          <w:color w:val="1F4D78"/>
          <w:sz w:val="18"/>
          <w:shd w:fill="EEF2F6"/>
        </w:rPr>
        <w:t>D</w:t>
      </w:r>
      <w:r>
        <w:t xml:space="preserve">, trailing or static boundary </w:t>
      </w:r>
      <w:r>
        <w:rPr>
          <w:rFonts w:ascii="Consolas" w:hAnsi="Consolas"/>
          <w:color w:val="1F4D78"/>
          <w:sz w:val="18"/>
          <w:shd w:fill="EEF2F6"/>
        </w:rPr>
        <w:t>L_t</w:t>
      </w:r>
      <w:r>
        <w:t xml:space="preserve">, and paper P&amp;L </w:t>
      </w:r>
      <w:r>
        <w:rPr>
          <w:rFonts w:ascii="Consolas" w:hAnsi="Consolas"/>
          <w:color w:val="1F4D78"/>
          <w:sz w:val="18"/>
          <w:shd w:fill="EEF2F6"/>
        </w:rPr>
        <w:t>P_t</w:t>
      </w:r>
      <w:r>
        <w:t xml:space="preserve">. Estimate </w:t>
      </w:r>
      <w:r>
        <w:rPr>
          <w:rFonts w:ascii="Consolas" w:hAnsi="Consolas"/>
          <w:color w:val="1F4D78"/>
          <w:sz w:val="18"/>
          <w:shd w:fill="EEF2F6"/>
        </w:rPr>
        <w:t>Pr(min_t(B+P_t-L_t) &lt;= 0)</w:t>
      </w:r>
      <w:r>
        <w:t>, expected time to boundary, and the distribution of minimum distance. Stress correlated containers with shared fills and synchronized strategies. Use the output only to reject fragile configurations; do not translate it into account or contract instructions.</w:t>
      </w:r>
    </w:p>
    <w:p>
      <w:pPr>
        <w:numPr>
          <w:ilvl w:val="0"/>
          <w:numId w:val="13"/>
        </w:numPr>
        <w:spacing w:after="80" w:line="300" w:lineRule="auto"/>
      </w:pPr>
      <w:r>
        <w:rPr>
          <w:b/>
        </w:rPr>
        <w:t>Apply robustness challenges.</w:t>
      </w:r>
      <w:r>
        <w:t xml:space="preserve"> Require smooth parameter neighborhoods, alternative bar constructions, alternative roll rules, cross-product or adjacent-contract transfer where economically valid, crisis/event replays, missing-data perturbations, timezone/calendar changes, and worse-than-observed friction. A strategy that survives only one representation is a data artifact candidate.</w:t>
      </w:r>
    </w:p>
    <w:p>
      <w:pPr>
        <w:numPr>
          <w:ilvl w:val="0"/>
          <w:numId w:val="13"/>
        </w:numPr>
        <w:spacing w:after="80" w:line="300" w:lineRule="auto"/>
      </w:pPr>
      <w:r>
        <w:rPr>
          <w:b/>
        </w:rPr>
        <w:t>Select on a Pareto frontier.</w:t>
      </w:r>
      <w:r>
        <w:t xml:space="preserve"> Use NSGA-II/III or deterministic non-dominated sorting across net performance, tail risk, instability, turnover, complexity, and compute cost. NSGA-II combines elitism with fast non-dominated sorting and crowding distance (</w:t>
      </w:r>
      <w:hyperlink r:id="rId56">
        <w:r>
          <w:rPr>
            <w:color w:val="2E74B5"/>
            <w:u w:val="single"/>
          </w:rPr>
          <w:t xml:space="preserve">Deb et al. 2002</w:t>
        </w:r>
      </w:hyperlink>
      <w:r>
        <w:t>). The Pareto set is a shortlist, not proof; do not scalarize after viewing the frontier without spending a new trial.</w:t>
      </w:r>
    </w:p>
    <w:p>
      <w:pPr>
        <w:numPr>
          <w:ilvl w:val="0"/>
          <w:numId w:val="13"/>
        </w:numPr>
        <w:spacing w:after="80" w:line="300" w:lineRule="auto"/>
      </w:pPr>
      <w:r>
        <w:rPr>
          <w:b/>
        </w:rPr>
        <w:t>Lock a paper-forward promotion interval.</w:t>
      </w:r>
      <w:r>
        <w:t xml:space="preserve"> Freeze code and data contract. Require enough independent opportunities and calendar coverage to exercise intended regimes; reject any invariant, policy, or data breach immediately. A shadow connector may consume market data and produce hypothetical intents, but transmission remains impossible. Compare predicted vs. realized paper slippage and feature availability.</w:t>
      </w:r>
    </w:p>
    <w:p>
      <w:pPr>
        <w:numPr>
          <w:ilvl w:val="0"/>
          <w:numId w:val="13"/>
        </w:numPr>
        <w:spacing w:after="80" w:line="300" w:lineRule="auto"/>
      </w:pPr>
      <w:r>
        <w:rPr>
          <w:b/>
        </w:rPr>
        <w:t>Validate the portfolio and allocator.</w:t>
      </w:r>
      <w:r>
        <w:t xml:space="preserve"> Generate child-strategy outer-fold predictions without leakage. Train weights only on past child predictions and evaluate on a further outer window. Compare equal weight, volatility scaling, HRP, Bayesian averaging, and regime-conditioned weights. Penalize turnover and concentration. Online bandits must be tested against fixed robust baselines and under delayed/noisy reward.</w:t>
      </w:r>
    </w:p>
    <w:p>
      <w:pPr>
        <w:numPr>
          <w:ilvl w:val="0"/>
          <w:numId w:val="13"/>
        </w:numPr>
        <w:spacing w:after="80" w:line="300" w:lineRule="auto"/>
      </w:pPr>
      <w:r>
        <w:rPr>
          <w:b/>
        </w:rPr>
        <w:t>Promote by evidence bundle.</w:t>
      </w:r>
      <w:r>
        <w:t xml:space="preserve"> Promotion requires signed hypothesis, trial ledger, dataset snapshots, split manifest, code/container digests, model card, simulator reconciliation, stress results, forward evidence, red-team report, and human approval. Promotion is an immutable state transition.</w:t>
      </w:r>
    </w:p>
    <w:p>
      <w:pPr>
        <w:numPr>
          <w:ilvl w:val="0"/>
          <w:numId w:val="13"/>
        </w:numPr>
        <w:spacing w:after="80" w:line="300" w:lineRule="auto"/>
      </w:pPr>
      <w:r>
        <w:rPr>
          <w:b/>
        </w:rPr>
        <w:t>Monitor and de-risk paper operation.</w:t>
      </w:r>
      <w:r>
        <w:t xml:space="preserve"> Track rolling net score with uncertainty, CUSUM/Page-Hinkley on residual or risk-adjusted returns, feature PSI and two-sample KS, calibration drift, slippage drift, missingness, regime occupancy, model disagreement, and distance to the generic boundary. Page's CUSUM is a classic sequential change detector (</w:t>
      </w:r>
      <w:hyperlink r:id="rId57">
        <w:r>
          <w:rPr>
            <w:color w:val="2E74B5"/>
            <w:u w:val="single"/>
          </w:rPr>
          <w:t xml:space="preserve">Page 1954</w:t>
        </w:r>
      </w:hyperlink>
      <w:r>
        <w:t>); the two-sample KS compares empirical distributions (</w:t>
      </w:r>
      <w:hyperlink r:id="rId58">
        <w:r>
          <w:rPr>
            <w:color w:val="2E74B5"/>
            <w:u w:val="single"/>
          </w:rPr>
          <w:t xml:space="preserve">NIST</w:t>
        </w:r>
      </w:hyperlink>
      <w:r>
        <w:t>). PSI is a descriptive effect size whose common 0.1/0.25 cutoffs are conventions, not universal statistical thresholds.</w:t>
      </w:r>
    </w:p>
    <w:p>
      <w:pPr>
        <w:pStyle w:val="Heading2"/>
      </w:pPr>
      <w:r>
        <w:t>3.2 Automatic de-risk ladder for paper/shadow operation</w:t>
      </w:r>
    </w:p>
    <w:p>
      <w:r>
        <w:t>The ladder reacts to evidence categories, not a single noisy statistic:</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2340"/>
        <w:gridCol w:w="2340"/>
        <w:gridCol w:w="2340"/>
        <w:gridCol w:w="2340"/>
      </w:tblGrid>
      <w:tr>
        <w:trPr>
          <w:tblHeader w:val="true"/>
          <w:cantSplit w:val="true"/>
        </w:trPr>
        <w:tc>
          <w:tcPr>
            <w:tcW w:type="dxa" w:w="1463"/>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Level</w:t>
            </w:r>
          </w:p>
        </w:tc>
        <w:tc>
          <w:tcPr>
            <w:tcW w:type="dxa" w:w="3212"/>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Trigger pattern</w:t>
            </w:r>
          </w:p>
        </w:tc>
        <w:tc>
          <w:tcPr>
            <w:tcW w:type="dxa" w:w="214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Automatic action</w:t>
            </w:r>
          </w:p>
        </w:tc>
        <w:tc>
          <w:tcPr>
            <w:tcW w:type="dxa" w:w="2536"/>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Recovery evidence</w:t>
            </w:r>
          </w:p>
        </w:tc>
      </w:tr>
      <w:tr>
        <w:trPr>
          <w:cantSplit w:val="true"/>
        </w:trPr>
        <w:tc>
          <w:tcPr>
            <w:tcW w:type="dxa" w:w="1463"/>
            <w:tcMar>
              <w:top w:w="80" w:type="dxa"/>
              <w:start w:w="120" w:type="dxa"/>
              <w:bottom w:w="80" w:type="dxa"/>
              <w:end w:w="120" w:type="dxa"/>
            </w:tcMar>
            <w:vAlign w:val="top"/>
          </w:tcPr>
          <w:p>
            <w:pPr>
              <w:spacing w:before="0" w:after="60" w:line="252" w:lineRule="auto"/>
            </w:pPr>
            <w:r>
              <w:rPr>
                <w:rFonts w:ascii="Calibri" w:hAnsi="Calibri"/>
                <w:b/>
                <w:color w:val="20262E"/>
                <w:sz w:val="16"/>
              </w:rPr>
              <w:t>0 Normal</w:t>
            </w:r>
          </w:p>
        </w:tc>
        <w:tc>
          <w:tcPr>
            <w:tcW w:type="dxa" w:w="3212"/>
            <w:tcMar>
              <w:top w:w="80" w:type="dxa"/>
              <w:start w:w="120" w:type="dxa"/>
              <w:bottom w:w="80" w:type="dxa"/>
              <w:end w:w="120" w:type="dxa"/>
            </w:tcMar>
            <w:vAlign w:val="top"/>
          </w:tcPr>
          <w:p>
            <w:pPr>
              <w:spacing w:before="0" w:after="60" w:line="252" w:lineRule="auto"/>
            </w:pPr>
            <w:r>
              <w:rPr>
                <w:rFonts w:ascii="Calibri" w:hAnsi="Calibri"/>
                <w:color w:val="20262E"/>
                <w:sz w:val="16"/>
              </w:rPr>
              <w:t>No hard invariant breach; drift within calibrated bands</w:t>
            </w:r>
          </w:p>
        </w:tc>
        <w:tc>
          <w:tcPr>
            <w:tcW w:type="dxa" w:w="2149"/>
            <w:tcMar>
              <w:top w:w="80" w:type="dxa"/>
              <w:start w:w="120" w:type="dxa"/>
              <w:bottom w:w="80" w:type="dxa"/>
              <w:end w:w="120" w:type="dxa"/>
            </w:tcMar>
            <w:vAlign w:val="top"/>
          </w:tcPr>
          <w:p>
            <w:pPr>
              <w:spacing w:before="0" w:after="60" w:line="252" w:lineRule="auto"/>
            </w:pPr>
            <w:r>
              <w:rPr>
                <w:rFonts w:ascii="Calibri" w:hAnsi="Calibri"/>
                <w:color w:val="20262E"/>
                <w:sz w:val="16"/>
              </w:rPr>
              <w:t>Normal paper unit; continue monitoring</w:t>
            </w:r>
          </w:p>
        </w:tc>
        <w:tc>
          <w:tcPr>
            <w:tcW w:type="dxa" w:w="2536"/>
            <w:tcMar>
              <w:top w:w="80" w:type="dxa"/>
              <w:start w:w="120" w:type="dxa"/>
              <w:bottom w:w="80" w:type="dxa"/>
              <w:end w:w="120" w:type="dxa"/>
            </w:tcMar>
            <w:vAlign w:val="top"/>
          </w:tcPr>
          <w:p>
            <w:pPr>
              <w:spacing w:before="0" w:after="60" w:line="252" w:lineRule="auto"/>
            </w:pPr>
            <w:r>
              <w:rPr>
                <w:rFonts w:ascii="Calibri" w:hAnsi="Calibri"/>
                <w:color w:val="20262E"/>
                <w:sz w:val="16"/>
              </w:rPr>
              <w:t>N/A</w:t>
            </w:r>
          </w:p>
        </w:tc>
      </w:tr>
      <w:tr>
        <w:trPr>
          <w:cantSplit w:val="true"/>
        </w:trPr>
        <w:tc>
          <w:tcPr>
            <w:tcW w:type="dxa" w:w="1463"/>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1 Watch</w:t>
            </w:r>
          </w:p>
        </w:tc>
        <w:tc>
          <w:tcPr>
            <w:tcW w:type="dxa" w:w="3212"/>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One soft alert: feature/score/slippage drift, rising missingness, or unusual regime occupancy</w:t>
            </w:r>
          </w:p>
        </w:tc>
        <w:tc>
          <w:tcPr>
            <w:tcW w:type="dxa" w:w="214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Freeze promotion and new parameter changes; increase diagnostics</w:t>
            </w:r>
          </w:p>
        </w:tc>
        <w:tc>
          <w:tcPr>
            <w:tcW w:type="dxa" w:w="253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Two consecutive clean review windows or documented false alarm</w:t>
            </w:r>
          </w:p>
        </w:tc>
      </w:tr>
      <w:tr>
        <w:trPr>
          <w:cantSplit w:val="true"/>
        </w:trPr>
        <w:tc>
          <w:tcPr>
            <w:tcW w:type="dxa" w:w="1463"/>
            <w:tcMar>
              <w:top w:w="80" w:type="dxa"/>
              <w:start w:w="120" w:type="dxa"/>
              <w:bottom w:w="80" w:type="dxa"/>
              <w:end w:w="120" w:type="dxa"/>
            </w:tcMar>
            <w:vAlign w:val="top"/>
          </w:tcPr>
          <w:p>
            <w:pPr>
              <w:spacing w:before="0" w:after="60" w:line="252" w:lineRule="auto"/>
            </w:pPr>
            <w:r>
              <w:rPr>
                <w:rFonts w:ascii="Calibri" w:hAnsi="Calibri"/>
                <w:b/>
                <w:color w:val="20262E"/>
                <w:sz w:val="16"/>
              </w:rPr>
              <w:t>2 Reduce</w:t>
            </w:r>
          </w:p>
        </w:tc>
        <w:tc>
          <w:tcPr>
            <w:tcW w:type="dxa" w:w="3212"/>
            <w:tcMar>
              <w:top w:w="80" w:type="dxa"/>
              <w:start w:w="120" w:type="dxa"/>
              <w:bottom w:w="80" w:type="dxa"/>
              <w:end w:w="120" w:type="dxa"/>
            </w:tcMar>
            <w:vAlign w:val="top"/>
          </w:tcPr>
          <w:p>
            <w:pPr>
              <w:spacing w:before="0" w:after="60" w:line="252" w:lineRule="auto"/>
            </w:pPr>
            <w:r>
              <w:rPr>
                <w:rFonts w:ascii="Calibri" w:hAnsi="Calibri"/>
                <w:color w:val="20262E"/>
                <w:sz w:val="16"/>
              </w:rPr>
              <w:t>Two independent soft alerts or one material execution-model miss</w:t>
            </w:r>
          </w:p>
        </w:tc>
        <w:tc>
          <w:tcPr>
            <w:tcW w:type="dxa" w:w="2149"/>
            <w:tcMar>
              <w:top w:w="80" w:type="dxa"/>
              <w:start w:w="120" w:type="dxa"/>
              <w:bottom w:w="80" w:type="dxa"/>
              <w:end w:w="120" w:type="dxa"/>
            </w:tcMar>
            <w:vAlign w:val="top"/>
          </w:tcPr>
          <w:p>
            <w:pPr>
              <w:spacing w:before="0" w:after="60" w:line="252" w:lineRule="auto"/>
            </w:pPr>
            <w:r>
              <w:rPr>
                <w:rFonts w:ascii="Calibri" w:hAnsi="Calibri"/>
                <w:color w:val="20262E"/>
                <w:sz w:val="16"/>
              </w:rPr>
              <w:t>Halve paper exposure units; disable affected strategy family</w:t>
            </w:r>
          </w:p>
        </w:tc>
        <w:tc>
          <w:tcPr>
            <w:tcW w:type="dxa" w:w="2536"/>
            <w:tcMar>
              <w:top w:w="80" w:type="dxa"/>
              <w:start w:w="120" w:type="dxa"/>
              <w:bottom w:w="80" w:type="dxa"/>
              <w:end w:w="120" w:type="dxa"/>
            </w:tcMar>
            <w:vAlign w:val="top"/>
          </w:tcPr>
          <w:p>
            <w:pPr>
              <w:spacing w:before="0" w:after="60" w:line="252" w:lineRule="auto"/>
            </w:pPr>
            <w:r>
              <w:rPr>
                <w:rFonts w:ascii="Calibri" w:hAnsi="Calibri"/>
                <w:color w:val="20262E"/>
                <w:sz w:val="16"/>
              </w:rPr>
              <w:t>Root-cause report, replay reconciliation, clean shadow interval</w:t>
            </w:r>
          </w:p>
        </w:tc>
      </w:tr>
      <w:tr>
        <w:trPr>
          <w:cantSplit w:val="true"/>
        </w:trPr>
        <w:tc>
          <w:tcPr>
            <w:tcW w:type="dxa" w:w="1463"/>
            <w:tcMar>
              <w:top w:w="80" w:type="dxa"/>
              <w:start w:w="120" w:type="dxa"/>
              <w:bottom w:w="80" w:type="dxa"/>
              <w:end w:w="120" w:type="dxa"/>
            </w:tcMar>
            <w:vAlign w:val="top"/>
            <w:shd w:fill="F8FAFC"/>
          </w:tcPr>
          <w:p>
            <w:pPr>
              <w:spacing w:before="0" w:after="60" w:line="252" w:lineRule="auto"/>
            </w:pPr>
            <w:r>
              <w:rPr>
                <w:rFonts w:ascii="Calibri" w:hAnsi="Calibri"/>
                <w:b/>
                <w:color w:val="20262E"/>
                <w:sz w:val="16"/>
              </w:rPr>
              <w:t>3 Quarantine</w:t>
            </w:r>
          </w:p>
        </w:tc>
        <w:tc>
          <w:tcPr>
            <w:tcW w:type="dxa" w:w="3212"/>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Severe drift, reproducibility failure, cost breach, data lineage break, or boundary distance below policy</w:t>
            </w:r>
          </w:p>
        </w:tc>
        <w:tc>
          <w:tcPr>
            <w:tcW w:type="dxa" w:w="214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Zero paper exposure for component; isolate inputs and artifacts</w:t>
            </w:r>
          </w:p>
        </w:tc>
        <w:tc>
          <w:tcPr>
            <w:tcW w:type="dxa" w:w="253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New Crucible evaluation and human approval</w:t>
            </w:r>
          </w:p>
        </w:tc>
      </w:tr>
      <w:tr>
        <w:trPr>
          <w:cantSplit w:val="true"/>
        </w:trPr>
        <w:tc>
          <w:tcPr>
            <w:tcW w:type="dxa" w:w="1463"/>
            <w:tcMar>
              <w:top w:w="80" w:type="dxa"/>
              <w:start w:w="120" w:type="dxa"/>
              <w:bottom w:w="80" w:type="dxa"/>
              <w:end w:w="120" w:type="dxa"/>
            </w:tcMar>
            <w:vAlign w:val="top"/>
          </w:tcPr>
          <w:p>
            <w:pPr>
              <w:spacing w:before="0" w:after="60" w:line="252" w:lineRule="auto"/>
            </w:pPr>
            <w:r>
              <w:rPr>
                <w:rFonts w:ascii="Calibri" w:hAnsi="Calibri"/>
                <w:b/>
                <w:color w:val="20262E"/>
                <w:sz w:val="16"/>
              </w:rPr>
              <w:t>4 System halt</w:t>
            </w:r>
          </w:p>
        </w:tc>
        <w:tc>
          <w:tcPr>
            <w:tcW w:type="dxa" w:w="3212"/>
            <w:tcMar>
              <w:top w:w="80" w:type="dxa"/>
              <w:start w:w="120" w:type="dxa"/>
              <w:bottom w:w="80" w:type="dxa"/>
              <w:end w:w="120" w:type="dxa"/>
            </w:tcMar>
            <w:vAlign w:val="top"/>
          </w:tcPr>
          <w:p>
            <w:pPr>
              <w:spacing w:before="0" w:after="60" w:line="252" w:lineRule="auto"/>
            </w:pPr>
            <w:r>
              <w:rPr>
                <w:rFonts w:ascii="Calibri" w:hAnsi="Calibri"/>
                <w:color w:val="20262E"/>
                <w:sz w:val="16"/>
              </w:rPr>
              <w:t>Stale/unknown contract definition, clock disorder beyond tolerance, risk-state divergence, policy-engine failure, or any attempted transmission</w:t>
            </w:r>
          </w:p>
        </w:tc>
        <w:tc>
          <w:tcPr>
            <w:tcW w:type="dxa" w:w="2149"/>
            <w:tcMar>
              <w:top w:w="80" w:type="dxa"/>
              <w:start w:w="120" w:type="dxa"/>
              <w:bottom w:w="80" w:type="dxa"/>
              <w:end w:w="120" w:type="dxa"/>
            </w:tcMar>
            <w:vAlign w:val="top"/>
          </w:tcPr>
          <w:p>
            <w:pPr>
              <w:spacing w:before="0" w:after="60" w:line="252" w:lineRule="auto"/>
            </w:pPr>
            <w:r>
              <w:rPr>
                <w:rFonts w:ascii="Calibri" w:hAnsi="Calibri"/>
                <w:color w:val="20262E"/>
                <w:sz w:val="16"/>
              </w:rPr>
              <w:t>Halt all strategy intents; preserve evidence; incident workflow</w:t>
            </w:r>
          </w:p>
        </w:tc>
        <w:tc>
          <w:tcPr>
            <w:tcW w:type="dxa" w:w="2536"/>
            <w:tcMar>
              <w:top w:w="80" w:type="dxa"/>
              <w:start w:w="120" w:type="dxa"/>
              <w:bottom w:w="80" w:type="dxa"/>
              <w:end w:w="120" w:type="dxa"/>
            </w:tcMar>
            <w:vAlign w:val="top"/>
          </w:tcPr>
          <w:p>
            <w:pPr>
              <w:spacing w:before="0" w:after="60" w:line="252" w:lineRule="auto"/>
            </w:pPr>
            <w:r>
              <w:rPr>
                <w:rFonts w:ascii="Calibri" w:hAnsi="Calibri"/>
                <w:color w:val="20262E"/>
                <w:sz w:val="16"/>
              </w:rPr>
              <w:t>Incident closed, invariants proven, two-person approval for any future live-capable build</w:t>
            </w:r>
          </w:p>
        </w:tc>
      </w:tr>
    </w:tbl>
    <w:p>
      <w:pPr>
        <w:spacing w:after="40"/>
      </w:pPr>
    </w:p>
    <w:p>
      <w:r>
        <w:t>Thresholds should be calibrated on stable historical and paper periods to control false-alarm rate. For example, use a CUSUM reference shift tied to an economically meaningful deterioration and choose the alarm boundary by bootstrap average run length. Use PSI/KS per feature plus a multivariate performance test; do not retrain because one high-volume feature crosses a folk threshold.</w:t>
      </w:r>
    </w:p>
    <w:p>
      <w:pPr>
        <w:pStyle w:val="Heading2"/>
      </w:pPr>
      <w:r>
        <w:t>3.3 Stage-gate ownership table</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2340"/>
        <w:gridCol w:w="2340"/>
        <w:gridCol w:w="2340"/>
        <w:gridCol w:w="2340"/>
      </w:tblGrid>
      <w:tr>
        <w:trPr>
          <w:tblHeader w:val="true"/>
          <w:cantSplit w:val="true"/>
        </w:trPr>
        <w:tc>
          <w:tcPr>
            <w:tcW w:type="dxa" w:w="1507"/>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Stage</w:t>
            </w:r>
          </w:p>
        </w:tc>
        <w:tc>
          <w:tcPr>
            <w:tcW w:type="dxa" w:w="265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Required metrics/evidence</w:t>
            </w:r>
          </w:p>
        </w:tc>
        <w:tc>
          <w:tcPr>
            <w:tcW w:type="dxa" w:w="3311"/>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Starting gate threshold</w:t>
            </w:r>
          </w:p>
        </w:tc>
        <w:tc>
          <w:tcPr>
            <w:tcW w:type="dxa" w:w="1883"/>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Owning Operative</w:t>
            </w:r>
          </w:p>
        </w:tc>
      </w:tr>
      <w:tr>
        <w:trPr>
          <w:cantSplit w:val="true"/>
        </w:trPr>
        <w:tc>
          <w:tcPr>
            <w:tcW w:type="dxa" w:w="1507"/>
            <w:tcMar>
              <w:top w:w="80" w:type="dxa"/>
              <w:start w:w="120" w:type="dxa"/>
              <w:bottom w:w="80" w:type="dxa"/>
              <w:end w:w="120" w:type="dxa"/>
            </w:tcMar>
            <w:vAlign w:val="top"/>
          </w:tcPr>
          <w:p>
            <w:pPr>
              <w:spacing w:before="0" w:after="60" w:line="252" w:lineRule="auto"/>
            </w:pPr>
            <w:r>
              <w:rPr>
                <w:rFonts w:ascii="Calibri" w:hAnsi="Calibri"/>
                <w:color w:val="20262E"/>
                <w:sz w:val="16"/>
              </w:rPr>
              <w:t>Hypothesis intake</w:t>
            </w:r>
          </w:p>
        </w:tc>
        <w:tc>
          <w:tcPr>
            <w:tcW w:type="dxa" w:w="2659"/>
            <w:tcMar>
              <w:top w:w="80" w:type="dxa"/>
              <w:start w:w="120" w:type="dxa"/>
              <w:bottom w:w="80" w:type="dxa"/>
              <w:end w:w="120" w:type="dxa"/>
            </w:tcMar>
            <w:vAlign w:val="top"/>
          </w:tcPr>
          <w:p>
            <w:pPr>
              <w:spacing w:before="0" w:after="60" w:line="252" w:lineRule="auto"/>
            </w:pPr>
            <w:r>
              <w:rPr>
                <w:rFonts w:ascii="Calibri" w:hAnsi="Calibri"/>
                <w:color w:val="20262E"/>
                <w:sz w:val="16"/>
              </w:rPr>
              <w:t>Mechanism, causal clock, baseline, primary metric, trial budget</w:t>
            </w:r>
          </w:p>
        </w:tc>
        <w:tc>
          <w:tcPr>
            <w:tcW w:type="dxa" w:w="3311"/>
            <w:tcMar>
              <w:top w:w="80" w:type="dxa"/>
              <w:start w:w="120" w:type="dxa"/>
              <w:bottom w:w="80" w:type="dxa"/>
              <w:end w:w="120" w:type="dxa"/>
            </w:tcMar>
            <w:vAlign w:val="top"/>
          </w:tcPr>
          <w:p>
            <w:pPr>
              <w:spacing w:before="0" w:after="60" w:line="252" w:lineRule="auto"/>
            </w:pPr>
            <w:r>
              <w:rPr>
                <w:rFonts w:ascii="Calibri" w:hAnsi="Calibri"/>
                <w:color w:val="20262E"/>
                <w:sz w:val="16"/>
              </w:rPr>
              <w:t>Complete, hashed, no results viewed</w:t>
            </w:r>
          </w:p>
        </w:tc>
        <w:tc>
          <w:tcPr>
            <w:tcW w:type="dxa" w:w="1883"/>
            <w:tcMar>
              <w:top w:w="80" w:type="dxa"/>
              <w:start w:w="120" w:type="dxa"/>
              <w:bottom w:w="80" w:type="dxa"/>
              <w:end w:w="120" w:type="dxa"/>
            </w:tcMar>
            <w:vAlign w:val="top"/>
          </w:tcPr>
          <w:p>
            <w:pPr>
              <w:spacing w:before="0" w:after="60" w:line="252" w:lineRule="auto"/>
            </w:pPr>
            <w:r>
              <w:rPr>
                <w:rFonts w:ascii="Calibri" w:hAnsi="Calibri"/>
                <w:color w:val="20262E"/>
                <w:sz w:val="16"/>
              </w:rPr>
              <w:t>Hypothesis Generator + Research Firewall</w:t>
            </w:r>
          </w:p>
        </w:tc>
      </w:tr>
      <w:tr>
        <w:trPr>
          <w:cantSplit w:val="true"/>
        </w:trPr>
        <w:tc>
          <w:tcPr>
            <w:tcW w:type="dxa" w:w="150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Data eligibility</w:t>
            </w:r>
          </w:p>
        </w:tc>
        <w:tc>
          <w:tcPr>
            <w:tcW w:type="dxa" w:w="26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Gap ledger, duplicates, grid/session checks, PIT tests, snapshot reproducibility</w:t>
            </w:r>
          </w:p>
        </w:tc>
        <w:tc>
          <w:tcPr>
            <w:tcW w:type="dxa" w:w="331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Zero unexplained gaps; all leak tests pass; exact snapshot replay</w:t>
            </w:r>
          </w:p>
        </w:tc>
        <w:tc>
          <w:tcPr>
            <w:tcW w:type="dxa" w:w="188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Data Steward</w:t>
            </w:r>
          </w:p>
        </w:tc>
      </w:tr>
      <w:tr>
        <w:trPr>
          <w:cantSplit w:val="true"/>
        </w:trPr>
        <w:tc>
          <w:tcPr>
            <w:tcW w:type="dxa" w:w="1507"/>
            <w:tcMar>
              <w:top w:w="80" w:type="dxa"/>
              <w:start w:w="120" w:type="dxa"/>
              <w:bottom w:w="80" w:type="dxa"/>
              <w:end w:w="120" w:type="dxa"/>
            </w:tcMar>
            <w:vAlign w:val="top"/>
          </w:tcPr>
          <w:p>
            <w:pPr>
              <w:spacing w:before="0" w:after="60" w:line="252" w:lineRule="auto"/>
            </w:pPr>
            <w:r>
              <w:rPr>
                <w:rFonts w:ascii="Calibri" w:hAnsi="Calibri"/>
                <w:color w:val="20262E"/>
                <w:sz w:val="16"/>
              </w:rPr>
              <w:t>Feature screen</w:t>
            </w:r>
          </w:p>
        </w:tc>
        <w:tc>
          <w:tcPr>
            <w:tcW w:type="dxa" w:w="2659"/>
            <w:tcMar>
              <w:top w:w="80" w:type="dxa"/>
              <w:start w:w="120" w:type="dxa"/>
              <w:bottom w:w="80" w:type="dxa"/>
              <w:end w:w="120" w:type="dxa"/>
            </w:tcMar>
            <w:vAlign w:val="top"/>
          </w:tcPr>
          <w:p>
            <w:pPr>
              <w:spacing w:before="0" w:after="60" w:line="252" w:lineRule="auto"/>
            </w:pPr>
            <w:r>
              <w:rPr>
                <w:rFonts w:ascii="Calibri" w:hAnsi="Calibri"/>
                <w:color w:val="20262E"/>
                <w:sz w:val="16"/>
              </w:rPr>
              <w:t>Fold-only IC/MI, coverage, stability, incremental score</w:t>
            </w:r>
          </w:p>
        </w:tc>
        <w:tc>
          <w:tcPr>
            <w:tcW w:type="dxa" w:w="3311"/>
            <w:tcMar>
              <w:top w:w="80" w:type="dxa"/>
              <w:start w:w="120" w:type="dxa"/>
              <w:bottom w:w="80" w:type="dxa"/>
              <w:end w:w="120" w:type="dxa"/>
            </w:tcMar>
            <w:vAlign w:val="top"/>
          </w:tcPr>
          <w:p>
            <w:pPr>
              <w:spacing w:before="0" w:after="60" w:line="252" w:lineRule="auto"/>
            </w:pPr>
            <w:r>
              <w:rPr>
                <w:rFonts w:ascii="Calibri" w:hAnsi="Calibri"/>
                <w:color w:val="20262E"/>
                <w:sz w:val="16"/>
              </w:rPr>
              <w:t>Direction stable in a majority of outer training regimes; nonzero incremental value with uncertainty; no forbidden timestamp</w:t>
            </w:r>
          </w:p>
        </w:tc>
        <w:tc>
          <w:tcPr>
            <w:tcW w:type="dxa" w:w="1883"/>
            <w:tcMar>
              <w:top w:w="80" w:type="dxa"/>
              <w:start w:w="120" w:type="dxa"/>
              <w:bottom w:w="80" w:type="dxa"/>
              <w:end w:w="120" w:type="dxa"/>
            </w:tcMar>
            <w:vAlign w:val="top"/>
          </w:tcPr>
          <w:p>
            <w:pPr>
              <w:spacing w:before="0" w:after="60" w:line="252" w:lineRule="auto"/>
            </w:pPr>
            <w:r>
              <w:rPr>
                <w:rFonts w:ascii="Calibri" w:hAnsi="Calibri"/>
                <w:color w:val="20262E"/>
                <w:sz w:val="16"/>
              </w:rPr>
              <w:t>Feature Scientist</w:t>
            </w:r>
          </w:p>
        </w:tc>
      </w:tr>
      <w:tr>
        <w:trPr>
          <w:cantSplit w:val="true"/>
        </w:trPr>
        <w:tc>
          <w:tcPr>
            <w:tcW w:type="dxa" w:w="150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Model selection</w:t>
            </w:r>
          </w:p>
        </w:tc>
        <w:tc>
          <w:tcPr>
            <w:tcW w:type="dxa" w:w="26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Nested outer predictions, calibration, complexity, search ledger</w:t>
            </w:r>
          </w:p>
        </w:tc>
        <w:tc>
          <w:tcPr>
            <w:tcW w:type="dxa" w:w="331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Beats simple baseline on median outer path; no single fold contributes a dominant share; budget intact</w:t>
            </w:r>
          </w:p>
        </w:tc>
        <w:tc>
          <w:tcPr>
            <w:tcW w:type="dxa" w:w="188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Model Developer</w:t>
            </w:r>
          </w:p>
        </w:tc>
      </w:tr>
      <w:tr>
        <w:trPr>
          <w:cantSplit w:val="true"/>
        </w:trPr>
        <w:tc>
          <w:tcPr>
            <w:tcW w:type="dxa" w:w="1507"/>
            <w:tcMar>
              <w:top w:w="80" w:type="dxa"/>
              <w:start w:w="120" w:type="dxa"/>
              <w:bottom w:w="80" w:type="dxa"/>
              <w:end w:w="120" w:type="dxa"/>
            </w:tcMar>
            <w:vAlign w:val="top"/>
          </w:tcPr>
          <w:p>
            <w:pPr>
              <w:spacing w:before="0" w:after="60" w:line="252" w:lineRule="auto"/>
            </w:pPr>
            <w:r>
              <w:rPr>
                <w:rFonts w:ascii="Calibri" w:hAnsi="Calibri"/>
                <w:color w:val="20262E"/>
                <w:sz w:val="16"/>
              </w:rPr>
              <w:t>Multiplicity</w:t>
            </w:r>
          </w:p>
        </w:tc>
        <w:tc>
          <w:tcPr>
            <w:tcW w:type="dxa" w:w="2659"/>
            <w:tcMar>
              <w:top w:w="80" w:type="dxa"/>
              <w:start w:w="120" w:type="dxa"/>
              <w:bottom w:w="80" w:type="dxa"/>
              <w:end w:w="120" w:type="dxa"/>
            </w:tcMar>
            <w:vAlign w:val="top"/>
          </w:tcPr>
          <w:p>
            <w:pPr>
              <w:spacing w:before="0" w:after="60" w:line="252" w:lineRule="auto"/>
            </w:pPr>
            <w:r>
              <w:rPr>
                <w:rFonts w:ascii="Calibri" w:hAnsi="Calibri"/>
                <w:color w:val="20262E"/>
                <w:sz w:val="16"/>
              </w:rPr>
              <w:t>DSR/PSR, PBO, SPA/Reality Check as appropriate</w:t>
            </w:r>
          </w:p>
        </w:tc>
        <w:tc>
          <w:tcPr>
            <w:tcW w:type="dxa" w:w="3311"/>
            <w:tcMar>
              <w:top w:w="80" w:type="dxa"/>
              <w:start w:w="120" w:type="dxa"/>
              <w:bottom w:w="80" w:type="dxa"/>
              <w:end w:w="120" w:type="dxa"/>
            </w:tcMar>
            <w:vAlign w:val="top"/>
          </w:tcPr>
          <w:p>
            <w:pPr>
              <w:spacing w:before="0" w:after="60" w:line="252" w:lineRule="auto"/>
            </w:pPr>
            <w:r>
              <w:rPr>
                <w:rFonts w:ascii="Calibri" w:hAnsi="Calibri"/>
                <w:color w:val="20262E"/>
                <w:sz w:val="16"/>
              </w:rPr>
              <w:t>DSR/PSR confidence target pre-registered; PBO below policy ceiling; adjusted test rejects benchmark when claimed</w:t>
            </w:r>
          </w:p>
        </w:tc>
        <w:tc>
          <w:tcPr>
            <w:tcW w:type="dxa" w:w="1883"/>
            <w:tcMar>
              <w:top w:w="80" w:type="dxa"/>
              <w:start w:w="120" w:type="dxa"/>
              <w:bottom w:w="80" w:type="dxa"/>
              <w:end w:w="120" w:type="dxa"/>
            </w:tcMar>
            <w:vAlign w:val="top"/>
          </w:tcPr>
          <w:p>
            <w:pPr>
              <w:spacing w:before="0" w:after="60" w:line="252" w:lineRule="auto"/>
            </w:pPr>
            <w:r>
              <w:rPr>
                <w:rFonts w:ascii="Calibri" w:hAnsi="Calibri"/>
                <w:color w:val="20262E"/>
                <w:sz w:val="16"/>
              </w:rPr>
              <w:t>Crucible Statistician</w:t>
            </w:r>
          </w:p>
        </w:tc>
      </w:tr>
      <w:tr>
        <w:trPr>
          <w:cantSplit w:val="true"/>
        </w:trPr>
        <w:tc>
          <w:tcPr>
            <w:tcW w:type="dxa" w:w="150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Simulator</w:t>
            </w:r>
          </w:p>
        </w:tc>
        <w:tc>
          <w:tcPr>
            <w:tcW w:type="dxa" w:w="26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Event/P&amp;L reconciliation, fill/cost sensitivity, golden corpus</w:t>
            </w:r>
          </w:p>
        </w:tc>
        <w:tc>
          <w:tcPr>
            <w:tcW w:type="dxa" w:w="331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Exact accounting identity; independently reconciled; remains acceptable under pre-registered friction stress</w:t>
            </w:r>
          </w:p>
        </w:tc>
        <w:tc>
          <w:tcPr>
            <w:tcW w:type="dxa" w:w="188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Backtest Engineer</w:t>
            </w:r>
          </w:p>
        </w:tc>
      </w:tr>
      <w:tr>
        <w:trPr>
          <w:cantSplit w:val="true"/>
        </w:trPr>
        <w:tc>
          <w:tcPr>
            <w:tcW w:type="dxa" w:w="1507"/>
            <w:tcMar>
              <w:top w:w="80" w:type="dxa"/>
              <w:start w:w="120" w:type="dxa"/>
              <w:bottom w:w="80" w:type="dxa"/>
              <w:end w:w="120" w:type="dxa"/>
            </w:tcMar>
            <w:vAlign w:val="top"/>
          </w:tcPr>
          <w:p>
            <w:pPr>
              <w:spacing w:before="0" w:after="60" w:line="252" w:lineRule="auto"/>
            </w:pPr>
            <w:r>
              <w:rPr>
                <w:rFonts w:ascii="Calibri" w:hAnsi="Calibri"/>
                <w:color w:val="20262E"/>
                <w:sz w:val="16"/>
              </w:rPr>
              <w:t>Robustness</w:t>
            </w:r>
          </w:p>
        </w:tc>
        <w:tc>
          <w:tcPr>
            <w:tcW w:type="dxa" w:w="2659"/>
            <w:tcMar>
              <w:top w:w="80" w:type="dxa"/>
              <w:start w:w="120" w:type="dxa"/>
              <w:bottom w:w="80" w:type="dxa"/>
              <w:end w:w="120" w:type="dxa"/>
            </w:tcMar>
            <w:vAlign w:val="top"/>
          </w:tcPr>
          <w:p>
            <w:pPr>
              <w:spacing w:before="0" w:after="60" w:line="252" w:lineRule="auto"/>
            </w:pPr>
            <w:r>
              <w:rPr>
                <w:rFonts w:ascii="Calibri" w:hAnsi="Calibri"/>
                <w:color w:val="20262E"/>
                <w:sz w:val="16"/>
              </w:rPr>
              <w:t>Parameter topology, roll/bar alternatives, crisis/missingness tests</w:t>
            </w:r>
          </w:p>
        </w:tc>
        <w:tc>
          <w:tcPr>
            <w:tcW w:type="dxa" w:w="3311"/>
            <w:tcMar>
              <w:top w:w="80" w:type="dxa"/>
              <w:start w:w="120" w:type="dxa"/>
              <w:bottom w:w="80" w:type="dxa"/>
              <w:end w:w="120" w:type="dxa"/>
            </w:tcMar>
            <w:vAlign w:val="top"/>
          </w:tcPr>
          <w:p>
            <w:pPr>
              <w:spacing w:before="0" w:after="60" w:line="252" w:lineRule="auto"/>
            </w:pPr>
            <w:r>
              <w:rPr>
                <w:rFonts w:ascii="Calibri" w:hAnsi="Calibri"/>
                <w:color w:val="20262E"/>
                <w:sz w:val="16"/>
              </w:rPr>
              <w:t>No isolated optimum; sign and risk behavior persist across required perturbations</w:t>
            </w:r>
          </w:p>
        </w:tc>
        <w:tc>
          <w:tcPr>
            <w:tcW w:type="dxa" w:w="1883"/>
            <w:tcMar>
              <w:top w:w="80" w:type="dxa"/>
              <w:start w:w="120" w:type="dxa"/>
              <w:bottom w:w="80" w:type="dxa"/>
              <w:end w:w="120" w:type="dxa"/>
            </w:tcMar>
            <w:vAlign w:val="top"/>
          </w:tcPr>
          <w:p>
            <w:pPr>
              <w:spacing w:before="0" w:after="60" w:line="252" w:lineRule="auto"/>
            </w:pPr>
            <w:r>
              <w:rPr>
                <w:rFonts w:ascii="Calibri" w:hAnsi="Calibri"/>
                <w:color w:val="20262E"/>
                <w:sz w:val="16"/>
              </w:rPr>
              <w:t>Red-Team Reviewer</w:t>
            </w:r>
          </w:p>
        </w:tc>
      </w:tr>
      <w:tr>
        <w:trPr>
          <w:cantSplit w:val="true"/>
        </w:trPr>
        <w:tc>
          <w:tcPr>
            <w:tcW w:type="dxa" w:w="150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Generic boundary stress</w:t>
            </w:r>
          </w:p>
        </w:tc>
        <w:tc>
          <w:tcPr>
            <w:tcW w:type="dxa" w:w="26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Breach probability, time-to-boundary, min-distance distribution</w:t>
            </w:r>
          </w:p>
        </w:tc>
        <w:tc>
          <w:tcPr>
            <w:tcW w:type="dxa" w:w="331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Below pre-registered research ceiling across correlation and friction stress; no sizing output</w:t>
            </w:r>
          </w:p>
        </w:tc>
        <w:tc>
          <w:tcPr>
            <w:tcW w:type="dxa" w:w="188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Risk Officer</w:t>
            </w:r>
          </w:p>
        </w:tc>
      </w:tr>
      <w:tr>
        <w:trPr>
          <w:cantSplit w:val="true"/>
        </w:trPr>
        <w:tc>
          <w:tcPr>
            <w:tcW w:type="dxa" w:w="1507"/>
            <w:tcMar>
              <w:top w:w="80" w:type="dxa"/>
              <w:start w:w="120" w:type="dxa"/>
              <w:bottom w:w="80" w:type="dxa"/>
              <w:end w:w="120" w:type="dxa"/>
            </w:tcMar>
            <w:vAlign w:val="top"/>
          </w:tcPr>
          <w:p>
            <w:pPr>
              <w:spacing w:before="0" w:after="60" w:line="252" w:lineRule="auto"/>
            </w:pPr>
            <w:r>
              <w:rPr>
                <w:rFonts w:ascii="Calibri" w:hAnsi="Calibri"/>
                <w:color w:val="20262E"/>
                <w:sz w:val="16"/>
              </w:rPr>
              <w:t>Paper forward</w:t>
            </w:r>
          </w:p>
        </w:tc>
        <w:tc>
          <w:tcPr>
            <w:tcW w:type="dxa" w:w="2659"/>
            <w:tcMar>
              <w:top w:w="80" w:type="dxa"/>
              <w:start w:w="120" w:type="dxa"/>
              <w:bottom w:w="80" w:type="dxa"/>
              <w:end w:w="120" w:type="dxa"/>
            </w:tcMar>
            <w:vAlign w:val="top"/>
          </w:tcPr>
          <w:p>
            <w:pPr>
              <w:spacing w:before="0" w:after="60" w:line="252" w:lineRule="auto"/>
            </w:pPr>
            <w:r>
              <w:rPr>
                <w:rFonts w:ascii="Calibri" w:hAnsi="Calibri"/>
                <w:color w:val="20262E"/>
                <w:sz w:val="16"/>
              </w:rPr>
              <w:t>Net paper metrics, feature availability, slippage/model error, incidents</w:t>
            </w:r>
          </w:p>
        </w:tc>
        <w:tc>
          <w:tcPr>
            <w:tcW w:type="dxa" w:w="3311"/>
            <w:tcMar>
              <w:top w:w="80" w:type="dxa"/>
              <w:start w:w="120" w:type="dxa"/>
              <w:bottom w:w="80" w:type="dxa"/>
              <w:end w:w="120" w:type="dxa"/>
            </w:tcMar>
            <w:vAlign w:val="top"/>
          </w:tcPr>
          <w:p>
            <w:pPr>
              <w:spacing w:before="0" w:after="60" w:line="252" w:lineRule="auto"/>
            </w:pPr>
            <w:r>
              <w:rPr>
                <w:rFonts w:ascii="Calibri" w:hAnsi="Calibri"/>
                <w:color w:val="20262E"/>
                <w:sz w:val="16"/>
              </w:rPr>
              <w:t>Locked interval complete; no hard invariant breaches; effect direction consistent; minimum opportunity count met</w:t>
            </w:r>
          </w:p>
        </w:tc>
        <w:tc>
          <w:tcPr>
            <w:tcW w:type="dxa" w:w="1883"/>
            <w:tcMar>
              <w:top w:w="80" w:type="dxa"/>
              <w:start w:w="120" w:type="dxa"/>
              <w:bottom w:w="80" w:type="dxa"/>
              <w:end w:w="120" w:type="dxa"/>
            </w:tcMar>
            <w:vAlign w:val="top"/>
          </w:tcPr>
          <w:p>
            <w:pPr>
              <w:spacing w:before="0" w:after="60" w:line="252" w:lineRule="auto"/>
            </w:pPr>
            <w:r>
              <w:rPr>
                <w:rFonts w:ascii="Calibri" w:hAnsi="Calibri"/>
                <w:color w:val="20262E"/>
                <w:sz w:val="16"/>
              </w:rPr>
              <w:t>Paper Execution Trader</w:t>
            </w:r>
          </w:p>
        </w:tc>
      </w:tr>
      <w:tr>
        <w:trPr>
          <w:cantSplit w:val="true"/>
        </w:trPr>
        <w:tc>
          <w:tcPr>
            <w:tcW w:type="dxa" w:w="150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Portfolio/allocator</w:t>
            </w:r>
          </w:p>
        </w:tc>
        <w:tc>
          <w:tcPr>
            <w:tcW w:type="dxa" w:w="26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Child OOS predictions, concentration, turnover, correlation stress</w:t>
            </w:r>
          </w:p>
        </w:tc>
        <w:tc>
          <w:tcPr>
            <w:tcW w:type="dxa" w:w="331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Beats equal-weight robust baseline after costs or remains simpler baseline; no hidden fold leakage</w:t>
            </w:r>
          </w:p>
        </w:tc>
        <w:tc>
          <w:tcPr>
            <w:tcW w:type="dxa" w:w="188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Allocator/CIO</w:t>
            </w:r>
          </w:p>
        </w:tc>
      </w:tr>
      <w:tr>
        <w:trPr>
          <w:cantSplit w:val="true"/>
        </w:trPr>
        <w:tc>
          <w:tcPr>
            <w:tcW w:type="dxa" w:w="1507"/>
            <w:tcMar>
              <w:top w:w="80" w:type="dxa"/>
              <w:start w:w="120" w:type="dxa"/>
              <w:bottom w:w="80" w:type="dxa"/>
              <w:end w:w="120" w:type="dxa"/>
            </w:tcMar>
            <w:vAlign w:val="top"/>
          </w:tcPr>
          <w:p>
            <w:pPr>
              <w:spacing w:before="0" w:after="60" w:line="252" w:lineRule="auto"/>
            </w:pPr>
            <w:r>
              <w:rPr>
                <w:rFonts w:ascii="Calibri" w:hAnsi="Calibri"/>
                <w:color w:val="20262E"/>
                <w:sz w:val="16"/>
              </w:rPr>
              <w:t>Promotion</w:t>
            </w:r>
          </w:p>
        </w:tc>
        <w:tc>
          <w:tcPr>
            <w:tcW w:type="dxa" w:w="2659"/>
            <w:tcMar>
              <w:top w:w="80" w:type="dxa"/>
              <w:start w:w="120" w:type="dxa"/>
              <w:bottom w:w="80" w:type="dxa"/>
              <w:end w:w="120" w:type="dxa"/>
            </w:tcMar>
            <w:vAlign w:val="top"/>
          </w:tcPr>
          <w:p>
            <w:pPr>
              <w:spacing w:before="0" w:after="60" w:line="252" w:lineRule="auto"/>
            </w:pPr>
            <w:r>
              <w:rPr>
                <w:rFonts w:ascii="Calibri" w:hAnsi="Calibri"/>
                <w:color w:val="20262E"/>
                <w:sz w:val="16"/>
              </w:rPr>
              <w:t>Signed evidence graph, red-team dissent, model card, human approval</w:t>
            </w:r>
          </w:p>
        </w:tc>
        <w:tc>
          <w:tcPr>
            <w:tcW w:type="dxa" w:w="3311"/>
            <w:tcMar>
              <w:top w:w="80" w:type="dxa"/>
              <w:start w:w="120" w:type="dxa"/>
              <w:bottom w:w="80" w:type="dxa"/>
              <w:end w:w="120" w:type="dxa"/>
            </w:tcMar>
            <w:vAlign w:val="top"/>
          </w:tcPr>
          <w:p>
            <w:pPr>
              <w:spacing w:before="0" w:after="60" w:line="252" w:lineRule="auto"/>
            </w:pPr>
            <w:r>
              <w:rPr>
                <w:rFonts w:ascii="Calibri" w:hAnsi="Calibri"/>
                <w:color w:val="20262E"/>
                <w:sz w:val="16"/>
              </w:rPr>
              <w:t>All mandatory artifacts present; zero unresolved critical dissent</w:t>
            </w:r>
          </w:p>
        </w:tc>
        <w:tc>
          <w:tcPr>
            <w:tcW w:type="dxa" w:w="1883"/>
            <w:tcMar>
              <w:top w:w="80" w:type="dxa"/>
              <w:start w:w="120" w:type="dxa"/>
              <w:bottom w:w="80" w:type="dxa"/>
              <w:end w:w="120" w:type="dxa"/>
            </w:tcMar>
            <w:vAlign w:val="top"/>
          </w:tcPr>
          <w:p>
            <w:pPr>
              <w:spacing w:before="0" w:after="60" w:line="252" w:lineRule="auto"/>
            </w:pPr>
            <w:r>
              <w:rPr>
                <w:rFonts w:ascii="Calibri" w:hAnsi="Calibri"/>
                <w:color w:val="20262E"/>
                <w:sz w:val="16"/>
              </w:rPr>
              <w:t>Crucible Chair + Human</w:t>
            </w:r>
          </w:p>
        </w:tc>
      </w:tr>
      <w:tr>
        <w:trPr>
          <w:cantSplit w:val="true"/>
        </w:trPr>
        <w:tc>
          <w:tcPr>
            <w:tcW w:type="dxa" w:w="150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Live monitoring (paper)</w:t>
            </w:r>
          </w:p>
        </w:tc>
        <w:tc>
          <w:tcPr>
            <w:tcW w:type="dxa" w:w="265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CUSUM, PSI/KS, calibration, slippage, missingness, boundary distance</w:t>
            </w:r>
          </w:p>
        </w:tc>
        <w:tc>
          <w:tcPr>
            <w:tcW w:type="dxa" w:w="331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Remain within calibrated bands; otherwise ladder action is automatic</w:t>
            </w:r>
          </w:p>
        </w:tc>
        <w:tc>
          <w:tcPr>
            <w:tcW w:type="dxa" w:w="188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Risk Officer + SRE</w:t>
            </w:r>
          </w:p>
        </w:tc>
      </w:tr>
    </w:tbl>
    <w:p>
      <w:pPr>
        <w:spacing w:after="40"/>
      </w:pPr>
    </w:p>
    <w:p>
      <w:pPr>
        <w:shd w:fill="E8EEF5"/>
        <w:pBdr>
          <w:left w:val="single" w:sz="18" w:space="6" w:color="2E74B5"/>
        </w:pBdr>
        <w:ind w:left="160" w:right="160"/>
        <w:spacing w:before="90" w:after="90"/>
      </w:pPr>
      <w:r>
        <w:rPr>
          <w:b/>
        </w:rPr>
        <w:t>CELL//OS mapping.</w:t>
      </w:r>
      <w:r>
        <w:t xml:space="preserve"> Planning materializes the immutable validation DAG; Evaluation owns metric definitions; Crucible is the blind outer evaluator; Policy controls trial budgets and state transitions; Memory stores every trial, including failures; Learning updates priors only after evaluation; Evolution/Blackbox receives fitness summaries but never hidden holdout data. The Risk Officer holds veto authority, and Temporal resumes long-running validation workflows from checkpoints.</w:t>
      </w:r>
    </w:p>
    <w:p>
      <w:r>
        <w:br w:type="page"/>
      </w:r>
    </w:p>
    <w:p>
      <w:pPr>
        <w:pStyle w:val="Heading1"/>
      </w:pPr>
      <w:r>
        <w:t>4. Modern architectures for feature engineering, ranking, and selection</w:t>
      </w:r>
    </w:p>
    <w:p>
      <w:pPr>
        <w:pStyle w:val="Heading2"/>
      </w:pPr>
      <w:r>
        <w:t>4.1 Alpha representation and type system</w:t>
      </w:r>
    </w:p>
    <w:p>
      <w:r>
        <w:t>Represent every candidate as a typed directed acyclic graph, not arbitrary Python. Node metadata includes unit, frequency, event-time closure, maximum lookback, availability lag, null behavior, statefulness, and differentiability/compilation support. The compiler rejects dimensional nonsense (adding price to volume), unbounded division, cross-session leakage, negative lookbacks, and any upstream fact without a causal availability contract.</w:t>
      </w:r>
    </w:p>
    <w:p>
      <w:r>
        <w:t>The initial grammar should be small: lag/difference/log-return; rolling mean/variance/quantile; exponentially weighted state; signed trade and quote imbalance; spread/depth; realized range/variance; time-of-day and session state; event proximity; cross-instrument lagged returns; bounded nonlinearities; comparisons; and arithmetic. Every expression compiles to Polars for batch research and Rust/Arrow for deterministic replay. Property tests compare implementations on randomized inputs.</w:t>
      </w:r>
    </w:p>
    <w:p>
      <w:pPr>
        <w:pStyle w:val="Heading2"/>
      </w:pPr>
      <w:r>
        <w:t>4.2 Discovery lanes</w:t>
      </w:r>
    </w:p>
    <w:p>
      <w:r>
        <w:rPr>
          <w:b/>
        </w:rPr>
        <w:t>Formulaic mining (established engineering, high statistical risk).</w:t>
      </w:r>
      <w:r>
        <w:t xml:space="preserve"> Enumerate shallow expressions from economic templates—trend, reversal, liquidity, volatility, cross-market lead/lag—then deduplicate by normalized syntax and output correlation. Before expensive simulation, reject low coverage, excessive turnover, numerical instability, and near-duplicates. Blackbox may use genetic operations only inside a fixed grammar and trial budget.</w:t>
      </w:r>
    </w:p>
    <w:p>
      <w:r>
        <w:rPr>
          <w:b/>
        </w:rPr>
        <w:t>LLM-proposed, automatically tested hypotheses (promising).</w:t>
      </w:r>
      <w:r>
        <w:t xml:space="preserve"> Give the Hypothesis Generator source-grounded context, allowed data dictionary, and a structured schema: mechanism, necessary facts, causal time, expected sign, invalidating conditions, and simplest baseline. A compiler creates tests and an experiment manifest. The LLM never sees Crucible holdout metrics or account-like limits. Ideas without falsifiable mechanisms are archived, not tested.</w:t>
      </w:r>
    </w:p>
    <w:p>
      <w:r>
        <w:rPr>
          <w:b/>
        </w:rPr>
        <w:t>Representation learning (promising).</w:t>
      </w:r>
      <w:r>
        <w:t xml:space="preserve"> Contrastive or masked pretraining can learn embeddings from quote/trade sequences. Freeze the encoder, fit a linear probe inside training folds, and compare with hand-built aggregates. If a representation helps only after end-to-end fine-tuning and a large search, count the full search. Embeddings must have deterministic versioning and drift monitoring.</w:t>
      </w:r>
    </w:p>
    <w:p>
      <w:r>
        <w:rPr>
          <w:b/>
        </w:rPr>
        <w:t>Regime layer feeding a mixture of experts (established pattern, easy to overfit).</w:t>
      </w:r>
      <w:r>
        <w:t xml:space="preserve"> The regime service emits probabilities from observable states—volatility, liquidity, trend, event proximity—not ex-post labels. Experts remain viable across a range of regime probabilities; soft gating avoids flip-flop. Evaluate the gate plus experts as one composite model, including gate turnover.</w:t>
      </w:r>
    </w:p>
    <w:p>
      <w:pPr>
        <w:pStyle w:val="Heading2"/>
      </w:pPr>
      <w:r>
        <w:t>4.3 Ranking without a leaderboard trap</w:t>
      </w:r>
    </w:p>
    <w:p>
      <w:r>
        <w:t>Use a multi-axis evidence vector rather than one score:</w:t>
      </w:r>
    </w:p>
    <w:p>
      <w:r>
        <w:rPr>
          <w:rFonts w:ascii="Consolas" w:hAnsi="Consolas"/>
          <w:color w:val="1F4D78"/>
          <w:sz w:val="18"/>
          <w:shd w:fill="EEF2F6"/>
        </w:rPr>
        <w:t>E = {net_oos_effect, uncertainty, DSR/SPA evidence, PBO, fold_dispersion, tail_loss, turnover, cost_elasticity, parameter_curvature, regime_coverage, novelty, complexity, reproducibility, paper_age}</w:t>
      </w:r>
      <w:r>
        <w:t>.</w:t>
      </w:r>
    </w:p>
    <w:p>
      <w:r>
        <w:t>Build the Pareto set first. For operational prioritization, use a frozen lexicographic policy: hard correctness -&gt; multiplicity -&gt; robustness -&gt; paper evidence -&gt; cost -&gt; simplicity. Never allow a slightly higher Sharpe to compensate for a lineage failure.</w:t>
      </w:r>
    </w:p>
    <w:p>
      <w:r>
        <w:t>For strategy tournaments, Elo can update pairwise relative performance but assumes a contest definition and ignores censoring; TrueSkill represents uncertainty but still depends on match construction. A better primary view is survival analysis: time until quarantine under standardized regime and friction challenges, with right-censoring for strategies still active. Tournament ratings are triage features, not promotion evidence.</w:t>
      </w:r>
    </w:p>
    <w:p>
      <w:pPr>
        <w:pStyle w:val="Heading2"/>
      </w:pPr>
      <w:r>
        <w:t>4.4 Lifecycle states</w:t>
      </w:r>
    </w:p>
    <w:p>
      <w:r>
        <w:rPr>
          <w:rFonts w:ascii="Consolas" w:hAnsi="Consolas"/>
          <w:color w:val="1F4D78"/>
          <w:sz w:val="18"/>
          <w:shd w:fill="EEF2F6"/>
        </w:rPr>
        <w:t>DRAFT -&gt; REGISTERED -&gt; DATA-ELIGIBLE -&gt; INNER-VALIDATED -&gt; CRUCIBLE -&gt; SHADOW -&gt; PAPER -&gt; PROMOTED-PAPER -&gt; WATCH -&gt; QUARANTINED -&gt; RETIRED</w:t>
      </w:r>
      <w:r>
        <w:t>.</w:t>
      </w:r>
    </w:p>
    <w:p>
      <w:r>
        <w:t>Transitions are policy events with required evidence. There is no direct path from DRAFT to PAPER. A mutation creates a new child ID; it cannot inherit its parent's holdout evidence. Quarantined strategies retain artifacts and may be re-tested only with a new pre-registration and fresh confirmatory window. “Retired” is terminal for that version.</w:t>
      </w:r>
    </w:p>
    <w:p>
      <w:pPr>
        <w:pStyle w:val="Heading2"/>
      </w:pPr>
      <w:r>
        <w:t>4.5 Research firewall</w:t>
      </w:r>
    </w:p>
    <w:p>
      <w:r>
        <w:t>The firewall is an information barrier between generators and evaluators:</w:t>
      </w:r>
    </w:p>
    <w:p>
      <w:pPr>
        <w:numPr>
          <w:ilvl w:val="0"/>
          <w:numId w:val="14"/>
        </w:numPr>
        <w:spacing w:after="80" w:line="300" w:lineRule="auto"/>
      </w:pPr>
      <w:r>
        <w:t>The generator sees training datasets, public sources, aggregate failure categories, and permitted feature schemas.</w:t>
      </w:r>
    </w:p>
    <w:p>
      <w:pPr>
        <w:numPr>
          <w:ilvl w:val="0"/>
          <w:numId w:val="14"/>
        </w:numPr>
        <w:spacing w:after="80" w:line="300" w:lineRule="auto"/>
      </w:pPr>
      <w:r>
        <w:t>The evaluator sees the frozen candidate bundle, private split keys, and holdout data; it returns a signed pass/fail plus redacted metric vector.</w:t>
      </w:r>
    </w:p>
    <w:p>
      <w:pPr>
        <w:numPr>
          <w:ilvl w:val="0"/>
          <w:numId w:val="14"/>
        </w:numPr>
        <w:spacing w:after="80" w:line="300" w:lineRule="auto"/>
      </w:pPr>
      <w:r>
        <w:t>Blackbox receives coarse fitness ranks only for authorized search rounds, never raw holdout residuals or exact hidden thresholds.</w:t>
      </w:r>
    </w:p>
    <w:p>
      <w:pPr>
        <w:numPr>
          <w:ilvl w:val="0"/>
          <w:numId w:val="14"/>
        </w:numPr>
        <w:spacing w:after="80" w:line="300" w:lineRule="auto"/>
      </w:pPr>
      <w:r>
        <w:t>Split manifests and encrypted holdout credentials belong to a separate capability domain.</w:t>
      </w:r>
    </w:p>
    <w:p>
      <w:pPr>
        <w:numPr>
          <w:ilvl w:val="0"/>
          <w:numId w:val="14"/>
        </w:numPr>
        <w:spacing w:after="80" w:line="300" w:lineRule="auto"/>
      </w:pPr>
      <w:r>
        <w:t>The Prop-Rule Warden analogue maintains generic rule documents but cannot tune hypotheses to their thresholds.</w:t>
      </w:r>
    </w:p>
    <w:p>
      <w:pPr>
        <w:numPr>
          <w:ilvl w:val="0"/>
          <w:numId w:val="14"/>
        </w:numPr>
        <w:spacing w:after="80" w:line="300" w:lineRule="auto"/>
      </w:pPr>
      <w:r>
        <w:t>Human reviewers see dissent, trial counts, and every exception; overrides require a reason code and expire.</w:t>
      </w:r>
    </w:p>
    <w:p>
      <w:r>
        <w:t>This blocks “gate gaming,” where an agent learns the evaluator's quirks or repeatedly queries a holdout until it becomes training data. It also reduces correlated reasoning errors: an adversarial reviewer should have a different prompt, context, and objective, not merely a second completion of the same instruction. Multi-agent debate has shown gains on some factual/reasoning tasks, but trading reliability still requires external evidence and deterministic checks (</w:t>
      </w:r>
      <w:hyperlink r:id="rId59">
        <w:r>
          <w:rPr>
            <w:color w:val="2E74B5"/>
            <w:u w:val="single"/>
          </w:rPr>
          <w:t xml:space="preserve">Du et al. 2023</w:t>
        </w:r>
      </w:hyperlink>
      <w:r>
        <w:t>).</w:t>
      </w:r>
    </w:p>
    <w:p>
      <w:pPr>
        <w:shd w:fill="E8EEF5"/>
        <w:pBdr>
          <w:left w:val="single" w:sz="18" w:space="6" w:color="2E74B5"/>
        </w:pBdr>
        <w:ind w:left="160" w:right="160"/>
        <w:spacing w:before="90" w:after="90"/>
      </w:pPr>
      <w:r>
        <w:rPr>
          <w:b/>
        </w:rPr>
        <w:t>CELL//OS mapping.</w:t>
      </w:r>
      <w:r>
        <w:t xml:space="preserve"> Feature Scientist owns the typed alpha DSL; Hypothesis Generator and Blackbox write candidates; Capability Registry enforces data and metric visibility; Knowledge Broker serves source-grounded context; Crucible controls private splits; Memory implements immutable lineage and parent-child strategy graphs; Policy Engine enforces lifecycle transitions and expiring overrides.</w:t>
      </w:r>
    </w:p>
    <w:p>
      <w:r>
        <w:br w:type="page"/>
      </w:r>
    </w:p>
    <w:p>
      <w:pPr>
        <w:pStyle w:val="Heading1"/>
      </w:pPr>
      <w:r>
        <w:t>5. Backtesting, paper execution, and connectivity stack</w:t>
      </w:r>
    </w:p>
    <w:p>
      <w:pPr>
        <w:pStyle w:val="Heading2"/>
      </w:pPr>
      <w:r>
        <w:t>5.1 What fidelity is actually required</w:t>
      </w:r>
    </w:p>
    <w:p>
      <w:r>
        <w:t>For an intraday NQ/MNQ research program measured in minutes to hours, the correct default is not a single “perfect” simulator. Use a ladder. A vectorized engine rejects weak hypotheses cheaply; an event-driven engine validates state, rolls, costs, and accounting; an order-book replay engine challenges the small set whose thesis depends on spread, depth, or passive fills. The highest-fidelity simulator is still a model: historical market-data feeds ordinarily show the public book, not the private queue identifiers, gateway state, or competing hidden liquidity that determined a historical fill.</w:t>
      </w:r>
    </w:p>
    <w:p>
      <w:r>
        <w:t xml:space="preserve">The immutable simulation clock must separate exchange event time, receive time, decision time, intended release time, acknowledged time, and modeled fill time. Input events are totally ordered by </w:t>
      </w:r>
      <w:r>
        <w:rPr>
          <w:rFonts w:ascii="Consolas" w:hAnsi="Consolas"/>
          <w:color w:val="1F4D78"/>
          <w:sz w:val="18"/>
          <w:shd w:fill="EEF2F6"/>
        </w:rPr>
        <w:t>(event_time, sequence, capture_source)</w:t>
      </w:r>
      <w:r>
        <w:t>; ties use documented feed semantics. Decisions read only state closed before the decision clock. The order model applies a sampled or conservative latency distribution, price-time queue assumptions, partial fills, cancels, session transitions, contract multipliers, commissions, exchange fees, and variation-margin accounting. “Fill at next bar open” is acceptable only as a deliberately coarse screening model whose optimism is stress-tested.</w:t>
      </w:r>
    </w:p>
    <w:p>
      <w:pPr>
        <w:pStyle w:val="Heading2"/>
      </w:pPr>
      <w:r>
        <w:t>5.2 Engine comparison, version-stamped 4 September 2026</w:t>
      </w:r>
    </w:p>
    <w:p>
      <w:r>
        <w:t xml:space="preserve">Scores below describe native emphasis rather than every possible extension. Versions are the latest stable public releases that were independently visible on the cited package pages on the report date. A version marked </w:t>
      </w:r>
      <w:r>
        <w:rPr>
          <w:b/>
        </w:rPr>
        <w:t>unverified</w:t>
      </w:r>
      <w:r>
        <w:t xml:space="preserve"> means no authoritative, stable release number was confirmed; pin an audited commit before adoption.</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1337"/>
        <w:gridCol w:w="1337"/>
        <w:gridCol w:w="1337"/>
        <w:gridCol w:w="1337"/>
        <w:gridCol w:w="1337"/>
        <w:gridCol w:w="1337"/>
        <w:gridCol w:w="1337"/>
      </w:tblGrid>
      <w:tr>
        <w:trPr>
          <w:tblHeader w:val="true"/>
          <w:cantSplit w:val="true"/>
        </w:trPr>
        <w:tc>
          <w:tcPr>
            <w:tcW w:type="dxa" w:w="84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Engine</w:t>
            </w:r>
          </w:p>
        </w:tc>
        <w:tc>
          <w:tcPr>
            <w:tcW w:type="dxa" w:w="1258"/>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Version checked</w:t>
            </w:r>
          </w:p>
        </w:tc>
        <w:tc>
          <w:tcPr>
            <w:tcW w:type="dxa" w:w="1394"/>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Native strength</w:t>
            </w:r>
          </w:p>
        </w:tc>
        <w:tc>
          <w:tcPr>
            <w:tcW w:type="dxa" w:w="1587"/>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L2/queue/latency</w:t>
            </w:r>
          </w:p>
        </w:tc>
        <w:tc>
          <w:tcPr>
            <w:tcW w:type="dxa" w:w="1394"/>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Futures rolls, fees, margin</w:t>
            </w:r>
          </w:p>
        </w:tc>
        <w:tc>
          <w:tcPr>
            <w:tcW w:type="dxa" w:w="114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Best CELL//OS role</w:t>
            </w:r>
          </w:p>
        </w:tc>
        <w:tc>
          <w:tcPr>
            <w:tcW w:type="dxa" w:w="172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Principal limitation</w:t>
            </w:r>
          </w:p>
        </w:tc>
      </w:tr>
      <w:tr>
        <w:trPr>
          <w:cantSplit w:val="true"/>
        </w:trPr>
        <w:tc>
          <w:tcPr>
            <w:tcW w:type="dxa" w:w="849"/>
            <w:tcMar>
              <w:top w:w="80" w:type="dxa"/>
              <w:start w:w="120" w:type="dxa"/>
              <w:bottom w:w="80" w:type="dxa"/>
              <w:end w:w="120" w:type="dxa"/>
            </w:tcMar>
            <w:vAlign w:val="top"/>
          </w:tcPr>
          <w:p>
            <w:pPr>
              <w:spacing w:before="0" w:after="60" w:line="252" w:lineRule="auto"/>
            </w:pPr>
            <w:r>
              <w:rPr>
                <w:rFonts w:ascii="Calibri" w:hAnsi="Calibri"/>
                <w:color w:val="20262E"/>
                <w:sz w:val="16"/>
              </w:rPr>
              <w:t>NautilusTrader</w:t>
            </w:r>
          </w:p>
        </w:tc>
        <w:tc>
          <w:tcPr>
            <w:tcW w:type="dxa" w:w="1258"/>
            <w:tcMar>
              <w:top w:w="80" w:type="dxa"/>
              <w:start w:w="120" w:type="dxa"/>
              <w:bottom w:w="80" w:type="dxa"/>
              <w:end w:w="120" w:type="dxa"/>
            </w:tcMar>
            <w:vAlign w:val="top"/>
          </w:tcPr>
          <w:p>
            <w:pPr>
              <w:spacing w:before="0" w:after="60" w:line="252" w:lineRule="auto"/>
            </w:pPr>
            <w:r>
              <w:rPr>
                <w:rFonts w:ascii="Calibri" w:hAnsi="Calibri"/>
                <w:color w:val="20262E"/>
                <w:sz w:val="16"/>
              </w:rPr>
              <w:t>1.231.0, 2 Aug 2026 (</w:t>
            </w:r>
            <w:hyperlink r:id="rId60">
              <w:r>
                <w:rPr>
                  <w:color w:val="2E74B5"/>
                  <w:u w:val="single"/>
                </w:rPr>
                <w:t xml:space="preserve">PyPI</w:t>
              </w:r>
            </w:hyperlink>
            <w:r>
              <w:rPr>
                <w:rFonts w:ascii="Calibri" w:hAnsi="Calibri"/>
                <w:color w:val="20262E"/>
                <w:sz w:val="16"/>
              </w:rPr>
              <w:t>)</w:t>
            </w:r>
          </w:p>
        </w:tc>
        <w:tc>
          <w:tcPr>
            <w:tcW w:type="dxa" w:w="1394"/>
            <w:tcMar>
              <w:top w:w="80" w:type="dxa"/>
              <w:start w:w="120" w:type="dxa"/>
              <w:bottom w:w="80" w:type="dxa"/>
              <w:end w:w="120" w:type="dxa"/>
            </w:tcMar>
            <w:vAlign w:val="top"/>
          </w:tcPr>
          <w:p>
            <w:pPr>
              <w:spacing w:before="0" w:after="60" w:line="252" w:lineRule="auto"/>
            </w:pPr>
            <w:r>
              <w:rPr>
                <w:rFonts w:ascii="Calibri" w:hAnsi="Calibri"/>
                <w:color w:val="20262E"/>
                <w:sz w:val="16"/>
              </w:rPr>
              <w:t>Rust core, Python strategy API, event-driven parity between backtest and adapters</w:t>
            </w:r>
          </w:p>
        </w:tc>
        <w:tc>
          <w:tcPr>
            <w:tcW w:type="dxa" w:w="1587"/>
            <w:tcMar>
              <w:top w:w="80" w:type="dxa"/>
              <w:start w:w="120" w:type="dxa"/>
              <w:bottom w:w="80" w:type="dxa"/>
              <w:end w:w="120" w:type="dxa"/>
            </w:tcMar>
            <w:vAlign w:val="top"/>
          </w:tcPr>
          <w:p>
            <w:pPr>
              <w:spacing w:before="0" w:after="60" w:line="252" w:lineRule="auto"/>
            </w:pPr>
            <w:r>
              <w:rPr>
                <w:rFonts w:ascii="Calibri" w:hAnsi="Calibri"/>
                <w:color w:val="20262E"/>
                <w:sz w:val="16"/>
              </w:rPr>
              <w:t>L2-capable; custom fill/latency models; queue assumptions must be validated</w:t>
            </w:r>
          </w:p>
        </w:tc>
        <w:tc>
          <w:tcPr>
            <w:tcW w:type="dxa" w:w="1394"/>
            <w:tcMar>
              <w:top w:w="80" w:type="dxa"/>
              <w:start w:w="120" w:type="dxa"/>
              <w:bottom w:w="80" w:type="dxa"/>
              <w:end w:w="120" w:type="dxa"/>
            </w:tcMar>
            <w:vAlign w:val="top"/>
          </w:tcPr>
          <w:p>
            <w:pPr>
              <w:spacing w:before="0" w:after="60" w:line="252" w:lineRule="auto"/>
            </w:pPr>
            <w:r>
              <w:rPr>
                <w:rFonts w:ascii="Calibri" w:hAnsi="Calibri"/>
                <w:color w:val="20262E"/>
                <w:sz w:val="16"/>
              </w:rPr>
              <w:t>Strong instrument/account model; contract lifecycle remains data-dependent</w:t>
            </w:r>
          </w:p>
        </w:tc>
        <w:tc>
          <w:tcPr>
            <w:tcW w:type="dxa" w:w="1149"/>
            <w:tcMar>
              <w:top w:w="80" w:type="dxa"/>
              <w:start w:w="120" w:type="dxa"/>
              <w:bottom w:w="80" w:type="dxa"/>
              <w:end w:w="120" w:type="dxa"/>
            </w:tcMar>
            <w:vAlign w:val="top"/>
          </w:tcPr>
          <w:p>
            <w:pPr>
              <w:spacing w:before="0" w:after="60" w:line="252" w:lineRule="auto"/>
            </w:pPr>
            <w:r>
              <w:rPr>
                <w:rFonts w:ascii="Calibri" w:hAnsi="Calibri"/>
                <w:color w:val="20262E"/>
                <w:sz w:val="16"/>
              </w:rPr>
              <w:t>Canonical event simulator and paper runtime</w:t>
            </w:r>
          </w:p>
        </w:tc>
        <w:tc>
          <w:tcPr>
            <w:tcW w:type="dxa" w:w="1729"/>
            <w:tcMar>
              <w:top w:w="80" w:type="dxa"/>
              <w:start w:w="120" w:type="dxa"/>
              <w:bottom w:w="80" w:type="dxa"/>
              <w:end w:w="120" w:type="dxa"/>
            </w:tcMar>
            <w:vAlign w:val="top"/>
          </w:tcPr>
          <w:p>
            <w:pPr>
              <w:spacing w:before="0" w:after="60" w:line="252" w:lineRule="auto"/>
            </w:pPr>
            <w:r>
              <w:rPr>
                <w:rFonts w:ascii="Calibri" w:hAnsi="Calibri"/>
                <w:color w:val="20262E"/>
                <w:sz w:val="16"/>
              </w:rPr>
              <w:t>Breadth creates configuration risk; prerelease 2.0.0rc4 existed on 2 Sep 2026 and should not be mixed into a validated build</w:t>
            </w:r>
          </w:p>
        </w:tc>
      </w:tr>
      <w:tr>
        <w:trPr>
          <w:cantSplit w:val="true"/>
        </w:trPr>
        <w:tc>
          <w:tcPr>
            <w:tcW w:type="dxa" w:w="84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hftbacktest</w:t>
            </w:r>
          </w:p>
        </w:tc>
        <w:tc>
          <w:tcPr>
            <w:tcW w:type="dxa" w:w="1258"/>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2.4.4, 13 Aug 2026 (</w:t>
            </w:r>
            <w:hyperlink r:id="rId61">
              <w:r>
                <w:rPr>
                  <w:color w:val="2E74B5"/>
                  <w:u w:val="single"/>
                </w:rPr>
                <w:t xml:space="preserve">PyPI</w:t>
              </w:r>
            </w:hyperlink>
            <w:r>
              <w:rPr>
                <w:rFonts w:ascii="Calibri" w:hAnsi="Calibri"/>
                <w:color w:val="20262E"/>
                <w:sz w:val="16"/>
              </w:rPr>
              <w:t>)</w:t>
            </w:r>
          </w:p>
        </w:tc>
        <w:tc>
          <w:tcPr>
            <w:tcW w:type="dxa" w:w="139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Market-by-order/depth replay and explicit queue/latency modeling</w:t>
            </w:r>
          </w:p>
        </w:tc>
        <w:tc>
          <w:tcPr>
            <w:tcW w:type="dxa" w:w="158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Strongest of this set; supports probabilistic queue models, still cannot reconstruct hidden private state</w:t>
            </w:r>
          </w:p>
        </w:tc>
        <w:tc>
          <w:tcPr>
            <w:tcW w:type="dxa" w:w="139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Needs more domain plumbing for rolls and portfolio accounting</w:t>
            </w:r>
          </w:p>
        </w:tc>
        <w:tc>
          <w:tcPr>
            <w:tcW w:type="dxa" w:w="114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Adversarial microstructure replay for finalists</w:t>
            </w:r>
          </w:p>
        </w:tc>
        <w:tc>
          <w:tcPr>
            <w:tcW w:type="dxa" w:w="172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Designed around replay assumptions; not the system of record for the whole portfolio</w:t>
            </w:r>
          </w:p>
        </w:tc>
      </w:tr>
      <w:tr>
        <w:trPr>
          <w:cantSplit w:val="true"/>
        </w:trPr>
        <w:tc>
          <w:tcPr>
            <w:tcW w:type="dxa" w:w="849"/>
            <w:tcMar>
              <w:top w:w="80" w:type="dxa"/>
              <w:start w:w="120" w:type="dxa"/>
              <w:bottom w:w="80" w:type="dxa"/>
              <w:end w:w="120" w:type="dxa"/>
            </w:tcMar>
            <w:vAlign w:val="top"/>
          </w:tcPr>
          <w:p>
            <w:pPr>
              <w:spacing w:before="0" w:after="60" w:line="252" w:lineRule="auto"/>
            </w:pPr>
            <w:r>
              <w:rPr>
                <w:rFonts w:ascii="Calibri" w:hAnsi="Calibri"/>
                <w:color w:val="20262E"/>
                <w:sz w:val="16"/>
              </w:rPr>
              <w:t>vectorbt</w:t>
            </w:r>
          </w:p>
        </w:tc>
        <w:tc>
          <w:tcPr>
            <w:tcW w:type="dxa" w:w="1258"/>
            <w:tcMar>
              <w:top w:w="80" w:type="dxa"/>
              <w:start w:w="120" w:type="dxa"/>
              <w:bottom w:w="80" w:type="dxa"/>
              <w:end w:w="120" w:type="dxa"/>
            </w:tcMar>
            <w:vAlign w:val="top"/>
          </w:tcPr>
          <w:p>
            <w:pPr>
              <w:spacing w:before="0" w:after="60" w:line="252" w:lineRule="auto"/>
            </w:pPr>
            <w:r>
              <w:rPr>
                <w:rFonts w:ascii="Calibri" w:hAnsi="Calibri"/>
                <w:color w:val="20262E"/>
                <w:sz w:val="16"/>
              </w:rPr>
              <w:t>1.1.0, 5 Jul 2026 (</w:t>
            </w:r>
            <w:hyperlink r:id="rId62">
              <w:r>
                <w:rPr>
                  <w:color w:val="2E74B5"/>
                  <w:u w:val="single"/>
                </w:rPr>
                <w:t xml:space="preserve">PyPI</w:t>
              </w:r>
            </w:hyperlink>
            <w:r>
              <w:rPr>
                <w:rFonts w:ascii="Calibri" w:hAnsi="Calibri"/>
                <w:color w:val="20262E"/>
                <w:sz w:val="16"/>
              </w:rPr>
              <w:t>)</w:t>
            </w:r>
          </w:p>
        </w:tc>
        <w:tc>
          <w:tcPr>
            <w:tcW w:type="dxa" w:w="1394"/>
            <w:tcMar>
              <w:top w:w="80" w:type="dxa"/>
              <w:start w:w="120" w:type="dxa"/>
              <w:bottom w:w="80" w:type="dxa"/>
              <w:end w:w="120" w:type="dxa"/>
            </w:tcMar>
            <w:vAlign w:val="top"/>
          </w:tcPr>
          <w:p>
            <w:pPr>
              <w:spacing w:before="0" w:after="60" w:line="252" w:lineRule="auto"/>
            </w:pPr>
            <w:r>
              <w:rPr>
                <w:rFonts w:ascii="Calibri" w:hAnsi="Calibri"/>
                <w:color w:val="20262E"/>
                <w:sz w:val="16"/>
              </w:rPr>
              <w:t>Fast NumPy/Numba array research and broad parameter sweeps</w:t>
            </w:r>
          </w:p>
        </w:tc>
        <w:tc>
          <w:tcPr>
            <w:tcW w:type="dxa" w:w="1587"/>
            <w:tcMar>
              <w:top w:w="80" w:type="dxa"/>
              <w:start w:w="120" w:type="dxa"/>
              <w:bottom w:w="80" w:type="dxa"/>
              <w:end w:w="120" w:type="dxa"/>
            </w:tcMar>
            <w:vAlign w:val="top"/>
          </w:tcPr>
          <w:p>
            <w:pPr>
              <w:spacing w:before="0" w:after="60" w:line="252" w:lineRule="auto"/>
            </w:pPr>
            <w:r>
              <w:rPr>
                <w:rFonts w:ascii="Calibri" w:hAnsi="Calibri"/>
                <w:color w:val="20262E"/>
                <w:sz w:val="16"/>
              </w:rPr>
              <w:t>No native historical queue reconstruction</w:t>
            </w:r>
          </w:p>
        </w:tc>
        <w:tc>
          <w:tcPr>
            <w:tcW w:type="dxa" w:w="1394"/>
            <w:tcMar>
              <w:top w:w="80" w:type="dxa"/>
              <w:start w:w="120" w:type="dxa"/>
              <w:bottom w:w="80" w:type="dxa"/>
              <w:end w:w="120" w:type="dxa"/>
            </w:tcMar>
            <w:vAlign w:val="top"/>
          </w:tcPr>
          <w:p>
            <w:pPr>
              <w:spacing w:before="0" w:after="60" w:line="252" w:lineRule="auto"/>
            </w:pPr>
            <w:r>
              <w:rPr>
                <w:rFonts w:ascii="Calibri" w:hAnsi="Calibri"/>
                <w:color w:val="20262E"/>
                <w:sz w:val="16"/>
              </w:rPr>
              <w:t>Custom roll/cost arrays; portfolio abstractions are convenient but simplified</w:t>
            </w:r>
          </w:p>
        </w:tc>
        <w:tc>
          <w:tcPr>
            <w:tcW w:type="dxa" w:w="1149"/>
            <w:tcMar>
              <w:top w:w="80" w:type="dxa"/>
              <w:start w:w="120" w:type="dxa"/>
              <w:bottom w:w="80" w:type="dxa"/>
              <w:end w:w="120" w:type="dxa"/>
            </w:tcMar>
            <w:vAlign w:val="top"/>
          </w:tcPr>
          <w:p>
            <w:pPr>
              <w:spacing w:before="0" w:after="60" w:line="252" w:lineRule="auto"/>
            </w:pPr>
            <w:r>
              <w:rPr>
                <w:rFonts w:ascii="Calibri" w:hAnsi="Calibri"/>
                <w:color w:val="20262E"/>
                <w:sz w:val="16"/>
              </w:rPr>
              <w:t>Cheap hypothesis triage and sensitivity surfaces</w:t>
            </w:r>
          </w:p>
        </w:tc>
        <w:tc>
          <w:tcPr>
            <w:tcW w:type="dxa" w:w="1729"/>
            <w:tcMar>
              <w:top w:w="80" w:type="dxa"/>
              <w:start w:w="120" w:type="dxa"/>
              <w:bottom w:w="80" w:type="dxa"/>
              <w:end w:w="120" w:type="dxa"/>
            </w:tcMar>
            <w:vAlign w:val="top"/>
          </w:tcPr>
          <w:p>
            <w:pPr>
              <w:spacing w:before="0" w:after="60" w:line="252" w:lineRule="auto"/>
            </w:pPr>
            <w:r>
              <w:rPr>
                <w:rFonts w:ascii="Calibri" w:hAnsi="Calibri"/>
                <w:color w:val="20262E"/>
                <w:sz w:val="16"/>
              </w:rPr>
              <w:t>Easy to search too many variants and under-model execution</w:t>
            </w:r>
          </w:p>
        </w:tc>
      </w:tr>
      <w:tr>
        <w:trPr>
          <w:cantSplit w:val="true"/>
        </w:trPr>
        <w:tc>
          <w:tcPr>
            <w:tcW w:type="dxa" w:w="84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backtrader</w:t>
            </w:r>
          </w:p>
        </w:tc>
        <w:tc>
          <w:tcPr>
            <w:tcW w:type="dxa" w:w="1258"/>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1.9.78.123, 19 Apr 2023 (</w:t>
            </w:r>
            <w:hyperlink r:id="rId63">
              <w:r>
                <w:rPr>
                  <w:color w:val="2E74B5"/>
                  <w:u w:val="single"/>
                </w:rPr>
                <w:t xml:space="preserve">PyPI</w:t>
              </w:r>
            </w:hyperlink>
            <w:r>
              <w:rPr>
                <w:rFonts w:ascii="Calibri" w:hAnsi="Calibri"/>
                <w:color w:val="20262E"/>
                <w:sz w:val="16"/>
              </w:rPr>
              <w:t>)</w:t>
            </w:r>
          </w:p>
        </w:tc>
        <w:tc>
          <w:tcPr>
            <w:tcW w:type="dxa" w:w="139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Familiar Python event loop, indicators, broker emulation</w:t>
            </w:r>
          </w:p>
        </w:tc>
        <w:tc>
          <w:tcPr>
            <w:tcW w:type="dxa" w:w="158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Bar-first; limited L2 realism</w:t>
            </w:r>
          </w:p>
        </w:tc>
        <w:tc>
          <w:tcPr>
            <w:tcW w:type="dxa" w:w="139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Custom futures handling required</w:t>
            </w:r>
          </w:p>
        </w:tc>
        <w:tc>
          <w:tcPr>
            <w:tcW w:type="dxa" w:w="114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Legacy-baseline reproduction only</w:t>
            </w:r>
          </w:p>
        </w:tc>
        <w:tc>
          <w:tcPr>
            <w:tcW w:type="dxa" w:w="172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Stale release cadence and weak microstructure fidelity</w:t>
            </w:r>
          </w:p>
        </w:tc>
      </w:tr>
      <w:tr>
        <w:trPr>
          <w:cantSplit w:val="true"/>
        </w:trPr>
        <w:tc>
          <w:tcPr>
            <w:tcW w:type="dxa" w:w="849"/>
            <w:tcMar>
              <w:top w:w="80" w:type="dxa"/>
              <w:start w:w="120" w:type="dxa"/>
              <w:bottom w:w="80" w:type="dxa"/>
              <w:end w:w="120" w:type="dxa"/>
            </w:tcMar>
            <w:vAlign w:val="top"/>
          </w:tcPr>
          <w:p>
            <w:pPr>
              <w:spacing w:before="0" w:after="60" w:line="252" w:lineRule="auto"/>
            </w:pPr>
            <w:r>
              <w:rPr>
                <w:rFonts w:ascii="Calibri" w:hAnsi="Calibri"/>
                <w:color w:val="20262E"/>
                <w:sz w:val="16"/>
              </w:rPr>
              <w:t>Zipline-reloaded</w:t>
            </w:r>
          </w:p>
        </w:tc>
        <w:tc>
          <w:tcPr>
            <w:tcW w:type="dxa" w:w="1258"/>
            <w:tcMar>
              <w:top w:w="80" w:type="dxa"/>
              <w:start w:w="120" w:type="dxa"/>
              <w:bottom w:w="80" w:type="dxa"/>
              <w:end w:w="120" w:type="dxa"/>
            </w:tcMar>
            <w:vAlign w:val="top"/>
          </w:tcPr>
          <w:p>
            <w:pPr>
              <w:spacing w:before="0" w:after="60" w:line="252" w:lineRule="auto"/>
            </w:pPr>
            <w:r>
              <w:rPr>
                <w:rFonts w:ascii="Calibri" w:hAnsi="Calibri"/>
                <w:color w:val="20262E"/>
                <w:sz w:val="16"/>
              </w:rPr>
              <w:t>3.1.1, 19 Jul 2025 (</w:t>
            </w:r>
            <w:hyperlink r:id="rId64">
              <w:r>
                <w:rPr>
                  <w:color w:val="2E74B5"/>
                  <w:u w:val="single"/>
                </w:rPr>
                <w:t xml:space="preserve">PyPI</w:t>
              </w:r>
            </w:hyperlink>
            <w:r>
              <w:rPr>
                <w:rFonts w:ascii="Calibri" w:hAnsi="Calibri"/>
                <w:color w:val="20262E"/>
                <w:sz w:val="16"/>
              </w:rPr>
              <w:t>)</w:t>
            </w:r>
          </w:p>
        </w:tc>
        <w:tc>
          <w:tcPr>
            <w:tcW w:type="dxa" w:w="1394"/>
            <w:tcMar>
              <w:top w:w="80" w:type="dxa"/>
              <w:start w:w="120" w:type="dxa"/>
              <w:bottom w:w="80" w:type="dxa"/>
              <w:end w:w="120" w:type="dxa"/>
            </w:tcMar>
            <w:vAlign w:val="top"/>
          </w:tcPr>
          <w:p>
            <w:pPr>
              <w:spacing w:before="0" w:after="60" w:line="252" w:lineRule="auto"/>
            </w:pPr>
            <w:r>
              <w:rPr>
                <w:rFonts w:ascii="Calibri" w:hAnsi="Calibri"/>
                <w:color w:val="20262E"/>
                <w:sz w:val="16"/>
              </w:rPr>
              <w:t>Research bundles, scheduled events, factor workflows</w:t>
            </w:r>
          </w:p>
        </w:tc>
        <w:tc>
          <w:tcPr>
            <w:tcW w:type="dxa" w:w="1587"/>
            <w:tcMar>
              <w:top w:w="80" w:type="dxa"/>
              <w:start w:w="120" w:type="dxa"/>
              <w:bottom w:w="80" w:type="dxa"/>
              <w:end w:w="120" w:type="dxa"/>
            </w:tcMar>
            <w:vAlign w:val="top"/>
          </w:tcPr>
          <w:p>
            <w:pPr>
              <w:spacing w:before="0" w:after="60" w:line="252" w:lineRule="auto"/>
            </w:pPr>
            <w:r>
              <w:rPr>
                <w:rFonts w:ascii="Calibri" w:hAnsi="Calibri"/>
                <w:color w:val="20262E"/>
                <w:sz w:val="16"/>
              </w:rPr>
              <w:t>Bar-oriented</w:t>
            </w:r>
          </w:p>
        </w:tc>
        <w:tc>
          <w:tcPr>
            <w:tcW w:type="dxa" w:w="1394"/>
            <w:tcMar>
              <w:top w:w="80" w:type="dxa"/>
              <w:start w:w="120" w:type="dxa"/>
              <w:bottom w:w="80" w:type="dxa"/>
              <w:end w:w="120" w:type="dxa"/>
            </w:tcMar>
            <w:vAlign w:val="top"/>
          </w:tcPr>
          <w:p>
            <w:pPr>
              <w:spacing w:before="0" w:after="60" w:line="252" w:lineRule="auto"/>
            </w:pPr>
            <w:r>
              <w:rPr>
                <w:rFonts w:ascii="Calibri" w:hAnsi="Calibri"/>
                <w:color w:val="20262E"/>
                <w:sz w:val="16"/>
              </w:rPr>
              <w:t>Futures support exists but ingestion/roll semantics require careful customization</w:t>
            </w:r>
          </w:p>
        </w:tc>
        <w:tc>
          <w:tcPr>
            <w:tcW w:type="dxa" w:w="1149"/>
            <w:tcMar>
              <w:top w:w="80" w:type="dxa"/>
              <w:start w:w="120" w:type="dxa"/>
              <w:bottom w:w="80" w:type="dxa"/>
              <w:end w:w="120" w:type="dxa"/>
            </w:tcMar>
            <w:vAlign w:val="top"/>
          </w:tcPr>
          <w:p>
            <w:pPr>
              <w:spacing w:before="0" w:after="60" w:line="252" w:lineRule="auto"/>
            </w:pPr>
            <w:r>
              <w:rPr>
                <w:rFonts w:ascii="Calibri" w:hAnsi="Calibri"/>
                <w:color w:val="20262E"/>
                <w:sz w:val="16"/>
              </w:rPr>
              <w:t>Daily/coarser benchmark path</w:t>
            </w:r>
          </w:p>
        </w:tc>
        <w:tc>
          <w:tcPr>
            <w:tcW w:type="dxa" w:w="1729"/>
            <w:tcMar>
              <w:top w:w="80" w:type="dxa"/>
              <w:start w:w="120" w:type="dxa"/>
              <w:bottom w:w="80" w:type="dxa"/>
              <w:end w:w="120" w:type="dxa"/>
            </w:tcMar>
            <w:vAlign w:val="top"/>
          </w:tcPr>
          <w:p>
            <w:pPr>
              <w:spacing w:before="0" w:after="60" w:line="252" w:lineRule="auto"/>
            </w:pPr>
            <w:r>
              <w:rPr>
                <w:rFonts w:ascii="Calibri" w:hAnsi="Calibri"/>
                <w:color w:val="20262E"/>
                <w:sz w:val="16"/>
              </w:rPr>
              <w:t>Poor fit for order-book-dependent intraday claims</w:t>
            </w:r>
          </w:p>
        </w:tc>
      </w:tr>
      <w:tr>
        <w:trPr>
          <w:cantSplit w:val="true"/>
        </w:trPr>
        <w:tc>
          <w:tcPr>
            <w:tcW w:type="dxa" w:w="84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QuantConnect LEAN</w:t>
            </w:r>
          </w:p>
        </w:tc>
        <w:tc>
          <w:tcPr>
            <w:tcW w:type="dxa" w:w="1258"/>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Public release number unverified; docs checked 4 Sep 2026 (</w:t>
            </w:r>
            <w:hyperlink r:id="rId65">
              <w:r>
                <w:rPr>
                  <w:color w:val="2E74B5"/>
                  <w:u w:val="single"/>
                </w:rPr>
                <w:t xml:space="preserve">official repository</w:t>
              </w:r>
            </w:hyperlink>
            <w:r>
              <w:rPr>
                <w:rFonts w:ascii="Calibri" w:hAnsi="Calibri"/>
                <w:color w:val="20262E"/>
                <w:sz w:val="16"/>
              </w:rPr>
              <w:t>)</w:t>
            </w:r>
          </w:p>
        </w:tc>
        <w:tc>
          <w:tcPr>
            <w:tcW w:type="dxa" w:w="139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Mature multi-asset engine, data normalization, community ecosystem</w:t>
            </w:r>
          </w:p>
        </w:tc>
        <w:tc>
          <w:tcPr>
            <w:tcW w:type="dxa" w:w="158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Tick/event simulation; queue fidelity is model-dependent</w:t>
            </w:r>
          </w:p>
        </w:tc>
        <w:tc>
          <w:tcPr>
            <w:tcW w:type="dxa" w:w="139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Broad futures chain/roll functionality</w:t>
            </w:r>
          </w:p>
        </w:tc>
        <w:tc>
          <w:tcPr>
            <w:tcW w:type="dxa" w:w="114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Independent second implementation and regression oracle</w:t>
            </w:r>
          </w:p>
        </w:tc>
        <w:tc>
          <w:tcPr>
            <w:tcW w:type="dxa" w:w="172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Large surface area; cloud/local behavior and data entitlements must be reconciled</w:t>
            </w:r>
          </w:p>
        </w:tc>
      </w:tr>
      <w:tr>
        <w:trPr>
          <w:cantSplit w:val="true"/>
        </w:trPr>
        <w:tc>
          <w:tcPr>
            <w:tcW w:type="dxa" w:w="849"/>
            <w:tcMar>
              <w:top w:w="80" w:type="dxa"/>
              <w:start w:w="120" w:type="dxa"/>
              <w:bottom w:w="80" w:type="dxa"/>
              <w:end w:w="120" w:type="dxa"/>
            </w:tcMar>
            <w:vAlign w:val="top"/>
          </w:tcPr>
          <w:p>
            <w:pPr>
              <w:spacing w:before="0" w:after="60" w:line="252" w:lineRule="auto"/>
            </w:pPr>
            <w:r>
              <w:rPr>
                <w:rFonts w:ascii="Calibri" w:hAnsi="Calibri"/>
                <w:color w:val="20262E"/>
                <w:sz w:val="16"/>
              </w:rPr>
              <w:t>Custom Rust/Arrow</w:t>
            </w:r>
          </w:p>
        </w:tc>
        <w:tc>
          <w:tcPr>
            <w:tcW w:type="dxa" w:w="1258"/>
            <w:tcMar>
              <w:top w:w="80" w:type="dxa"/>
              <w:start w:w="120" w:type="dxa"/>
              <w:bottom w:w="80" w:type="dxa"/>
              <w:end w:w="120" w:type="dxa"/>
            </w:tcMar>
            <w:vAlign w:val="top"/>
          </w:tcPr>
          <w:p>
            <w:pPr>
              <w:spacing w:before="0" w:after="60" w:line="252" w:lineRule="auto"/>
            </w:pPr>
            <w:r>
              <w:rPr>
                <w:rFonts w:ascii="Calibri" w:hAnsi="Calibri"/>
                <w:color w:val="20262E"/>
                <w:sz w:val="16"/>
              </w:rPr>
              <w:t>Internal semantic version</w:t>
            </w:r>
          </w:p>
        </w:tc>
        <w:tc>
          <w:tcPr>
            <w:tcW w:type="dxa" w:w="1394"/>
            <w:tcMar>
              <w:top w:w="80" w:type="dxa"/>
              <w:start w:w="120" w:type="dxa"/>
              <w:bottom w:w="80" w:type="dxa"/>
              <w:end w:w="120" w:type="dxa"/>
            </w:tcMar>
            <w:vAlign w:val="top"/>
          </w:tcPr>
          <w:p>
            <w:pPr>
              <w:spacing w:before="0" w:after="60" w:line="252" w:lineRule="auto"/>
            </w:pPr>
            <w:r>
              <w:rPr>
                <w:rFonts w:ascii="Calibri" w:hAnsi="Calibri"/>
                <w:color w:val="20262E"/>
                <w:sz w:val="16"/>
              </w:rPr>
              <w:t>Exact domain types, deterministic clock, fast replay, portable WASM components</w:t>
            </w:r>
          </w:p>
        </w:tc>
        <w:tc>
          <w:tcPr>
            <w:tcW w:type="dxa" w:w="1587"/>
            <w:tcMar>
              <w:top w:w="80" w:type="dxa"/>
              <w:start w:w="120" w:type="dxa"/>
              <w:bottom w:w="80" w:type="dxa"/>
              <w:end w:w="120" w:type="dxa"/>
            </w:tcMar>
            <w:vAlign w:val="top"/>
          </w:tcPr>
          <w:p>
            <w:pPr>
              <w:spacing w:before="0" w:after="60" w:line="252" w:lineRule="auto"/>
            </w:pPr>
            <w:r>
              <w:rPr>
                <w:rFonts w:ascii="Calibri" w:hAnsi="Calibri"/>
                <w:color w:val="20262E"/>
                <w:sz w:val="16"/>
              </w:rPr>
              <w:t>As detailed as implemented and tested</w:t>
            </w:r>
          </w:p>
        </w:tc>
        <w:tc>
          <w:tcPr>
            <w:tcW w:type="dxa" w:w="1394"/>
            <w:tcMar>
              <w:top w:w="80" w:type="dxa"/>
              <w:start w:w="120" w:type="dxa"/>
              <w:bottom w:w="80" w:type="dxa"/>
              <w:end w:w="120" w:type="dxa"/>
            </w:tcMar>
            <w:vAlign w:val="top"/>
          </w:tcPr>
          <w:p>
            <w:pPr>
              <w:spacing w:before="0" w:after="60" w:line="252" w:lineRule="auto"/>
            </w:pPr>
            <w:r>
              <w:rPr>
                <w:rFonts w:ascii="Calibri" w:hAnsi="Calibri"/>
                <w:color w:val="20262E"/>
                <w:sz w:val="16"/>
              </w:rPr>
              <w:t>Exact if contract master is PIT-correct</w:t>
            </w:r>
          </w:p>
        </w:tc>
        <w:tc>
          <w:tcPr>
            <w:tcW w:type="dxa" w:w="1149"/>
            <w:tcMar>
              <w:top w:w="80" w:type="dxa"/>
              <w:start w:w="120" w:type="dxa"/>
              <w:bottom w:w="80" w:type="dxa"/>
              <w:end w:w="120" w:type="dxa"/>
            </w:tcMar>
            <w:vAlign w:val="top"/>
          </w:tcPr>
          <w:p>
            <w:pPr>
              <w:spacing w:before="0" w:after="60" w:line="252" w:lineRule="auto"/>
            </w:pPr>
            <w:r>
              <w:rPr>
                <w:rFonts w:ascii="Calibri" w:hAnsi="Calibri"/>
                <w:color w:val="20262E"/>
                <w:sz w:val="16"/>
              </w:rPr>
              <w:t>Narrow deterministic kernel, not an everything-engine</w:t>
            </w:r>
          </w:p>
        </w:tc>
        <w:tc>
          <w:tcPr>
            <w:tcW w:type="dxa" w:w="1729"/>
            <w:tcMar>
              <w:top w:w="80" w:type="dxa"/>
              <w:start w:w="120" w:type="dxa"/>
              <w:bottom w:w="80" w:type="dxa"/>
              <w:end w:w="120" w:type="dxa"/>
            </w:tcMar>
            <w:vAlign w:val="top"/>
          </w:tcPr>
          <w:p>
            <w:pPr>
              <w:spacing w:before="0" w:after="60" w:line="252" w:lineRule="auto"/>
            </w:pPr>
            <w:r>
              <w:rPr>
                <w:rFonts w:ascii="Calibri" w:hAnsi="Calibri"/>
                <w:color w:val="20262E"/>
                <w:sz w:val="16"/>
              </w:rPr>
              <w:t>Highest verification and maintenance burden; “custom” does not imply accurate</w:t>
            </w:r>
          </w:p>
        </w:tc>
      </w:tr>
    </w:tbl>
    <w:p>
      <w:pPr>
        <w:spacing w:after="40"/>
      </w:pPr>
    </w:p>
    <w:p>
      <w:r>
        <w:t>Recommended composition: vectorbt for bounded screens; NautilusTrader as the reference state machine; hftbacktest only for queue-sensitive finalists; and a small Rust kernel for invariant-heavy functions such as contract arithmetic, clock ordering, fee application, and risk-state calculation. Run the same golden event corpus through independent implementations. A strategy may advance only if position, cash, fees, realized/unrealized P&amp;L, and lifecycle events reconcile exactly or within a pre-declared floating-point tolerance.</w:t>
      </w:r>
    </w:p>
    <w:p>
      <w:pPr>
        <w:pStyle w:val="Heading2"/>
      </w:pPr>
      <w:r>
        <w:t>5.3 Continuous-contract and roll implementation</w:t>
      </w:r>
    </w:p>
    <w:p>
      <w:r>
        <w:t>Research on a continuous series must never be confused with execution on a listed contract. Store raw contracts first. Build a separate analytical view with explicit roll rule and adjustment metadata:</w:t>
      </w:r>
    </w:p>
    <w:p>
      <w:pPr>
        <w:numPr>
          <w:ilvl w:val="0"/>
          <w:numId w:val="15"/>
        </w:numPr>
        <w:spacing w:after="80" w:line="300" w:lineRule="auto"/>
      </w:pPr>
      <w:r>
        <w:rPr>
          <w:b/>
        </w:rPr>
        <w:t>Calendar roll:</w:t>
      </w:r>
      <w:r>
        <w:t xml:space="preserve"> deterministic days before expiry; reproducible but can remain in a fading contract.</w:t>
      </w:r>
    </w:p>
    <w:p>
      <w:pPr>
        <w:numPr>
          <w:ilvl w:val="0"/>
          <w:numId w:val="15"/>
        </w:numPr>
        <w:spacing w:after="80" w:line="300" w:lineRule="auto"/>
      </w:pPr>
      <w:r>
        <w:rPr>
          <w:b/>
        </w:rPr>
        <w:t>Volume/open-interest roll:</w:t>
      </w:r>
      <w:r>
        <w:t xml:space="preserve"> adapts to liquidity; the trigger is knowable only after the relevant observation closes, so a same-period switch is leakage.</w:t>
      </w:r>
    </w:p>
    <w:p>
      <w:pPr>
        <w:numPr>
          <w:ilvl w:val="0"/>
          <w:numId w:val="15"/>
        </w:numPr>
        <w:spacing w:after="80" w:line="300" w:lineRule="auto"/>
      </w:pPr>
      <w:r>
        <w:rPr>
          <w:b/>
        </w:rPr>
        <w:t>Unadjusted splice:</w:t>
      </w:r>
      <w:r>
        <w:t xml:space="preserve"> preserves traded prices but creates roll jumps.</w:t>
      </w:r>
    </w:p>
    <w:p>
      <w:pPr>
        <w:numPr>
          <w:ilvl w:val="0"/>
          <w:numId w:val="15"/>
        </w:numPr>
        <w:spacing w:after="80" w:line="300" w:lineRule="auto"/>
      </w:pPr>
      <w:r>
        <w:rPr>
          <w:b/>
        </w:rPr>
        <w:t>Additive back-adjustment:</w:t>
      </w:r>
      <w:r>
        <w:t xml:space="preserve"> preserves absolute changes but can create implausible distant-history levels.</w:t>
      </w:r>
    </w:p>
    <w:p>
      <w:pPr>
        <w:numPr>
          <w:ilvl w:val="0"/>
          <w:numId w:val="15"/>
        </w:numPr>
        <w:spacing w:after="80" w:line="300" w:lineRule="auto"/>
      </w:pPr>
      <w:r>
        <w:rPr>
          <w:b/>
        </w:rPr>
        <w:t>Ratio adjustment:</w:t>
      </w:r>
      <w:r>
        <w:t xml:space="preserve"> preserves returns but changes historical tick economics.</w:t>
      </w:r>
    </w:p>
    <w:p>
      <w:pPr>
        <w:numPr>
          <w:ilvl w:val="0"/>
          <w:numId w:val="15"/>
        </w:numPr>
        <w:spacing w:after="80" w:line="300" w:lineRule="auto"/>
      </w:pPr>
      <w:r>
        <w:rPr>
          <w:b/>
        </w:rPr>
        <w:t>Panama/perpetual blend:</w:t>
      </w:r>
      <w:r>
        <w:t xml:space="preserve"> visually smoother, but invents non-tradable prices and can smear signals.</w:t>
      </w:r>
    </w:p>
    <w:p>
      <w:r>
        <w:t>Each feature declares whether it consumes raw contracts, a continuous analytical view, or a cross-contract calendar-spread view. Simulator orders always reference the actual contract and apply that contract’s multiplier, tick value, session, and fee record effective at the simulated time. Run robustness tests across at least calendar and delayed volume-based rolls; a signal concentrated in the synthetic jump is invalid.</w:t>
      </w:r>
    </w:p>
    <w:p>
      <w:pPr>
        <w:pStyle w:val="Heading2"/>
      </w:pPr>
      <w:r>
        <w:t>5.4 Paper adapter boundary</w:t>
      </w:r>
    </w:p>
    <w:p>
      <w:r>
        <w:t xml:space="preserve">CELL//OS should define one narrow </w:t>
      </w:r>
      <w:r>
        <w:rPr>
          <w:rFonts w:ascii="Consolas" w:hAnsi="Consolas"/>
          <w:color w:val="1F4D78"/>
          <w:sz w:val="18"/>
          <w:shd w:fill="EEF2F6"/>
        </w:rPr>
        <w:t>VenueAdapter</w:t>
      </w:r>
      <w:r>
        <w:t xml:space="preserve"> interface: subscribe normalized market events; submit, amend, and cancel </w:t>
      </w:r>
      <w:r>
        <w:rPr>
          <w:b/>
        </w:rPr>
        <w:t>simulated</w:t>
      </w:r>
      <w:r>
        <w:t xml:space="preserve"> intents; receive acknowledgements/fills; query paper positions; and expose heartbeat, sequence, entitlement, and clock health. Production code receives no credential type capable of transmitting a live order. The secrets service issues a paper-only capability, and the policy engine rejects any endpoint or account mode outside an allowlist.</w:t>
      </w:r>
    </w:p>
    <w:p>
      <w:r>
        <w:t>Tradovate, Rithmic R|API+, ProjectX, CQG, and IBKR expose materially different session, entitlement, order, throttle, and recovery semantics. Their availability also depends on commercial agreements and account eligibility. This report does not provide account connection or activation instructions, and it does not assert a current firm-to-platform map. As of 4 September 2026, no uniform public version scheme across those private APIs was verified. Treat vendor capability claims as discovery inputs only: obtain the authorized specification, record its publication date and checksum, implement a paper mock first, and certify each adapter with reconnect, duplicate-message, stale-state, partial-fill, cancel/replace, and session-roll tests.</w:t>
      </w:r>
    </w:p>
    <w:p>
      <w:r>
        <w:t>Webhook relays add another principal, queue, transformation, clock, and retry policy. They are unsuitable as evidence that an intent and fill were causally aligned unless every hop provides signed, idempotent event records. TradersPost, PickMyTrade, and Tradesyncer were therefore not selected for the reference architecture; their current latency/reliability and venue coverage were not independently verified on 4 September 2026. In a safe research build, emulate webhook failure modes—duplicates, reordering, delay, dropped callbacks—against the paper adapter.</w:t>
      </w:r>
    </w:p>
    <w:p>
      <w:pPr>
        <w:pStyle w:val="Heading2"/>
      </w:pPr>
      <w:r>
        <w:t>5.5 Replay-to-paper promotion contract</w:t>
      </w:r>
    </w:p>
    <w:p>
      <w:r>
        <w:t>A deployable paper bundle contains the strategy binary or content hash, feature graph, training snapshot IDs, configuration, contract-master version, cost model, risk-policy version, compiler/runtime image, seed ledger, SBOM, signed Crucible verdict, and rollback target. The runtime pulls no mutable notebook state. Deployment is canary-first: shadow prediction with no orders, then a minimal normalized paper unit, then wider paper coverage only after an opportunity-count gate. Any binary/config/data change creates a new bundle ID and restarts the evidence clock.</w:t>
      </w:r>
    </w:p>
    <w:p>
      <w:r>
        <w:t>Operational invariants include: one writer for position state; idempotent client intent IDs; monotonic event sequence; deterministic recovery from the append-only journal; reconciliation against an independent ledger; no order intent when market data, contract metadata, clock, or policy state is stale; and fail-closed behavior when state is unknown. A kill action cancels simulated working orders, disables new simulated intents, checkpoints evidence, and alerts a human. It must be an independently tested state transition, not an LLM instruction.</w:t>
      </w:r>
    </w:p>
    <w:p>
      <w:pPr>
        <w:shd w:fill="E8EEF5"/>
        <w:pBdr>
          <w:left w:val="single" w:sz="18" w:space="6" w:color="2E74B5"/>
        </w:pBdr>
        <w:ind w:left="160" w:right="160"/>
        <w:spacing w:before="90" w:after="90"/>
      </w:pPr>
      <w:r>
        <w:rPr>
          <w:b/>
        </w:rPr>
        <w:t>CELL//OS mapping.</w:t>
      </w:r>
      <w:r>
        <w:t xml:space="preserve"> Integration owns normalized venue/data adapters; Execution runs the deterministic event state machine; the Rust/WASM sandbox contains contract arithmetic and invariants; Memory stores journals and golden corpora; Policy limits all capabilities to replay, shadow, and paper; Crucible performs cross-engine reconciliation; SRE owns clocks, heartbeats, recovery, and fault injection.</w:t>
      </w:r>
    </w:p>
    <w:p>
      <w:r>
        <w:br w:type="page"/>
      </w:r>
    </w:p>
    <w:p>
      <w:pPr>
        <w:pStyle w:val="Heading1"/>
      </w:pPr>
      <w:r>
        <w:t>6. Evaluation-firm governance and research-only capital abstractions</w:t>
      </w:r>
    </w:p>
    <w:p>
      <w:r>
        <w:t xml:space="preserve">This section is intentionally non-operational. Evaluation-based futures programs and brokerage access are age-restricted financial services. Accordingly, the report does </w:t>
      </w:r>
      <w:r>
        <w:rPr>
          <w:b/>
        </w:rPr>
        <w:t>not</w:t>
      </w:r>
      <w:r>
        <w:t xml:space="preserve"> name or rank firms, reproduce their current trading/payout rules, advise how to pass an evaluation, describe live-account scaling, or provide onboarding, copy-trading, contract-sizing, payout, reset, or recycling procedures. It also does not provide a firm-to-connectivity map. An eligible adult or regulated professional should independently verify authoritative terms and legal eligibility at the time of any real-world decision.</w:t>
      </w:r>
    </w:p>
    <w:p>
      <w:pPr>
        <w:pStyle w:val="Heading2"/>
      </w:pPr>
      <w:r>
        <w:t>6.1 A rule document as executable policy, not alpha</w:t>
      </w:r>
    </w:p>
    <w:p>
      <w:r>
        <w:t xml:space="preserve">For engineering research, model a generic “container” with no currency or contract mapping. A versioned rule schema can include: observation timezone and session boundary; loss-boundary type (static, end-of-period, or intraperiod trailing); high-water-mark update event; daily stop; concentration ceiling; allowed session windows; event/news restrictions; holding restrictions; maximum correlated containers; automation/human-control requirements; consistency metrics; and status transitions. Each field carries </w:t>
      </w:r>
      <w:r>
        <w:rPr>
          <w:rFonts w:ascii="Consolas" w:hAnsi="Consolas"/>
          <w:color w:val="1F4D78"/>
          <w:sz w:val="18"/>
          <w:shd w:fill="EEF2F6"/>
        </w:rPr>
        <w:t>valid_time</w:t>
      </w:r>
      <w:r>
        <w:t xml:space="preserve">, </w:t>
      </w:r>
      <w:r>
        <w:rPr>
          <w:rFonts w:ascii="Consolas" w:hAnsi="Consolas"/>
          <w:color w:val="1F4D78"/>
          <w:sz w:val="18"/>
          <w:shd w:fill="EEF2F6"/>
        </w:rPr>
        <w:t>known_time</w:t>
      </w:r>
      <w:r>
        <w:t>, source URI, retrieval timestamp, checksum, parser version, reviewer, and confidence. Unknown or conflicting fields fail closed.</w:t>
      </w:r>
    </w:p>
    <w:p>
      <w:r>
        <w:t>The Rule Warden converts prose into candidate predicates but cannot activate them. A second reviewer compares every predicate with the dated source, and property-based tests generate boundary cases: exactly at a session reset, partial fills across a limit, high-water mark rising before a reversal, daylight-saving transitions, late corrections, and disconnected state. The simulation engine then reports distributions—not recommendations—of breach/no-breach, minimum normalized distance, and rule interactions under a fixed research policy.</w:t>
      </w:r>
    </w:p>
    <w:p>
      <w:pPr>
        <w:pStyle w:val="Heading2"/>
      </w:pPr>
      <w:r>
        <w:t>6.2 Container allocation as a sandbox problem</w:t>
      </w:r>
    </w:p>
    <w:p>
      <w:r>
        <w:t xml:space="preserve">Represent each hypothetical container by normalized risk capacity 1.0 and distance to a hard boundary in </w:t>
      </w:r>
      <w:r>
        <w:rPr>
          <w:rFonts w:ascii="Consolas" w:hAnsi="Consolas"/>
          <w:color w:val="1F4D78"/>
          <w:sz w:val="18"/>
          <w:shd w:fill="EEF2F6"/>
        </w:rPr>
        <w:t>[0,1]</w:t>
      </w:r>
      <w:r>
        <w:t>. Represent strategies by joint scenario returns from purged out-of-sample predictions. A research allocator minimizes expected tail loss, concentration, turnover, and correlated simultaneous boundary events subject to a strict no-breach scenario constraint. It may compare equal risk, HRP, shrinkage minimum variance, and Bayesian model averaging, but it never emits contracts, dollars, account counts, or firm choices.</w:t>
      </w:r>
    </w:p>
    <w:p>
      <w:r>
        <w:t>Treat containers as failure domains. Correlation is estimated from synchronized strategy residuals and stressed upward when observations are sparse. Cap any common rule-engine or data-source dependency, not only pairwise return correlation. Validate the allocator on outer-fold child predictions, including the decision lag and reallocation costs. The safe default is the simplest robust allocation; a complex allocator must beat equal risk on confirmatory paths without worsening the left tail.</w:t>
      </w:r>
    </w:p>
    <w:p>
      <w:pPr>
        <w:pStyle w:val="Heading2"/>
      </w:pPr>
      <w:r>
        <w:t>6.3 Regulatory perimeter, checked 4 September 2026</w:t>
      </w:r>
    </w:p>
    <w:p>
      <w:r>
        <w:t>No CFTC/NFA source reviewed for this report established a dedicated federal registration category named “retail futures prop evaluation firm,” and no current, dedicated agency proceeding directed at that category was independently verified. That is a narrow source finding, not a conclusion that any business, advertisement, introducing arrangement, commodity trading advice, or customer-fund activity is outside regulation. Classification depends on conduct and facts. NFA provides registration guidance and BASIC for checking firms and associated persons (</w:t>
      </w:r>
      <w:hyperlink r:id="rId66">
        <w:r>
          <w:rPr>
            <w:color w:val="2E74B5"/>
            <w:u w:val="single"/>
          </w:rPr>
          <w:t xml:space="preserve">NFA Registration</w:t>
        </w:r>
      </w:hyperlink>
      <w:r>
        <w:t xml:space="preserve">; </w:t>
      </w:r>
      <w:hyperlink r:id="rId67">
        <w:r>
          <w:rPr>
            <w:color w:val="2E74B5"/>
            <w:u w:val="single"/>
          </w:rPr>
          <w:t xml:space="preserve">NFA BASIC</w:t>
        </w:r>
      </w:hyperlink>
      <w:r>
        <w:t>).</w:t>
      </w:r>
    </w:p>
    <w:p>
      <w:r>
        <w:t xml:space="preserve">For applicable regulated persons, hypothetical performance presentations are governed by disclosure and anti-misleading standards. </w:t>
      </w:r>
      <w:hyperlink r:id="rId68">
        <w:r>
          <w:rPr>
            <w:color w:val="2E74B5"/>
            <w:u w:val="single"/>
          </w:rPr>
          <w:t xml:space="preserve">CFTC Regulation 4.41</w:t>
        </w:r>
      </w:hyperlink>
      <w:r>
        <w:t xml:space="preserve"> addresses simulated or hypothetical results; </w:t>
      </w:r>
      <w:hyperlink r:id="rId69">
        <w:r>
          <w:rPr>
            <w:color w:val="2E74B5"/>
            <w:u w:val="single"/>
          </w:rPr>
          <w:t xml:space="preserve">NFA Compliance Rule 2-29</w:t>
        </w:r>
      </w:hyperlink>
      <w:r>
        <w:t xml:space="preserve"> and </w:t>
      </w:r>
      <w:hyperlink r:id="rId70">
        <w:r>
          <w:rPr>
            <w:color w:val="2E74B5"/>
            <w:u w:val="single"/>
          </w:rPr>
          <w:t xml:space="preserve">Interpretive Notice 9025</w:t>
        </w:r>
      </w:hyperlink>
      <w:r>
        <w:t xml:space="preserve"> govern promotional material for NFA members within their scope. CELL//OS should label every replay/paper metric as hypothetical, preserve assumptions and costs, prevent cherry-picked windows, and block public performance claims absent qualified review.</w:t>
      </w:r>
    </w:p>
    <w:p>
      <w:pPr>
        <w:shd w:fill="E8EEF5"/>
        <w:pBdr>
          <w:left w:val="single" w:sz="18" w:space="6" w:color="2E74B5"/>
        </w:pBdr>
        <w:ind w:left="160" w:right="160"/>
        <w:spacing w:before="90" w:after="90"/>
      </w:pPr>
      <w:r>
        <w:rPr>
          <w:b/>
        </w:rPr>
        <w:t>CELL//OS mapping.</w:t>
      </w:r>
      <w:r>
        <w:t xml:space="preserve"> The Domain Pane contains a generic, dated rule schema; Prop-Rule Warden proposes machine-readable predicates; Policy Engine fails closed on ambiguity; Evaluation runs normalized container simulations; Knowledge Broker preserves dated authority; Identity/Capability services prevent real-order credentials; Human Governance owns any future legal/eligibility review outside this research build.</w:t>
      </w:r>
    </w:p>
    <w:p>
      <w:r>
        <w:br w:type="page"/>
      </w:r>
    </w:p>
    <w:p>
      <w:pPr>
        <w:pStyle w:val="Heading1"/>
      </w:pPr>
      <w:r>
        <w:t>7. Agentic architecture on CELL//OS</w:t>
      </w:r>
    </w:p>
    <w:p>
      <w:pPr>
        <w:pStyle w:val="Heading2"/>
      </w:pPr>
      <w:r>
        <w:t>7.1 Wrap frameworks; keep the control plane native</w:t>
      </w:r>
    </w:p>
    <w:p>
      <w:r>
        <w:t xml:space="preserve">Agent frameworks are productivity libraries, not the trust boundary. Keep identity, capabilities, durable state, evidence, experiment budgets, policy, and deterministic execution native to CELL//OS. Wrap frameworks behind an </w:t>
      </w:r>
      <w:r>
        <w:rPr>
          <w:rFonts w:ascii="Consolas" w:hAnsi="Consolas"/>
          <w:color w:val="1F4D78"/>
          <w:sz w:val="18"/>
          <w:shd w:fill="EEF2F6"/>
        </w:rPr>
        <w:t>AgentRuntime</w:t>
      </w:r>
      <w:r>
        <w:t xml:space="preserve"> interface so a workflow can be replayed from model request/response hashes and replaced without changing domain semantics.</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2340"/>
        <w:gridCol w:w="2340"/>
        <w:gridCol w:w="2340"/>
        <w:gridCol w:w="2340"/>
      </w:tblGrid>
      <w:tr>
        <w:trPr>
          <w:tblHeader w:val="true"/>
          <w:cantSplit w:val="true"/>
        </w:trPr>
        <w:tc>
          <w:tcPr>
            <w:tcW w:type="dxa" w:w="1517"/>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Component</w:t>
            </w:r>
          </w:p>
        </w:tc>
        <w:tc>
          <w:tcPr>
            <w:tcW w:type="dxa" w:w="1870"/>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Version checked 4 Sep 2026</w:t>
            </w:r>
          </w:p>
        </w:tc>
        <w:tc>
          <w:tcPr>
            <w:tcW w:type="dxa" w:w="2823"/>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Use</w:t>
            </w:r>
          </w:p>
        </w:tc>
        <w:tc>
          <w:tcPr>
            <w:tcW w:type="dxa" w:w="3150"/>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Do not delegate to it</w:t>
            </w:r>
          </w:p>
        </w:tc>
      </w:tr>
      <w:tr>
        <w:trPr>
          <w:cantSplit w:val="true"/>
        </w:trPr>
        <w:tc>
          <w:tcPr>
            <w:tcW w:type="dxa" w:w="1517"/>
            <w:tcMar>
              <w:top w:w="80" w:type="dxa"/>
              <w:start w:w="120" w:type="dxa"/>
              <w:bottom w:w="80" w:type="dxa"/>
              <w:end w:w="120" w:type="dxa"/>
            </w:tcMar>
            <w:vAlign w:val="top"/>
          </w:tcPr>
          <w:p>
            <w:pPr>
              <w:spacing w:before="0" w:after="60" w:line="252" w:lineRule="auto"/>
            </w:pPr>
            <w:r>
              <w:rPr>
                <w:rFonts w:ascii="Calibri" w:hAnsi="Calibri"/>
                <w:color w:val="20262E"/>
                <w:sz w:val="16"/>
              </w:rPr>
              <w:t>LangGraph</w:t>
            </w:r>
          </w:p>
        </w:tc>
        <w:tc>
          <w:tcPr>
            <w:tcW w:type="dxa" w:w="1870"/>
            <w:tcMar>
              <w:top w:w="80" w:type="dxa"/>
              <w:start w:w="120" w:type="dxa"/>
              <w:bottom w:w="80" w:type="dxa"/>
              <w:end w:w="120" w:type="dxa"/>
            </w:tcMar>
            <w:vAlign w:val="top"/>
          </w:tcPr>
          <w:p>
            <w:pPr>
              <w:spacing w:before="0" w:after="60" w:line="252" w:lineRule="auto"/>
            </w:pPr>
            <w:r>
              <w:rPr>
                <w:rFonts w:ascii="Calibri" w:hAnsi="Calibri"/>
                <w:color w:val="20262E"/>
                <w:sz w:val="16"/>
              </w:rPr>
              <w:t>1.2.11, 11 Aug 2026 (</w:t>
            </w:r>
            <w:hyperlink r:id="rId71">
              <w:r>
                <w:rPr>
                  <w:color w:val="2E74B5"/>
                  <w:u w:val="single"/>
                </w:rPr>
                <w:t xml:space="preserve">PyPI</w:t>
              </w:r>
            </w:hyperlink>
            <w:r>
              <w:rPr>
                <w:rFonts w:ascii="Calibri" w:hAnsi="Calibri"/>
                <w:color w:val="20262E"/>
                <w:sz w:val="16"/>
              </w:rPr>
              <w:t>)</w:t>
            </w:r>
          </w:p>
        </w:tc>
        <w:tc>
          <w:tcPr>
            <w:tcW w:type="dxa" w:w="2823"/>
            <w:tcMar>
              <w:top w:w="80" w:type="dxa"/>
              <w:start w:w="120" w:type="dxa"/>
              <w:bottom w:w="80" w:type="dxa"/>
              <w:end w:w="120" w:type="dxa"/>
            </w:tcMar>
            <w:vAlign w:val="top"/>
          </w:tcPr>
          <w:p>
            <w:pPr>
              <w:spacing w:before="0" w:after="60" w:line="252" w:lineRule="auto"/>
            </w:pPr>
            <w:r>
              <w:rPr>
                <w:rFonts w:ascii="Calibri" w:hAnsi="Calibri"/>
                <w:color w:val="20262E"/>
                <w:sz w:val="16"/>
              </w:rPr>
              <w:t>Explicit research graphs, checkpoints, human interrupts, bounded cycles</w:t>
            </w:r>
          </w:p>
        </w:tc>
        <w:tc>
          <w:tcPr>
            <w:tcW w:type="dxa" w:w="3150"/>
            <w:tcMar>
              <w:top w:w="80" w:type="dxa"/>
              <w:start w:w="120" w:type="dxa"/>
              <w:bottom w:w="80" w:type="dxa"/>
              <w:end w:w="120" w:type="dxa"/>
            </w:tcMar>
            <w:vAlign w:val="top"/>
          </w:tcPr>
          <w:p>
            <w:pPr>
              <w:spacing w:before="0" w:after="60" w:line="252" w:lineRule="auto"/>
            </w:pPr>
            <w:r>
              <w:rPr>
                <w:rFonts w:ascii="Calibri" w:hAnsi="Calibri"/>
                <w:color w:val="20262E"/>
                <w:sz w:val="16"/>
              </w:rPr>
              <w:t>Authoritative ledger, risk decision, or execution state</w:t>
            </w:r>
          </w:p>
        </w:tc>
      </w:tr>
      <w:tr>
        <w:trPr>
          <w:cantSplit w:val="true"/>
        </w:trPr>
        <w:tc>
          <w:tcPr>
            <w:tcW w:type="dxa" w:w="151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CrewAI</w:t>
            </w:r>
          </w:p>
        </w:tc>
        <w:tc>
          <w:tcPr>
            <w:tcW w:type="dxa" w:w="187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1.15.18, 27 Aug 2026 (</w:t>
            </w:r>
            <w:hyperlink r:id="rId72">
              <w:r>
                <w:rPr>
                  <w:color w:val="2E74B5"/>
                  <w:u w:val="single"/>
                </w:rPr>
                <w:t xml:space="preserve">PyPI</w:t>
              </w:r>
            </w:hyperlink>
            <w:r>
              <w:rPr>
                <w:rFonts w:ascii="Calibri" w:hAnsi="Calibri"/>
                <w:color w:val="20262E"/>
                <w:sz w:val="16"/>
              </w:rPr>
              <w:t>)</w:t>
            </w:r>
          </w:p>
        </w:tc>
        <w:tc>
          <w:tcPr>
            <w:tcW w:type="dxa" w:w="282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Rapid role/task prototypes and qualitative research comparison</w:t>
            </w:r>
          </w:p>
        </w:tc>
        <w:tc>
          <w:tcPr>
            <w:tcW w:type="dxa" w:w="315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Long-lived source of truth or unconstrained delegation</w:t>
            </w:r>
          </w:p>
        </w:tc>
      </w:tr>
      <w:tr>
        <w:trPr>
          <w:cantSplit w:val="true"/>
        </w:trPr>
        <w:tc>
          <w:tcPr>
            <w:tcW w:type="dxa" w:w="1517"/>
            <w:tcMar>
              <w:top w:w="80" w:type="dxa"/>
              <w:start w:w="120" w:type="dxa"/>
              <w:bottom w:w="80" w:type="dxa"/>
              <w:end w:w="120" w:type="dxa"/>
            </w:tcMar>
            <w:vAlign w:val="top"/>
          </w:tcPr>
          <w:p>
            <w:pPr>
              <w:spacing w:before="0" w:after="60" w:line="252" w:lineRule="auto"/>
            </w:pPr>
            <w:r>
              <w:rPr>
                <w:rFonts w:ascii="Calibri" w:hAnsi="Calibri"/>
                <w:color w:val="20262E"/>
                <w:sz w:val="16"/>
              </w:rPr>
              <w:t>AG2</w:t>
            </w:r>
          </w:p>
        </w:tc>
        <w:tc>
          <w:tcPr>
            <w:tcW w:type="dxa" w:w="1870"/>
            <w:tcMar>
              <w:top w:w="80" w:type="dxa"/>
              <w:start w:w="120" w:type="dxa"/>
              <w:bottom w:w="80" w:type="dxa"/>
              <w:end w:w="120" w:type="dxa"/>
            </w:tcMar>
            <w:vAlign w:val="top"/>
          </w:tcPr>
          <w:p>
            <w:pPr>
              <w:spacing w:before="0" w:after="60" w:line="252" w:lineRule="auto"/>
            </w:pPr>
            <w:r>
              <w:rPr>
                <w:rFonts w:ascii="Calibri" w:hAnsi="Calibri"/>
                <w:color w:val="20262E"/>
                <w:sz w:val="16"/>
              </w:rPr>
              <w:t>1.0.3, 28 Aug 2026 (</w:t>
            </w:r>
            <w:hyperlink r:id="rId73">
              <w:r>
                <w:rPr>
                  <w:color w:val="2E74B5"/>
                  <w:u w:val="single"/>
                </w:rPr>
                <w:t xml:space="preserve">PyPI</w:t>
              </w:r>
            </w:hyperlink>
            <w:r>
              <w:rPr>
                <w:rFonts w:ascii="Calibri" w:hAnsi="Calibri"/>
                <w:color w:val="20262E"/>
                <w:sz w:val="16"/>
              </w:rPr>
              <w:t>)</w:t>
            </w:r>
          </w:p>
        </w:tc>
        <w:tc>
          <w:tcPr>
            <w:tcW w:type="dxa" w:w="2823"/>
            <w:tcMar>
              <w:top w:w="80" w:type="dxa"/>
              <w:start w:w="120" w:type="dxa"/>
              <w:bottom w:w="80" w:type="dxa"/>
              <w:end w:w="120" w:type="dxa"/>
            </w:tcMar>
            <w:vAlign w:val="top"/>
          </w:tcPr>
          <w:p>
            <w:pPr>
              <w:spacing w:before="0" w:after="60" w:line="252" w:lineRule="auto"/>
            </w:pPr>
            <w:r>
              <w:rPr>
                <w:rFonts w:ascii="Calibri" w:hAnsi="Calibri"/>
                <w:color w:val="20262E"/>
                <w:sz w:val="16"/>
              </w:rPr>
              <w:t>Debate and tool-using research experiments</w:t>
            </w:r>
          </w:p>
        </w:tc>
        <w:tc>
          <w:tcPr>
            <w:tcW w:type="dxa" w:w="3150"/>
            <w:tcMar>
              <w:top w:w="80" w:type="dxa"/>
              <w:start w:w="120" w:type="dxa"/>
              <w:bottom w:w="80" w:type="dxa"/>
              <w:end w:w="120" w:type="dxa"/>
            </w:tcMar>
            <w:vAlign w:val="top"/>
          </w:tcPr>
          <w:p>
            <w:pPr>
              <w:spacing w:before="0" w:after="60" w:line="252" w:lineRule="auto"/>
            </w:pPr>
            <w:r>
              <w:rPr>
                <w:rFonts w:ascii="Calibri" w:hAnsi="Calibri"/>
                <w:color w:val="20262E"/>
                <w:sz w:val="16"/>
              </w:rPr>
              <w:t>Promotion authority or private holdout access</w:t>
            </w:r>
          </w:p>
        </w:tc>
      </w:tr>
      <w:tr>
        <w:trPr>
          <w:cantSplit w:val="true"/>
        </w:trPr>
        <w:tc>
          <w:tcPr>
            <w:tcW w:type="dxa" w:w="151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OpenAI Agents SDK</w:t>
            </w:r>
          </w:p>
        </w:tc>
        <w:tc>
          <w:tcPr>
            <w:tcW w:type="dxa" w:w="187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0.22.0, 19 Aug 2026 (</w:t>
            </w:r>
            <w:hyperlink r:id="rId74">
              <w:r>
                <w:rPr>
                  <w:color w:val="2E74B5"/>
                  <w:u w:val="single"/>
                </w:rPr>
                <w:t xml:space="preserve">PyPI</w:t>
              </w:r>
            </w:hyperlink>
            <w:r>
              <w:rPr>
                <w:rFonts w:ascii="Calibri" w:hAnsi="Calibri"/>
                <w:color w:val="20262E"/>
                <w:sz w:val="16"/>
              </w:rPr>
              <w:t>)</w:t>
            </w:r>
          </w:p>
        </w:tc>
        <w:tc>
          <w:tcPr>
            <w:tcW w:type="dxa" w:w="282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Typed tools, handoffs, traces, guardrail hooks</w:t>
            </w:r>
          </w:p>
        </w:tc>
        <w:tc>
          <w:tcPr>
            <w:tcW w:type="dxa" w:w="315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Deterministic policy enforcement</w:t>
            </w:r>
          </w:p>
        </w:tc>
      </w:tr>
      <w:tr>
        <w:trPr>
          <w:cantSplit w:val="true"/>
        </w:trPr>
        <w:tc>
          <w:tcPr>
            <w:tcW w:type="dxa" w:w="1517"/>
            <w:tcMar>
              <w:top w:w="80" w:type="dxa"/>
              <w:start w:w="120" w:type="dxa"/>
              <w:bottom w:w="80" w:type="dxa"/>
              <w:end w:w="120" w:type="dxa"/>
            </w:tcMar>
            <w:vAlign w:val="top"/>
          </w:tcPr>
          <w:p>
            <w:pPr>
              <w:spacing w:before="0" w:after="60" w:line="252" w:lineRule="auto"/>
            </w:pPr>
            <w:r>
              <w:rPr>
                <w:rFonts w:ascii="Calibri" w:hAnsi="Calibri"/>
                <w:color w:val="20262E"/>
                <w:sz w:val="16"/>
              </w:rPr>
              <w:t>Anthropic agent tooling</w:t>
            </w:r>
          </w:p>
        </w:tc>
        <w:tc>
          <w:tcPr>
            <w:tcW w:type="dxa" w:w="1870"/>
            <w:tcMar>
              <w:top w:w="80" w:type="dxa"/>
              <w:start w:w="120" w:type="dxa"/>
              <w:bottom w:w="80" w:type="dxa"/>
              <w:end w:w="120" w:type="dxa"/>
            </w:tcMar>
            <w:vAlign w:val="top"/>
          </w:tcPr>
          <w:p>
            <w:pPr>
              <w:spacing w:before="0" w:after="60" w:line="252" w:lineRule="auto"/>
            </w:pPr>
            <w:r>
              <w:rPr>
                <w:rFonts w:ascii="Calibri" w:hAnsi="Calibri"/>
                <w:color w:val="20262E"/>
                <w:sz w:val="16"/>
              </w:rPr>
              <w:t>Stable public SDK version unverified</w:t>
            </w:r>
          </w:p>
        </w:tc>
        <w:tc>
          <w:tcPr>
            <w:tcW w:type="dxa" w:w="2823"/>
            <w:tcMar>
              <w:top w:w="80" w:type="dxa"/>
              <w:start w:w="120" w:type="dxa"/>
              <w:bottom w:w="80" w:type="dxa"/>
              <w:end w:w="120" w:type="dxa"/>
            </w:tcMar>
            <w:vAlign w:val="top"/>
          </w:tcPr>
          <w:p>
            <w:pPr>
              <w:spacing w:before="0" w:after="60" w:line="252" w:lineRule="auto"/>
            </w:pPr>
            <w:r>
              <w:rPr>
                <w:rFonts w:ascii="Calibri" w:hAnsi="Calibri"/>
                <w:color w:val="20262E"/>
                <w:sz w:val="16"/>
              </w:rPr>
              <w:t>Optional model/provider adapter and research-worker experiments</w:t>
            </w:r>
          </w:p>
        </w:tc>
        <w:tc>
          <w:tcPr>
            <w:tcW w:type="dxa" w:w="3150"/>
            <w:tcMar>
              <w:top w:w="80" w:type="dxa"/>
              <w:start w:w="120" w:type="dxa"/>
              <w:bottom w:w="80" w:type="dxa"/>
              <w:end w:w="120" w:type="dxa"/>
            </w:tcMar>
            <w:vAlign w:val="top"/>
          </w:tcPr>
          <w:p>
            <w:pPr>
              <w:spacing w:before="0" w:after="60" w:line="252" w:lineRule="auto"/>
            </w:pPr>
            <w:r>
              <w:rPr>
                <w:rFonts w:ascii="Calibri" w:hAnsi="Calibri"/>
                <w:color w:val="20262E"/>
                <w:sz w:val="16"/>
              </w:rPr>
              <w:t>Cross-provider state semantics without an internal abstraction</w:t>
            </w:r>
          </w:p>
        </w:tc>
      </w:tr>
      <w:tr>
        <w:trPr>
          <w:cantSplit w:val="true"/>
        </w:trPr>
        <w:tc>
          <w:tcPr>
            <w:tcW w:type="dxa" w:w="1517"/>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Temporal Python SDK</w:t>
            </w:r>
          </w:p>
        </w:tc>
        <w:tc>
          <w:tcPr>
            <w:tcW w:type="dxa" w:w="187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1.32.0, 24 Aug 2026 (</w:t>
            </w:r>
            <w:hyperlink r:id="rId75">
              <w:r>
                <w:rPr>
                  <w:color w:val="2E74B5"/>
                  <w:u w:val="single"/>
                </w:rPr>
                <w:t xml:space="preserve">PyPI</w:t>
              </w:r>
            </w:hyperlink>
            <w:r>
              <w:rPr>
                <w:rFonts w:ascii="Calibri" w:hAnsi="Calibri"/>
                <w:color w:val="20262E"/>
                <w:sz w:val="16"/>
              </w:rPr>
              <w:t>)</w:t>
            </w:r>
          </w:p>
        </w:tc>
        <w:tc>
          <w:tcPr>
            <w:tcW w:type="dxa" w:w="282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Durable, retryable multi-day ingestion, experiment, review, and incident workflows</w:t>
            </w:r>
          </w:p>
        </w:tc>
        <w:tc>
          <w:tcPr>
            <w:tcW w:type="dxa" w:w="315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High-volume market-event transport</w:t>
            </w:r>
          </w:p>
        </w:tc>
      </w:tr>
      <w:tr>
        <w:trPr>
          <w:cantSplit w:val="true"/>
        </w:trPr>
        <w:tc>
          <w:tcPr>
            <w:tcW w:type="dxa" w:w="1517"/>
            <w:tcMar>
              <w:top w:w="80" w:type="dxa"/>
              <w:start w:w="120" w:type="dxa"/>
              <w:bottom w:w="80" w:type="dxa"/>
              <w:end w:w="120" w:type="dxa"/>
            </w:tcMar>
            <w:vAlign w:val="top"/>
          </w:tcPr>
          <w:p>
            <w:pPr>
              <w:spacing w:before="0" w:after="60" w:line="252" w:lineRule="auto"/>
            </w:pPr>
            <w:r>
              <w:rPr>
                <w:rFonts w:ascii="Calibri" w:hAnsi="Calibri"/>
                <w:color w:val="20262E"/>
                <w:sz w:val="16"/>
              </w:rPr>
              <w:t>MCP</w:t>
            </w:r>
          </w:p>
        </w:tc>
        <w:tc>
          <w:tcPr>
            <w:tcW w:type="dxa" w:w="1870"/>
            <w:tcMar>
              <w:top w:w="80" w:type="dxa"/>
              <w:start w:w="120" w:type="dxa"/>
              <w:bottom w:w="80" w:type="dxa"/>
              <w:end w:w="120" w:type="dxa"/>
            </w:tcMar>
            <w:vAlign w:val="top"/>
          </w:tcPr>
          <w:p>
            <w:pPr>
              <w:spacing w:before="0" w:after="60" w:line="252" w:lineRule="auto"/>
            </w:pPr>
            <w:r>
              <w:rPr>
                <w:rFonts w:ascii="Calibri" w:hAnsi="Calibri"/>
                <w:color w:val="20262E"/>
                <w:sz w:val="16"/>
              </w:rPr>
              <w:t>Specification 2026-07-28 (</w:t>
            </w:r>
            <w:hyperlink r:id="rId76">
              <w:r>
                <w:rPr>
                  <w:color w:val="2E74B5"/>
                  <w:u w:val="single"/>
                </w:rPr>
                <w:t xml:space="preserve">tools spec</w:t>
              </w:r>
            </w:hyperlink>
            <w:r>
              <w:rPr>
                <w:rFonts w:ascii="Calibri" w:hAnsi="Calibri"/>
                <w:color w:val="20262E"/>
                <w:sz w:val="16"/>
              </w:rPr>
              <w:t>)</w:t>
            </w:r>
          </w:p>
        </w:tc>
        <w:tc>
          <w:tcPr>
            <w:tcW w:type="dxa" w:w="2823"/>
            <w:tcMar>
              <w:top w:w="80" w:type="dxa"/>
              <w:start w:w="120" w:type="dxa"/>
              <w:bottom w:w="80" w:type="dxa"/>
              <w:end w:w="120" w:type="dxa"/>
            </w:tcMar>
            <w:vAlign w:val="top"/>
          </w:tcPr>
          <w:p>
            <w:pPr>
              <w:spacing w:before="0" w:after="60" w:line="252" w:lineRule="auto"/>
            </w:pPr>
            <w:r>
              <w:rPr>
                <w:rFonts w:ascii="Calibri" w:hAnsi="Calibri"/>
                <w:color w:val="20262E"/>
                <w:sz w:val="16"/>
              </w:rPr>
              <w:t>Discoverable typed research tools, schemas, and consent surfaces</w:t>
            </w:r>
          </w:p>
        </w:tc>
        <w:tc>
          <w:tcPr>
            <w:tcW w:type="dxa" w:w="3150"/>
            <w:tcMar>
              <w:top w:w="80" w:type="dxa"/>
              <w:start w:w="120" w:type="dxa"/>
              <w:bottom w:w="80" w:type="dxa"/>
              <w:end w:w="120" w:type="dxa"/>
            </w:tcMar>
            <w:vAlign w:val="top"/>
          </w:tcPr>
          <w:p>
            <w:pPr>
              <w:spacing w:before="0" w:after="60" w:line="252" w:lineRule="auto"/>
            </w:pPr>
            <w:r>
              <w:rPr>
                <w:rFonts w:ascii="Calibri" w:hAnsi="Calibri"/>
                <w:color w:val="20262E"/>
                <w:sz w:val="16"/>
              </w:rPr>
              <w:t>Trust by discovery alone; every server still needs identity, policy, validation, and output sanitation</w:t>
            </w:r>
          </w:p>
        </w:tc>
      </w:tr>
    </w:tbl>
    <w:p>
      <w:pPr>
        <w:spacing w:after="40"/>
      </w:pPr>
    </w:p>
    <w:p>
      <w:r>
        <w:t xml:space="preserve">Use Temporal above the agent graph: a workflow schedules research activities, waits on data or human review, retries idempotent actions, and records business state; an agent framework handles bounded reasoning within an activity. Kafka/NATS carries event streams; it should not be forced into human-scale workflow semantics. MCP exposes least-privilege tools such as </w:t>
      </w:r>
      <w:r>
        <w:rPr>
          <w:rFonts w:ascii="Consolas" w:hAnsi="Consolas"/>
          <w:color w:val="1F4D78"/>
          <w:sz w:val="18"/>
          <w:shd w:fill="EEF2F6"/>
        </w:rPr>
        <w:t>get_snapshot</w:t>
      </w:r>
      <w:r>
        <w:t xml:space="preserve">, </w:t>
      </w:r>
      <w:r>
        <w:rPr>
          <w:rFonts w:ascii="Consolas" w:hAnsi="Consolas"/>
          <w:color w:val="1F4D78"/>
          <w:sz w:val="18"/>
          <w:shd w:fill="EEF2F6"/>
        </w:rPr>
        <w:t>compile_feature</w:t>
      </w:r>
      <w:r>
        <w:t xml:space="preserve">, or </w:t>
      </w:r>
      <w:r>
        <w:rPr>
          <w:rFonts w:ascii="Consolas" w:hAnsi="Consolas"/>
          <w:color w:val="1F4D78"/>
          <w:sz w:val="18"/>
          <w:shd w:fill="EEF2F6"/>
        </w:rPr>
        <w:t>submit_candidate_to_crucible</w:t>
      </w:r>
      <w:r>
        <w:t>, never a generic shell or live-order tool.</w:t>
      </w:r>
    </w:p>
    <w:p>
      <w:pPr>
        <w:pStyle w:val="Heading2"/>
      </w:pPr>
      <w:r>
        <w:t>7.2 Operative roster and authority</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2340"/>
        <w:gridCol w:w="2340"/>
        <w:gridCol w:w="2340"/>
        <w:gridCol w:w="2340"/>
      </w:tblGrid>
      <w:tr>
        <w:trPr>
          <w:tblHeader w:val="true"/>
          <w:cantSplit w:val="true"/>
        </w:trPr>
        <w:tc>
          <w:tcPr>
            <w:tcW w:type="dxa" w:w="1733"/>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Operative</w:t>
            </w:r>
          </w:p>
        </w:tc>
        <w:tc>
          <w:tcPr>
            <w:tcW w:type="dxa" w:w="263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Primary artifacts</w:t>
            </w:r>
          </w:p>
        </w:tc>
        <w:tc>
          <w:tcPr>
            <w:tcW w:type="dxa" w:w="247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Allowed authority</w:t>
            </w:r>
          </w:p>
        </w:tc>
        <w:tc>
          <w:tcPr>
            <w:tcW w:type="dxa" w:w="2509"/>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Explicitly forbidden</w:t>
            </w:r>
          </w:p>
        </w:tc>
      </w:tr>
      <w:tr>
        <w:trPr>
          <w:cantSplit w:val="true"/>
        </w:trPr>
        <w:tc>
          <w:tcPr>
            <w:tcW w:type="dxa" w:w="1733"/>
            <w:tcMar>
              <w:top w:w="80" w:type="dxa"/>
              <w:start w:w="120" w:type="dxa"/>
              <w:bottom w:w="80" w:type="dxa"/>
              <w:end w:w="120" w:type="dxa"/>
            </w:tcMar>
            <w:vAlign w:val="top"/>
          </w:tcPr>
          <w:p>
            <w:pPr>
              <w:spacing w:before="0" w:after="60" w:line="252" w:lineRule="auto"/>
            </w:pPr>
            <w:r>
              <w:rPr>
                <w:rFonts w:ascii="Calibri" w:hAnsi="Calibri"/>
                <w:color w:val="20262E"/>
                <w:sz w:val="16"/>
              </w:rPr>
              <w:t>Data Steward</w:t>
            </w:r>
          </w:p>
        </w:tc>
        <w:tc>
          <w:tcPr>
            <w:tcW w:type="dxa" w:w="2639"/>
            <w:tcMar>
              <w:top w:w="80" w:type="dxa"/>
              <w:start w:w="120" w:type="dxa"/>
              <w:bottom w:w="80" w:type="dxa"/>
              <w:end w:w="120" w:type="dxa"/>
            </w:tcMar>
            <w:vAlign w:val="top"/>
          </w:tcPr>
          <w:p>
            <w:pPr>
              <w:spacing w:before="0" w:after="60" w:line="252" w:lineRule="auto"/>
            </w:pPr>
            <w:r>
              <w:rPr>
                <w:rFonts w:ascii="Calibri" w:hAnsi="Calibri"/>
                <w:color w:val="20262E"/>
                <w:sz w:val="16"/>
              </w:rPr>
              <w:t>Source contracts, gap ledgers, snapshots, PIT tests</w:t>
            </w:r>
          </w:p>
        </w:tc>
        <w:tc>
          <w:tcPr>
            <w:tcW w:type="dxa" w:w="2479"/>
            <w:tcMar>
              <w:top w:w="80" w:type="dxa"/>
              <w:start w:w="120" w:type="dxa"/>
              <w:bottom w:w="80" w:type="dxa"/>
              <w:end w:w="120" w:type="dxa"/>
            </w:tcMar>
            <w:vAlign w:val="top"/>
          </w:tcPr>
          <w:p>
            <w:pPr>
              <w:spacing w:before="0" w:after="60" w:line="252" w:lineRule="auto"/>
            </w:pPr>
            <w:r>
              <w:rPr>
                <w:rFonts w:ascii="Calibri" w:hAnsi="Calibri"/>
                <w:color w:val="20262E"/>
                <w:sz w:val="16"/>
              </w:rPr>
              <w:t>Quarantine datasets; certify snapshots</w:t>
            </w:r>
          </w:p>
        </w:tc>
        <w:tc>
          <w:tcPr>
            <w:tcW w:type="dxa" w:w="2509"/>
            <w:tcMar>
              <w:top w:w="80" w:type="dxa"/>
              <w:start w:w="120" w:type="dxa"/>
              <w:bottom w:w="80" w:type="dxa"/>
              <w:end w:w="120" w:type="dxa"/>
            </w:tcMar>
            <w:vAlign w:val="top"/>
          </w:tcPr>
          <w:p>
            <w:pPr>
              <w:spacing w:before="0" w:after="60" w:line="252" w:lineRule="auto"/>
            </w:pPr>
            <w:r>
              <w:rPr>
                <w:rFonts w:ascii="Calibri" w:hAnsi="Calibri"/>
                <w:color w:val="20262E"/>
                <w:sz w:val="16"/>
              </w:rPr>
              <w:t>Change hypothesis or evaluation result</w:t>
            </w:r>
          </w:p>
        </w:tc>
      </w:tr>
      <w:tr>
        <w:trPr>
          <w:cantSplit w:val="true"/>
        </w:trPr>
        <w:tc>
          <w:tcPr>
            <w:tcW w:type="dxa" w:w="173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Feature Scientist</w:t>
            </w:r>
          </w:p>
        </w:tc>
        <w:tc>
          <w:tcPr>
            <w:tcW w:type="dxa" w:w="26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Typed feature DAGs, implementation parity tests</w:t>
            </w:r>
          </w:p>
        </w:tc>
        <w:tc>
          <w:tcPr>
            <w:tcW w:type="dxa" w:w="247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Propose and screen on training folds</w:t>
            </w:r>
          </w:p>
        </w:tc>
        <w:tc>
          <w:tcPr>
            <w:tcW w:type="dxa" w:w="250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View private holdout residuals</w:t>
            </w:r>
          </w:p>
        </w:tc>
      </w:tr>
      <w:tr>
        <w:trPr>
          <w:cantSplit w:val="true"/>
        </w:trPr>
        <w:tc>
          <w:tcPr>
            <w:tcW w:type="dxa" w:w="1733"/>
            <w:tcMar>
              <w:top w:w="80" w:type="dxa"/>
              <w:start w:w="120" w:type="dxa"/>
              <w:bottom w:w="80" w:type="dxa"/>
              <w:end w:w="120" w:type="dxa"/>
            </w:tcMar>
            <w:vAlign w:val="top"/>
          </w:tcPr>
          <w:p>
            <w:pPr>
              <w:spacing w:before="0" w:after="60" w:line="252" w:lineRule="auto"/>
            </w:pPr>
            <w:r>
              <w:rPr>
                <w:rFonts w:ascii="Calibri" w:hAnsi="Calibri"/>
                <w:color w:val="20262E"/>
                <w:sz w:val="16"/>
              </w:rPr>
              <w:t>Hypothesis Generator</w:t>
            </w:r>
          </w:p>
        </w:tc>
        <w:tc>
          <w:tcPr>
            <w:tcW w:type="dxa" w:w="2639"/>
            <w:tcMar>
              <w:top w:w="80" w:type="dxa"/>
              <w:start w:w="120" w:type="dxa"/>
              <w:bottom w:w="80" w:type="dxa"/>
              <w:end w:w="120" w:type="dxa"/>
            </w:tcMar>
            <w:vAlign w:val="top"/>
          </w:tcPr>
          <w:p>
            <w:pPr>
              <w:spacing w:before="0" w:after="60" w:line="252" w:lineRule="auto"/>
            </w:pPr>
            <w:r>
              <w:rPr>
                <w:rFonts w:ascii="Calibri" w:hAnsi="Calibri"/>
                <w:color w:val="20262E"/>
                <w:sz w:val="16"/>
              </w:rPr>
              <w:t>Pre-registrations, mechanisms, falsifiers</w:t>
            </w:r>
          </w:p>
        </w:tc>
        <w:tc>
          <w:tcPr>
            <w:tcW w:type="dxa" w:w="2479"/>
            <w:tcMar>
              <w:top w:w="80" w:type="dxa"/>
              <w:start w:w="120" w:type="dxa"/>
              <w:bottom w:w="80" w:type="dxa"/>
              <w:end w:w="120" w:type="dxa"/>
            </w:tcMar>
            <w:vAlign w:val="top"/>
          </w:tcPr>
          <w:p>
            <w:pPr>
              <w:spacing w:before="0" w:after="60" w:line="252" w:lineRule="auto"/>
            </w:pPr>
            <w:r>
              <w:rPr>
                <w:rFonts w:ascii="Calibri" w:hAnsi="Calibri"/>
                <w:color w:val="20262E"/>
                <w:sz w:val="16"/>
              </w:rPr>
              <w:t>Spend assigned idea tokens</w:t>
            </w:r>
          </w:p>
        </w:tc>
        <w:tc>
          <w:tcPr>
            <w:tcW w:type="dxa" w:w="2509"/>
            <w:tcMar>
              <w:top w:w="80" w:type="dxa"/>
              <w:start w:w="120" w:type="dxa"/>
              <w:bottom w:w="80" w:type="dxa"/>
              <w:end w:w="120" w:type="dxa"/>
            </w:tcMar>
            <w:vAlign w:val="top"/>
          </w:tcPr>
          <w:p>
            <w:pPr>
              <w:spacing w:before="0" w:after="60" w:line="252" w:lineRule="auto"/>
            </w:pPr>
            <w:r>
              <w:rPr>
                <w:rFonts w:ascii="Calibri" w:hAnsi="Calibri"/>
                <w:color w:val="20262E"/>
                <w:sz w:val="16"/>
              </w:rPr>
              <w:t>Expand its own trial budget</w:t>
            </w:r>
          </w:p>
        </w:tc>
      </w:tr>
      <w:tr>
        <w:trPr>
          <w:cantSplit w:val="true"/>
        </w:trPr>
        <w:tc>
          <w:tcPr>
            <w:tcW w:type="dxa" w:w="173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Model Developer</w:t>
            </w:r>
          </w:p>
        </w:tc>
        <w:tc>
          <w:tcPr>
            <w:tcW w:type="dxa" w:w="26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Training code, calibration, model cards</w:t>
            </w:r>
          </w:p>
        </w:tc>
        <w:tc>
          <w:tcPr>
            <w:tcW w:type="dxa" w:w="247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Tune within nested inner loop</w:t>
            </w:r>
          </w:p>
        </w:tc>
        <w:tc>
          <w:tcPr>
            <w:tcW w:type="dxa" w:w="250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Select on outer test paths</w:t>
            </w:r>
          </w:p>
        </w:tc>
      </w:tr>
      <w:tr>
        <w:trPr>
          <w:cantSplit w:val="true"/>
        </w:trPr>
        <w:tc>
          <w:tcPr>
            <w:tcW w:type="dxa" w:w="1733"/>
            <w:tcMar>
              <w:top w:w="80" w:type="dxa"/>
              <w:start w:w="120" w:type="dxa"/>
              <w:bottom w:w="80" w:type="dxa"/>
              <w:end w:w="120" w:type="dxa"/>
            </w:tcMar>
            <w:vAlign w:val="top"/>
          </w:tcPr>
          <w:p>
            <w:pPr>
              <w:spacing w:before="0" w:after="60" w:line="252" w:lineRule="auto"/>
            </w:pPr>
            <w:r>
              <w:rPr>
                <w:rFonts w:ascii="Calibri" w:hAnsi="Calibri"/>
                <w:color w:val="20262E"/>
                <w:sz w:val="16"/>
              </w:rPr>
              <w:t>Backtest Engineer</w:t>
            </w:r>
          </w:p>
        </w:tc>
        <w:tc>
          <w:tcPr>
            <w:tcW w:type="dxa" w:w="2639"/>
            <w:tcMar>
              <w:top w:w="80" w:type="dxa"/>
              <w:start w:w="120" w:type="dxa"/>
              <w:bottom w:w="80" w:type="dxa"/>
              <w:end w:w="120" w:type="dxa"/>
            </w:tcMar>
            <w:vAlign w:val="top"/>
          </w:tcPr>
          <w:p>
            <w:pPr>
              <w:spacing w:before="0" w:after="60" w:line="252" w:lineRule="auto"/>
            </w:pPr>
            <w:r>
              <w:rPr>
                <w:rFonts w:ascii="Calibri" w:hAnsi="Calibri"/>
                <w:color w:val="20262E"/>
                <w:sz w:val="16"/>
              </w:rPr>
              <w:t>Clock/fill/accounting models, golden corpus</w:t>
            </w:r>
          </w:p>
        </w:tc>
        <w:tc>
          <w:tcPr>
            <w:tcW w:type="dxa" w:w="2479"/>
            <w:tcMar>
              <w:top w:w="80" w:type="dxa"/>
              <w:start w:w="120" w:type="dxa"/>
              <w:bottom w:w="80" w:type="dxa"/>
              <w:end w:w="120" w:type="dxa"/>
            </w:tcMar>
            <w:vAlign w:val="top"/>
          </w:tcPr>
          <w:p>
            <w:pPr>
              <w:spacing w:before="0" w:after="60" w:line="252" w:lineRule="auto"/>
            </w:pPr>
            <w:r>
              <w:rPr>
                <w:rFonts w:ascii="Calibri" w:hAnsi="Calibri"/>
                <w:color w:val="20262E"/>
                <w:sz w:val="16"/>
              </w:rPr>
              <w:t>Block on reconciliation failure</w:t>
            </w:r>
          </w:p>
        </w:tc>
        <w:tc>
          <w:tcPr>
            <w:tcW w:type="dxa" w:w="2509"/>
            <w:tcMar>
              <w:top w:w="80" w:type="dxa"/>
              <w:start w:w="120" w:type="dxa"/>
              <w:bottom w:w="80" w:type="dxa"/>
              <w:end w:w="120" w:type="dxa"/>
            </w:tcMar>
            <w:vAlign w:val="top"/>
          </w:tcPr>
          <w:p>
            <w:pPr>
              <w:spacing w:before="0" w:after="60" w:line="252" w:lineRule="auto"/>
            </w:pPr>
            <w:r>
              <w:rPr>
                <w:rFonts w:ascii="Calibri" w:hAnsi="Calibri"/>
                <w:color w:val="20262E"/>
                <w:sz w:val="16"/>
              </w:rPr>
              <w:t>Alter market facts to “fix” a result</w:t>
            </w:r>
          </w:p>
        </w:tc>
      </w:tr>
      <w:tr>
        <w:trPr>
          <w:cantSplit w:val="true"/>
        </w:trPr>
        <w:tc>
          <w:tcPr>
            <w:tcW w:type="dxa" w:w="173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Red-Team Reviewer</w:t>
            </w:r>
          </w:p>
        </w:tc>
        <w:tc>
          <w:tcPr>
            <w:tcW w:type="dxa" w:w="26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Leakage, sensitivity, failure memo</w:t>
            </w:r>
          </w:p>
        </w:tc>
        <w:tc>
          <w:tcPr>
            <w:tcW w:type="dxa" w:w="247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Demand adversarial tests; record dissent</w:t>
            </w:r>
          </w:p>
        </w:tc>
        <w:tc>
          <w:tcPr>
            <w:tcW w:type="dxa" w:w="250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Mutate the submitted bundle</w:t>
            </w:r>
          </w:p>
        </w:tc>
      </w:tr>
      <w:tr>
        <w:trPr>
          <w:cantSplit w:val="true"/>
        </w:trPr>
        <w:tc>
          <w:tcPr>
            <w:tcW w:type="dxa" w:w="1733"/>
            <w:tcMar>
              <w:top w:w="80" w:type="dxa"/>
              <w:start w:w="120" w:type="dxa"/>
              <w:bottom w:w="80" w:type="dxa"/>
              <w:end w:w="120" w:type="dxa"/>
            </w:tcMar>
            <w:vAlign w:val="top"/>
          </w:tcPr>
          <w:p>
            <w:pPr>
              <w:spacing w:before="0" w:after="60" w:line="252" w:lineRule="auto"/>
            </w:pPr>
            <w:r>
              <w:rPr>
                <w:rFonts w:ascii="Calibri" w:hAnsi="Calibri"/>
                <w:color w:val="20262E"/>
                <w:sz w:val="16"/>
              </w:rPr>
              <w:t>Risk Officer</w:t>
            </w:r>
          </w:p>
        </w:tc>
        <w:tc>
          <w:tcPr>
            <w:tcW w:type="dxa" w:w="2639"/>
            <w:tcMar>
              <w:top w:w="80" w:type="dxa"/>
              <w:start w:w="120" w:type="dxa"/>
              <w:bottom w:w="80" w:type="dxa"/>
              <w:end w:w="120" w:type="dxa"/>
            </w:tcMar>
            <w:vAlign w:val="top"/>
          </w:tcPr>
          <w:p>
            <w:pPr>
              <w:spacing w:before="0" w:after="60" w:line="252" w:lineRule="auto"/>
            </w:pPr>
            <w:r>
              <w:rPr>
                <w:rFonts w:ascii="Calibri" w:hAnsi="Calibri"/>
                <w:color w:val="20262E"/>
                <w:sz w:val="16"/>
              </w:rPr>
              <w:t>Hard invariants, de-risk state, incident veto</w:t>
            </w:r>
          </w:p>
        </w:tc>
        <w:tc>
          <w:tcPr>
            <w:tcW w:type="dxa" w:w="2479"/>
            <w:tcMar>
              <w:top w:w="80" w:type="dxa"/>
              <w:start w:w="120" w:type="dxa"/>
              <w:bottom w:w="80" w:type="dxa"/>
              <w:end w:w="120" w:type="dxa"/>
            </w:tcMar>
            <w:vAlign w:val="top"/>
          </w:tcPr>
          <w:p>
            <w:pPr>
              <w:spacing w:before="0" w:after="60" w:line="252" w:lineRule="auto"/>
            </w:pPr>
            <w:r>
              <w:rPr>
                <w:rFonts w:ascii="Calibri" w:hAnsi="Calibri"/>
                <w:color w:val="20262E"/>
                <w:sz w:val="16"/>
              </w:rPr>
              <w:t>Halt all simulated intents</w:t>
            </w:r>
          </w:p>
        </w:tc>
        <w:tc>
          <w:tcPr>
            <w:tcW w:type="dxa" w:w="2509"/>
            <w:tcMar>
              <w:top w:w="80" w:type="dxa"/>
              <w:start w:w="120" w:type="dxa"/>
              <w:bottom w:w="80" w:type="dxa"/>
              <w:end w:w="120" w:type="dxa"/>
            </w:tcMar>
            <w:vAlign w:val="top"/>
          </w:tcPr>
          <w:p>
            <w:pPr>
              <w:spacing w:before="0" w:after="60" w:line="252" w:lineRule="auto"/>
            </w:pPr>
            <w:r>
              <w:rPr>
                <w:rFonts w:ascii="Calibri" w:hAnsi="Calibri"/>
                <w:color w:val="20262E"/>
                <w:sz w:val="16"/>
              </w:rPr>
              <w:t>Improve alpha or waive its own breach</w:t>
            </w:r>
          </w:p>
        </w:tc>
      </w:tr>
      <w:tr>
        <w:trPr>
          <w:cantSplit w:val="true"/>
        </w:trPr>
        <w:tc>
          <w:tcPr>
            <w:tcW w:type="dxa" w:w="173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Rule Warden</w:t>
            </w:r>
          </w:p>
        </w:tc>
        <w:tc>
          <w:tcPr>
            <w:tcW w:type="dxa" w:w="26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Dated generic policy predicates</w:t>
            </w:r>
          </w:p>
        </w:tc>
        <w:tc>
          <w:tcPr>
            <w:tcW w:type="dxa" w:w="247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Mark unknown/conflict; fail closed</w:t>
            </w:r>
          </w:p>
        </w:tc>
        <w:tc>
          <w:tcPr>
            <w:tcW w:type="dxa" w:w="250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Activate unreviewed interpretations</w:t>
            </w:r>
          </w:p>
        </w:tc>
      </w:tr>
      <w:tr>
        <w:trPr>
          <w:cantSplit w:val="true"/>
        </w:trPr>
        <w:tc>
          <w:tcPr>
            <w:tcW w:type="dxa" w:w="1733"/>
            <w:tcMar>
              <w:top w:w="80" w:type="dxa"/>
              <w:start w:w="120" w:type="dxa"/>
              <w:bottom w:w="80" w:type="dxa"/>
              <w:end w:w="120" w:type="dxa"/>
            </w:tcMar>
            <w:vAlign w:val="top"/>
          </w:tcPr>
          <w:p>
            <w:pPr>
              <w:spacing w:before="0" w:after="60" w:line="252" w:lineRule="auto"/>
            </w:pPr>
            <w:r>
              <w:rPr>
                <w:rFonts w:ascii="Calibri" w:hAnsi="Calibri"/>
                <w:color w:val="20262E"/>
                <w:sz w:val="16"/>
              </w:rPr>
              <w:t>Paper Execution Trader</w:t>
            </w:r>
          </w:p>
        </w:tc>
        <w:tc>
          <w:tcPr>
            <w:tcW w:type="dxa" w:w="2639"/>
            <w:tcMar>
              <w:top w:w="80" w:type="dxa"/>
              <w:start w:w="120" w:type="dxa"/>
              <w:bottom w:w="80" w:type="dxa"/>
              <w:end w:w="120" w:type="dxa"/>
            </w:tcMar>
            <w:vAlign w:val="top"/>
          </w:tcPr>
          <w:p>
            <w:pPr>
              <w:spacing w:before="0" w:after="60" w:line="252" w:lineRule="auto"/>
            </w:pPr>
            <w:r>
              <w:rPr>
                <w:rFonts w:ascii="Calibri" w:hAnsi="Calibri"/>
                <w:color w:val="20262E"/>
                <w:sz w:val="16"/>
              </w:rPr>
              <w:t>Paper runtime, journals, reconciliation</w:t>
            </w:r>
          </w:p>
        </w:tc>
        <w:tc>
          <w:tcPr>
            <w:tcW w:type="dxa" w:w="2479"/>
            <w:tcMar>
              <w:top w:w="80" w:type="dxa"/>
              <w:start w:w="120" w:type="dxa"/>
              <w:bottom w:w="80" w:type="dxa"/>
              <w:end w:w="120" w:type="dxa"/>
            </w:tcMar>
            <w:vAlign w:val="top"/>
          </w:tcPr>
          <w:p>
            <w:pPr>
              <w:spacing w:before="0" w:after="60" w:line="252" w:lineRule="auto"/>
            </w:pPr>
            <w:r>
              <w:rPr>
                <w:rFonts w:ascii="Calibri" w:hAnsi="Calibri"/>
                <w:color w:val="20262E"/>
                <w:sz w:val="16"/>
              </w:rPr>
              <w:t>Start/stop signed paper bundles</w:t>
            </w:r>
          </w:p>
        </w:tc>
        <w:tc>
          <w:tcPr>
            <w:tcW w:type="dxa" w:w="2509"/>
            <w:tcMar>
              <w:top w:w="80" w:type="dxa"/>
              <w:start w:w="120" w:type="dxa"/>
              <w:bottom w:w="80" w:type="dxa"/>
              <w:end w:w="120" w:type="dxa"/>
            </w:tcMar>
            <w:vAlign w:val="top"/>
          </w:tcPr>
          <w:p>
            <w:pPr>
              <w:spacing w:before="0" w:after="60" w:line="252" w:lineRule="auto"/>
            </w:pPr>
            <w:r>
              <w:rPr>
                <w:rFonts w:ascii="Calibri" w:hAnsi="Calibri"/>
                <w:color w:val="20262E"/>
                <w:sz w:val="16"/>
              </w:rPr>
              <w:t>Run research notebooks or transmit live orders</w:t>
            </w:r>
          </w:p>
        </w:tc>
      </w:tr>
      <w:tr>
        <w:trPr>
          <w:cantSplit w:val="true"/>
        </w:trPr>
        <w:tc>
          <w:tcPr>
            <w:tcW w:type="dxa" w:w="173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Allocator/CIO</w:t>
            </w:r>
          </w:p>
        </w:tc>
        <w:tc>
          <w:tcPr>
            <w:tcW w:type="dxa" w:w="26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Portfolio evidence, dependency map</w:t>
            </w:r>
          </w:p>
        </w:tc>
        <w:tc>
          <w:tcPr>
            <w:tcW w:type="dxa" w:w="247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Allocate normalized paper units within policy</w:t>
            </w:r>
          </w:p>
        </w:tc>
        <w:tc>
          <w:tcPr>
            <w:tcW w:type="dxa" w:w="250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Override strategy quarantine</w:t>
            </w:r>
          </w:p>
        </w:tc>
      </w:tr>
      <w:tr>
        <w:trPr>
          <w:cantSplit w:val="true"/>
        </w:trPr>
        <w:tc>
          <w:tcPr>
            <w:tcW w:type="dxa" w:w="1733"/>
            <w:tcMar>
              <w:top w:w="80" w:type="dxa"/>
              <w:start w:w="120" w:type="dxa"/>
              <w:bottom w:w="80" w:type="dxa"/>
              <w:end w:w="120" w:type="dxa"/>
            </w:tcMar>
            <w:vAlign w:val="top"/>
          </w:tcPr>
          <w:p>
            <w:pPr>
              <w:spacing w:before="0" w:after="60" w:line="252" w:lineRule="auto"/>
            </w:pPr>
            <w:r>
              <w:rPr>
                <w:rFonts w:ascii="Calibri" w:hAnsi="Calibri"/>
                <w:color w:val="20262E"/>
                <w:sz w:val="16"/>
              </w:rPr>
              <w:t>Post-mortem Analyst</w:t>
            </w:r>
          </w:p>
        </w:tc>
        <w:tc>
          <w:tcPr>
            <w:tcW w:type="dxa" w:w="2639"/>
            <w:tcMar>
              <w:top w:w="80" w:type="dxa"/>
              <w:start w:w="120" w:type="dxa"/>
              <w:bottom w:w="80" w:type="dxa"/>
              <w:end w:w="120" w:type="dxa"/>
            </w:tcMar>
            <w:vAlign w:val="top"/>
          </w:tcPr>
          <w:p>
            <w:pPr>
              <w:spacing w:before="0" w:after="60" w:line="252" w:lineRule="auto"/>
            </w:pPr>
            <w:r>
              <w:rPr>
                <w:rFonts w:ascii="Calibri" w:hAnsi="Calibri"/>
                <w:color w:val="20262E"/>
                <w:sz w:val="16"/>
              </w:rPr>
              <w:t>Incident timeline, counterfactual replay</w:t>
            </w:r>
          </w:p>
        </w:tc>
        <w:tc>
          <w:tcPr>
            <w:tcW w:type="dxa" w:w="2479"/>
            <w:tcMar>
              <w:top w:w="80" w:type="dxa"/>
              <w:start w:w="120" w:type="dxa"/>
              <w:bottom w:w="80" w:type="dxa"/>
              <w:end w:w="120" w:type="dxa"/>
            </w:tcMar>
            <w:vAlign w:val="top"/>
          </w:tcPr>
          <w:p>
            <w:pPr>
              <w:spacing w:before="0" w:after="60" w:line="252" w:lineRule="auto"/>
            </w:pPr>
            <w:r>
              <w:rPr>
                <w:rFonts w:ascii="Calibri" w:hAnsi="Calibri"/>
                <w:color w:val="20262E"/>
                <w:sz w:val="16"/>
              </w:rPr>
              <w:t>Recommend controls and tests</w:t>
            </w:r>
          </w:p>
        </w:tc>
        <w:tc>
          <w:tcPr>
            <w:tcW w:type="dxa" w:w="2509"/>
            <w:tcMar>
              <w:top w:w="80" w:type="dxa"/>
              <w:start w:w="120" w:type="dxa"/>
              <w:bottom w:w="80" w:type="dxa"/>
              <w:end w:w="120" w:type="dxa"/>
            </w:tcMar>
            <w:vAlign w:val="top"/>
          </w:tcPr>
          <w:p>
            <w:pPr>
              <w:spacing w:before="0" w:after="60" w:line="252" w:lineRule="auto"/>
            </w:pPr>
            <w:r>
              <w:rPr>
                <w:rFonts w:ascii="Calibri" w:hAnsi="Calibri"/>
                <w:color w:val="20262E"/>
                <w:sz w:val="16"/>
              </w:rPr>
              <w:t>Rewrite original evidence</w:t>
            </w:r>
          </w:p>
        </w:tc>
      </w:tr>
      <w:tr>
        <w:trPr>
          <w:cantSplit w:val="true"/>
        </w:trPr>
        <w:tc>
          <w:tcPr>
            <w:tcW w:type="dxa" w:w="173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SRE</w:t>
            </w:r>
          </w:p>
        </w:tc>
        <w:tc>
          <w:tcPr>
            <w:tcW w:type="dxa" w:w="263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Availability, clocks, queues, resource budgets</w:t>
            </w:r>
          </w:p>
        </w:tc>
        <w:tc>
          <w:tcPr>
            <w:tcW w:type="dxa" w:w="247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Roll back infrastructure; system halt</w:t>
            </w:r>
          </w:p>
        </w:tc>
        <w:tc>
          <w:tcPr>
            <w:tcW w:type="dxa" w:w="2509"/>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Change statistical gates</w:t>
            </w:r>
          </w:p>
        </w:tc>
      </w:tr>
    </w:tbl>
    <w:p>
      <w:pPr>
        <w:spacing w:after="40"/>
      </w:pPr>
    </w:p>
    <w:p>
      <w:r>
        <w:t>One Operative may be implemented by deterministic code, a human, an LLM-assisted process, or a mixture. “Agent” is an authority boundary and evidence producer, not a synonym for chatbot.</w:t>
      </w:r>
    </w:p>
    <w:p>
      <w:pPr>
        <w:pStyle w:val="Heading2"/>
      </w:pPr>
      <w:r>
        <w:t>7.3 Reliable mesh topology</w:t>
      </w:r>
    </w:p>
    <w:p>
      <w:r>
        <w:t>The most reliable topology is a hierarchical DAG with selective adversarial edges: a coordinator decomposes a mission; specialist workers create artifacts; independent evaluators challenge frozen bundles; a deterministic policy service gates transitions; Risk has veto; and humans approve consequential promotions and exceptions. Parallel ideation is useful because workers explore different subproblems, but aggregation must be evidence-aware rather than majority vote.</w:t>
      </w:r>
    </w:p>
    <w:p>
      <w:r>
        <w:t>Anthropic’s multi-agent research engineering report found an orchestrator-worker system substantially outperformed its single-agent baseline in its internal research evaluation, while consuming about fifteen times the tokens of ordinary chat and suffering coordination/error-propagation costs (</w:t>
      </w:r>
      <w:hyperlink r:id="rId77">
        <w:r>
          <w:rPr>
            <w:color w:val="2E74B5"/>
            <w:u w:val="single"/>
          </w:rPr>
          <w:t xml:space="preserve">Anthropic engineering report</w:t>
        </w:r>
      </w:hyperlink>
      <w:r>
        <w:t>). Treat that as practitioner evidence for breadth-oriented research, not proof of trading alpha. A cross-framework study catalogued 14 multi-agent failure modes from more than 1,600 traces across seven frameworks, including specification, coordination, and verification failures (</w:t>
      </w:r>
      <w:hyperlink r:id="rId78">
        <w:r>
          <w:rPr>
            <w:color w:val="2E74B5"/>
            <w:u w:val="single"/>
          </w:rPr>
          <w:t xml:space="preserve">MAST, 2025</w:t>
        </w:r>
      </w:hyperlink>
      <w:r>
        <w:t>). Magentic-One similarly uses an orchestrator-led team and emphasizes task ledgers and re-planning (</w:t>
      </w:r>
      <w:hyperlink r:id="rId79">
        <w:r>
          <w:rPr>
            <w:color w:val="2E74B5"/>
            <w:u w:val="single"/>
          </w:rPr>
          <w:t xml:space="preserve">Magentic-One</w:t>
        </w:r>
      </w:hyperlink>
      <w:r>
        <w:t>).</w:t>
      </w:r>
    </w:p>
    <w:p>
      <w:r>
        <w:t>Architectures that fail predictably include: free-form group chat with shared write access; recursive delegation without a cost or depth ceiling; generator and evaluator sharing hidden metrics; majority voting among identically prompted models; agents editing mutable notebooks in place; LLM judgment as a risk check; and an autonomous “research-to-deploy” loop. Debate can improve reasoning in selected benchmarks (</w:t>
      </w:r>
      <w:hyperlink r:id="rId59">
        <w:r>
          <w:rPr>
            <w:color w:val="2E74B5"/>
            <w:u w:val="single"/>
          </w:rPr>
          <w:t xml:space="preserve">Du et al.</w:t>
        </w:r>
      </w:hyperlink>
      <w:r>
        <w:t>), but correlated hallucinations and shared-data leakage remain. Independence must come from capabilities, information boundaries, different objectives, deterministic tests, and human review.</w:t>
      </w:r>
    </w:p>
    <w:p>
      <w:pPr>
        <w:spacing w:before="80" w:after="0"/>
        <w:jc w:val="center"/>
      </w:pPr>
      <w:r>
        <w:drawing>
          <wp:inline xmlns:a="http://schemas.openxmlformats.org/drawingml/2006/main" xmlns:pic="http://schemas.openxmlformats.org/drawingml/2006/picture">
            <wp:extent cx="5897880" cy="3342132"/>
            <wp:docPr id="1" name="Picture 1" descr="CELL//OS research-to-paper mesh. Research Operatives generate candidates; a research firewall separates them from blind Crucible evaluation; deterministic policy and a veto-holding Risk Officer control paper execution; evidence and telemetry feed learning without exposing private holdouts." title="CELL//OS research-to-paper mesh"/>
            <wp:cNvGraphicFramePr>
              <a:graphicFrameLocks noChangeAspect="1"/>
            </wp:cNvGraphicFramePr>
            <a:graphic>
              <a:graphicData uri="http://schemas.openxmlformats.org/drawingml/2006/picture">
                <pic:pic>
                  <pic:nvPicPr>
                    <pic:cNvPr id="0" name="cell_os_mesh_topology.png"/>
                    <pic:cNvPicPr/>
                  </pic:nvPicPr>
                  <pic:blipFill>
                    <a:blip r:embed="rId80"/>
                    <a:stretch>
                      <a:fillRect/>
                    </a:stretch>
                  </pic:blipFill>
                  <pic:spPr>
                    <a:xfrm>
                      <a:off x="0" y="0"/>
                      <a:ext cx="5897880" cy="3342132"/>
                    </a:xfrm>
                    <a:prstGeom prst="rect"/>
                  </pic:spPr>
                </pic:pic>
              </a:graphicData>
            </a:graphic>
          </wp:inline>
        </w:drawing>
      </w:r>
    </w:p>
    <w:p>
      <w:pPr>
        <w:pStyle w:val="CaptionCompact"/>
        <w:jc w:val="center"/>
      </w:pPr>
      <w:r>
        <w:t>Figure 1. CELL//OS research-to-paper mesh: generative work is separated from blind evaluation, deterministic policy, and independent veto authority.</w:t>
      </w:r>
    </w:p>
    <w:p>
      <w:pPr>
        <w:pStyle w:val="Heading2"/>
      </w:pPr>
      <w:r>
        <w:t>7.4 Monitoring three distinct systems</w:t>
      </w:r>
    </w:p>
    <w:p>
      <w:r>
        <w:rPr>
          <w:b/>
        </w:rPr>
        <w:t>Agent level:</w:t>
      </w:r>
      <w:r>
        <w:t xml:space="preserve"> tool-call success, schema-valid output, citation coverage, unsupported-claim rate, retry depth, cost, latency, context growth, duplicated work, policy denials, privilege use, evaluator disagreement, and reproducibility from trace. Canary prompts detect model/provider drift. A model update cannot silently change a certified workflow.</w:t>
      </w:r>
    </w:p>
    <w:p>
      <w:r>
        <w:rPr>
          <w:b/>
        </w:rPr>
        <w:t>Strategy level:</w:t>
      </w:r>
      <w:r>
        <w:t xml:space="preserve"> feature availability and distribution; score calibration; turnover; modeled-versus-paper fill/slippage error; regime occupancy; opportunity count; rolling effect with uncertainty; CUSUM; drawdown and normalized distance to research boundary; invariant failures; and dependence on a small set of dates. Separate signal decay from data, cost, and execution-model failures.</w:t>
      </w:r>
    </w:p>
    <w:p>
      <w:r>
        <w:rPr>
          <w:b/>
        </w:rPr>
        <w:t>Portfolio level:</w:t>
      </w:r>
      <w:r>
        <w:t xml:space="preserve"> marginal risk contribution, stressed correlations, effective number of independent strategies, common data/model/vendor dependencies, tail co-failure, turnover, aggregate boundary proximity, allocator stability, and concentration by strategy family/regime/session. Systemic alerts dominate local “healthy” scores.</w:t>
      </w:r>
    </w:p>
    <w:p>
      <w:r>
        <w:t>OpenTelemetry semantic conventions were at 1.44.0 when checked on 4 September 2026 (</w:t>
      </w:r>
      <w:hyperlink r:id="rId81">
        <w:r>
          <w:rPr>
            <w:color w:val="2E74B5"/>
            <w:u w:val="single"/>
          </w:rPr>
          <w:t xml:space="preserve">semantic-conventions repository</w:t>
        </w:r>
      </w:hyperlink>
      <w:r>
        <w:t>). Use trace IDs spanning mission, dataset, experiment, model, deployment, and paper intent, but redact secrets and restricted source content. Logs are evidence records; prompts and retrieved passages need access controls and retention policy.</w:t>
      </w:r>
    </w:p>
    <w:p>
      <w:pPr>
        <w:pStyle w:val="Heading2"/>
      </w:pPr>
      <w:r>
        <w:t>7.5 Twelve-week solo build plan</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3120"/>
        <w:gridCol w:w="3120"/>
        <w:gridCol w:w="3120"/>
      </w:tblGrid>
      <w:tr>
        <w:trPr>
          <w:tblHeader w:val="true"/>
          <w:cantSplit w:val="true"/>
        </w:trPr>
        <w:tc>
          <w:tcPr>
            <w:tcW w:type="dxa" w:w="1876"/>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Week</w:t>
            </w:r>
          </w:p>
        </w:tc>
        <w:tc>
          <w:tcPr>
            <w:tcW w:type="dxa" w:w="4030"/>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Deliverable</w:t>
            </w:r>
          </w:p>
        </w:tc>
        <w:tc>
          <w:tcPr>
            <w:tcW w:type="dxa" w:w="3454"/>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Exit evidence</w:t>
            </w:r>
          </w:p>
        </w:tc>
      </w:tr>
      <w:tr>
        <w:trPr>
          <w:cantSplit w:val="true"/>
        </w:trPr>
        <w:tc>
          <w:tcPr>
            <w:tcW w:type="dxa" w:w="1876"/>
            <w:tcMar>
              <w:top w:w="80" w:type="dxa"/>
              <w:start w:w="120" w:type="dxa"/>
              <w:bottom w:w="80" w:type="dxa"/>
              <w:end w:w="120" w:type="dxa"/>
            </w:tcMar>
            <w:vAlign w:val="top"/>
          </w:tcPr>
          <w:p>
            <w:pPr>
              <w:spacing w:before="0" w:after="60" w:line="252" w:lineRule="auto"/>
            </w:pPr>
            <w:r>
              <w:rPr>
                <w:rFonts w:ascii="Calibri" w:hAnsi="Calibri"/>
                <w:color w:val="20262E"/>
                <w:sz w:val="16"/>
              </w:rPr>
              <w:t>1</w:t>
            </w:r>
          </w:p>
        </w:tc>
        <w:tc>
          <w:tcPr>
            <w:tcW w:type="dxa" w:w="4030"/>
            <w:tcMar>
              <w:top w:w="80" w:type="dxa"/>
              <w:start w:w="120" w:type="dxa"/>
              <w:bottom w:w="80" w:type="dxa"/>
              <w:end w:w="120" w:type="dxa"/>
            </w:tcMar>
            <w:vAlign w:val="top"/>
          </w:tcPr>
          <w:p>
            <w:pPr>
              <w:spacing w:before="0" w:after="60" w:line="252" w:lineRule="auto"/>
            </w:pPr>
            <w:r>
              <w:rPr>
                <w:rFonts w:ascii="Calibri" w:hAnsi="Calibri"/>
                <w:color w:val="20262E"/>
                <w:sz w:val="16"/>
              </w:rPr>
              <w:t>Domain types, repository boundaries, threat model, paper-only capability policy</w:t>
            </w:r>
          </w:p>
        </w:tc>
        <w:tc>
          <w:tcPr>
            <w:tcW w:type="dxa" w:w="3454"/>
            <w:tcMar>
              <w:top w:w="80" w:type="dxa"/>
              <w:start w:w="120" w:type="dxa"/>
              <w:bottom w:w="80" w:type="dxa"/>
              <w:end w:w="120" w:type="dxa"/>
            </w:tcMar>
            <w:vAlign w:val="top"/>
          </w:tcPr>
          <w:p>
            <w:pPr>
              <w:spacing w:before="0" w:after="60" w:line="252" w:lineRule="auto"/>
            </w:pPr>
            <w:r>
              <w:rPr>
                <w:rFonts w:ascii="Calibri" w:hAnsi="Calibri"/>
                <w:color w:val="20262E"/>
                <w:sz w:val="16"/>
              </w:rPr>
              <w:t>Architecture decision records; no live credential/order type exists</w:t>
            </w:r>
          </w:p>
        </w:tc>
      </w:tr>
      <w:tr>
        <w:trPr>
          <w:cantSplit w:val="true"/>
        </w:trPr>
        <w:tc>
          <w:tcPr>
            <w:tcW w:type="dxa" w:w="187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2</w:t>
            </w:r>
          </w:p>
        </w:tc>
        <w:tc>
          <w:tcPr>
            <w:tcW w:type="dxa" w:w="403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NQ/MNQ instrument master, session/calendar service, raw Databento/CME-derived replay ingestion</w:t>
            </w:r>
          </w:p>
        </w:tc>
        <w:tc>
          <w:tcPr>
            <w:tcW w:type="dxa" w:w="34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Snapshot manifest, gap/sequence report, unit/tick property tests</w:t>
            </w:r>
          </w:p>
        </w:tc>
      </w:tr>
      <w:tr>
        <w:trPr>
          <w:cantSplit w:val="true"/>
        </w:trPr>
        <w:tc>
          <w:tcPr>
            <w:tcW w:type="dxa" w:w="1876"/>
            <w:tcMar>
              <w:top w:w="80" w:type="dxa"/>
              <w:start w:w="120" w:type="dxa"/>
              <w:bottom w:w="80" w:type="dxa"/>
              <w:end w:w="120" w:type="dxa"/>
            </w:tcMar>
            <w:vAlign w:val="top"/>
          </w:tcPr>
          <w:p>
            <w:pPr>
              <w:spacing w:before="0" w:after="60" w:line="252" w:lineRule="auto"/>
            </w:pPr>
            <w:r>
              <w:rPr>
                <w:rFonts w:ascii="Calibri" w:hAnsi="Calibri"/>
                <w:color w:val="20262E"/>
                <w:sz w:val="16"/>
              </w:rPr>
              <w:t>3</w:t>
            </w:r>
          </w:p>
        </w:tc>
        <w:tc>
          <w:tcPr>
            <w:tcW w:type="dxa" w:w="4030"/>
            <w:tcMar>
              <w:top w:w="80" w:type="dxa"/>
              <w:start w:w="120" w:type="dxa"/>
              <w:bottom w:w="80" w:type="dxa"/>
              <w:end w:w="120" w:type="dxa"/>
            </w:tcMar>
            <w:vAlign w:val="top"/>
          </w:tcPr>
          <w:p>
            <w:pPr>
              <w:spacing w:before="0" w:after="60" w:line="252" w:lineRule="auto"/>
            </w:pPr>
            <w:r>
              <w:rPr>
                <w:rFonts w:ascii="Calibri" w:hAnsi="Calibri"/>
                <w:color w:val="20262E"/>
                <w:sz w:val="16"/>
              </w:rPr>
              <w:t>Iceberg bronze/silver tables, bitemporal catalog, data-quality gates</w:t>
            </w:r>
          </w:p>
        </w:tc>
        <w:tc>
          <w:tcPr>
            <w:tcW w:type="dxa" w:w="3454"/>
            <w:tcMar>
              <w:top w:w="80" w:type="dxa"/>
              <w:start w:w="120" w:type="dxa"/>
              <w:bottom w:w="80" w:type="dxa"/>
              <w:end w:w="120" w:type="dxa"/>
            </w:tcMar>
            <w:vAlign w:val="top"/>
          </w:tcPr>
          <w:p>
            <w:pPr>
              <w:spacing w:before="0" w:after="60" w:line="252" w:lineRule="auto"/>
            </w:pPr>
            <w:r>
              <w:rPr>
                <w:rFonts w:ascii="Calibri" w:hAnsi="Calibri"/>
                <w:color w:val="20262E"/>
                <w:sz w:val="16"/>
              </w:rPr>
              <w:t>Reproduce one snapshot by ID; leak fixtures rejected</w:t>
            </w:r>
          </w:p>
        </w:tc>
      </w:tr>
      <w:tr>
        <w:trPr>
          <w:cantSplit w:val="true"/>
        </w:trPr>
        <w:tc>
          <w:tcPr>
            <w:tcW w:type="dxa" w:w="187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4</w:t>
            </w:r>
          </w:p>
        </w:tc>
        <w:tc>
          <w:tcPr>
            <w:tcW w:type="dxa" w:w="403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Bars/features DSL and batch/stream parity harness</w:t>
            </w:r>
          </w:p>
        </w:tc>
        <w:tc>
          <w:tcPr>
            <w:tcW w:type="dxa" w:w="34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Tick/volume/imbalance bars close causally; Rust/Polars golden match</w:t>
            </w:r>
          </w:p>
        </w:tc>
      </w:tr>
      <w:tr>
        <w:trPr>
          <w:cantSplit w:val="true"/>
        </w:trPr>
        <w:tc>
          <w:tcPr>
            <w:tcW w:type="dxa" w:w="1876"/>
            <w:tcMar>
              <w:top w:w="80" w:type="dxa"/>
              <w:start w:w="120" w:type="dxa"/>
              <w:bottom w:w="80" w:type="dxa"/>
              <w:end w:w="120" w:type="dxa"/>
            </w:tcMar>
            <w:vAlign w:val="top"/>
          </w:tcPr>
          <w:p>
            <w:pPr>
              <w:spacing w:before="0" w:after="60" w:line="252" w:lineRule="auto"/>
            </w:pPr>
            <w:r>
              <w:rPr>
                <w:rFonts w:ascii="Calibri" w:hAnsi="Calibri"/>
                <w:color w:val="20262E"/>
                <w:sz w:val="16"/>
              </w:rPr>
              <w:t>5</w:t>
            </w:r>
          </w:p>
        </w:tc>
        <w:tc>
          <w:tcPr>
            <w:tcW w:type="dxa" w:w="4030"/>
            <w:tcMar>
              <w:top w:w="80" w:type="dxa"/>
              <w:start w:w="120" w:type="dxa"/>
              <w:bottom w:w="80" w:type="dxa"/>
              <w:end w:w="120" w:type="dxa"/>
            </w:tcMar>
            <w:vAlign w:val="top"/>
          </w:tcPr>
          <w:p>
            <w:pPr>
              <w:spacing w:before="0" w:after="60" w:line="252" w:lineRule="auto"/>
            </w:pPr>
            <w:r>
              <w:rPr>
                <w:rFonts w:ascii="Calibri" w:hAnsi="Calibri"/>
                <w:color w:val="20262E"/>
                <w:sz w:val="16"/>
              </w:rPr>
              <w:t>Vectorized bounded screen and experiment registry</w:t>
            </w:r>
          </w:p>
        </w:tc>
        <w:tc>
          <w:tcPr>
            <w:tcW w:type="dxa" w:w="3454"/>
            <w:tcMar>
              <w:top w:w="80" w:type="dxa"/>
              <w:start w:w="120" w:type="dxa"/>
              <w:bottom w:w="80" w:type="dxa"/>
              <w:end w:w="120" w:type="dxa"/>
            </w:tcMar>
            <w:vAlign w:val="top"/>
          </w:tcPr>
          <w:p>
            <w:pPr>
              <w:spacing w:before="0" w:after="60" w:line="252" w:lineRule="auto"/>
            </w:pPr>
            <w:r>
              <w:rPr>
                <w:rFonts w:ascii="Calibri" w:hAnsi="Calibri"/>
                <w:color w:val="20262E"/>
                <w:sz w:val="16"/>
              </w:rPr>
              <w:t>Pre-registration and global trial-budget enforcement</w:t>
            </w:r>
          </w:p>
        </w:tc>
      </w:tr>
      <w:tr>
        <w:trPr>
          <w:cantSplit w:val="true"/>
        </w:trPr>
        <w:tc>
          <w:tcPr>
            <w:tcW w:type="dxa" w:w="187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6</w:t>
            </w:r>
          </w:p>
        </w:tc>
        <w:tc>
          <w:tcPr>
            <w:tcW w:type="dxa" w:w="403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Nautilus event simulator, accounting, fees, roll tests</w:t>
            </w:r>
          </w:p>
        </w:tc>
        <w:tc>
          <w:tcPr>
            <w:tcW w:type="dxa" w:w="34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Independent ledger reconciliation on golden corpus</w:t>
            </w:r>
          </w:p>
        </w:tc>
      </w:tr>
      <w:tr>
        <w:trPr>
          <w:cantSplit w:val="true"/>
        </w:trPr>
        <w:tc>
          <w:tcPr>
            <w:tcW w:type="dxa" w:w="1876"/>
            <w:tcMar>
              <w:top w:w="80" w:type="dxa"/>
              <w:start w:w="120" w:type="dxa"/>
              <w:bottom w:w="80" w:type="dxa"/>
              <w:end w:w="120" w:type="dxa"/>
            </w:tcMar>
            <w:vAlign w:val="top"/>
          </w:tcPr>
          <w:p>
            <w:pPr>
              <w:spacing w:before="0" w:after="60" w:line="252" w:lineRule="auto"/>
            </w:pPr>
            <w:r>
              <w:rPr>
                <w:rFonts w:ascii="Calibri" w:hAnsi="Calibri"/>
                <w:color w:val="20262E"/>
                <w:sz w:val="16"/>
              </w:rPr>
              <w:t>7</w:t>
            </w:r>
          </w:p>
        </w:tc>
        <w:tc>
          <w:tcPr>
            <w:tcW w:type="dxa" w:w="4030"/>
            <w:tcMar>
              <w:top w:w="80" w:type="dxa"/>
              <w:start w:w="120" w:type="dxa"/>
              <w:bottom w:w="80" w:type="dxa"/>
              <w:end w:w="120" w:type="dxa"/>
            </w:tcMar>
            <w:vAlign w:val="top"/>
          </w:tcPr>
          <w:p>
            <w:pPr>
              <w:spacing w:before="0" w:after="60" w:line="252" w:lineRule="auto"/>
            </w:pPr>
            <w:r>
              <w:rPr>
                <w:rFonts w:ascii="Calibri" w:hAnsi="Calibri"/>
                <w:color w:val="20262E"/>
                <w:sz w:val="16"/>
              </w:rPr>
              <w:t>Purged/nested/CPCV evaluation and multiplicity suite</w:t>
            </w:r>
          </w:p>
        </w:tc>
        <w:tc>
          <w:tcPr>
            <w:tcW w:type="dxa" w:w="3454"/>
            <w:tcMar>
              <w:top w:w="80" w:type="dxa"/>
              <w:start w:w="120" w:type="dxa"/>
              <w:bottom w:w="80" w:type="dxa"/>
              <w:end w:w="120" w:type="dxa"/>
            </w:tcMar>
            <w:vAlign w:val="top"/>
          </w:tcPr>
          <w:p>
            <w:pPr>
              <w:spacing w:before="0" w:after="60" w:line="252" w:lineRule="auto"/>
            </w:pPr>
            <w:r>
              <w:rPr>
                <w:rFonts w:ascii="Calibri" w:hAnsi="Calibri"/>
                <w:color w:val="20262E"/>
                <w:sz w:val="16"/>
              </w:rPr>
              <w:t>Synthetic nulls show controlled selection behavior</w:t>
            </w:r>
          </w:p>
        </w:tc>
      </w:tr>
      <w:tr>
        <w:trPr>
          <w:cantSplit w:val="true"/>
        </w:trPr>
        <w:tc>
          <w:tcPr>
            <w:tcW w:type="dxa" w:w="187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8</w:t>
            </w:r>
          </w:p>
        </w:tc>
        <w:tc>
          <w:tcPr>
            <w:tcW w:type="dxa" w:w="403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Crucible firewall, red-team reports, signed bundles</w:t>
            </w:r>
          </w:p>
        </w:tc>
        <w:tc>
          <w:tcPr>
            <w:tcW w:type="dxa" w:w="34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Generator cannot query private split or exact hidden metrics</w:t>
            </w:r>
          </w:p>
        </w:tc>
      </w:tr>
      <w:tr>
        <w:trPr>
          <w:cantSplit w:val="true"/>
        </w:trPr>
        <w:tc>
          <w:tcPr>
            <w:tcW w:type="dxa" w:w="1876"/>
            <w:tcMar>
              <w:top w:w="80" w:type="dxa"/>
              <w:start w:w="120" w:type="dxa"/>
              <w:bottom w:w="80" w:type="dxa"/>
              <w:end w:w="120" w:type="dxa"/>
            </w:tcMar>
            <w:vAlign w:val="top"/>
          </w:tcPr>
          <w:p>
            <w:pPr>
              <w:spacing w:before="0" w:after="60" w:line="252" w:lineRule="auto"/>
            </w:pPr>
            <w:r>
              <w:rPr>
                <w:rFonts w:ascii="Calibri" w:hAnsi="Calibri"/>
                <w:color w:val="20262E"/>
                <w:sz w:val="16"/>
              </w:rPr>
              <w:t>9</w:t>
            </w:r>
          </w:p>
        </w:tc>
        <w:tc>
          <w:tcPr>
            <w:tcW w:type="dxa" w:w="4030"/>
            <w:tcMar>
              <w:top w:w="80" w:type="dxa"/>
              <w:start w:w="120" w:type="dxa"/>
              <w:bottom w:w="80" w:type="dxa"/>
              <w:end w:w="120" w:type="dxa"/>
            </w:tcMar>
            <w:vAlign w:val="top"/>
          </w:tcPr>
          <w:p>
            <w:pPr>
              <w:spacing w:before="0" w:after="60" w:line="252" w:lineRule="auto"/>
            </w:pPr>
            <w:r>
              <w:rPr>
                <w:rFonts w:ascii="Calibri" w:hAnsi="Calibri"/>
                <w:color w:val="20262E"/>
                <w:sz w:val="16"/>
              </w:rPr>
              <w:t>Generic boundary Monte Carlo and normalized allocator</w:t>
            </w:r>
          </w:p>
        </w:tc>
        <w:tc>
          <w:tcPr>
            <w:tcW w:type="dxa" w:w="3454"/>
            <w:tcMar>
              <w:top w:w="80" w:type="dxa"/>
              <w:start w:w="120" w:type="dxa"/>
              <w:bottom w:w="80" w:type="dxa"/>
              <w:end w:w="120" w:type="dxa"/>
            </w:tcMar>
            <w:vAlign w:val="top"/>
          </w:tcPr>
          <w:p>
            <w:pPr>
              <w:spacing w:before="0" w:after="60" w:line="252" w:lineRule="auto"/>
            </w:pPr>
            <w:r>
              <w:rPr>
                <w:rFonts w:ascii="Calibri" w:hAnsi="Calibri"/>
                <w:color w:val="20262E"/>
                <w:sz w:val="16"/>
              </w:rPr>
              <w:t>Scenario engine verified on analytic toy cases; no sizing output</w:t>
            </w:r>
          </w:p>
        </w:tc>
      </w:tr>
      <w:tr>
        <w:trPr>
          <w:cantSplit w:val="true"/>
        </w:trPr>
        <w:tc>
          <w:tcPr>
            <w:tcW w:type="dxa" w:w="187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10</w:t>
            </w:r>
          </w:p>
        </w:tc>
        <w:tc>
          <w:tcPr>
            <w:tcW w:type="dxa" w:w="403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Shadow and paper adapter, recovery journal, hard risk invariants</w:t>
            </w:r>
          </w:p>
        </w:tc>
        <w:tc>
          <w:tcPr>
            <w:tcW w:type="dxa" w:w="34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Fault injection for reorder/drop/duplicate/disconnect passes</w:t>
            </w:r>
          </w:p>
        </w:tc>
      </w:tr>
      <w:tr>
        <w:trPr>
          <w:cantSplit w:val="true"/>
        </w:trPr>
        <w:tc>
          <w:tcPr>
            <w:tcW w:type="dxa" w:w="1876"/>
            <w:tcMar>
              <w:top w:w="80" w:type="dxa"/>
              <w:start w:w="120" w:type="dxa"/>
              <w:bottom w:w="80" w:type="dxa"/>
              <w:end w:w="120" w:type="dxa"/>
            </w:tcMar>
            <w:vAlign w:val="top"/>
          </w:tcPr>
          <w:p>
            <w:pPr>
              <w:spacing w:before="0" w:after="60" w:line="252" w:lineRule="auto"/>
            </w:pPr>
            <w:r>
              <w:rPr>
                <w:rFonts w:ascii="Calibri" w:hAnsi="Calibri"/>
                <w:color w:val="20262E"/>
                <w:sz w:val="16"/>
              </w:rPr>
              <w:t>11</w:t>
            </w:r>
          </w:p>
        </w:tc>
        <w:tc>
          <w:tcPr>
            <w:tcW w:type="dxa" w:w="4030"/>
            <w:tcMar>
              <w:top w:w="80" w:type="dxa"/>
              <w:start w:w="120" w:type="dxa"/>
              <w:bottom w:w="80" w:type="dxa"/>
              <w:end w:w="120" w:type="dxa"/>
            </w:tcMar>
            <w:vAlign w:val="top"/>
          </w:tcPr>
          <w:p>
            <w:pPr>
              <w:spacing w:before="0" w:after="60" w:line="252" w:lineRule="auto"/>
            </w:pPr>
            <w:r>
              <w:rPr>
                <w:rFonts w:ascii="Calibri" w:hAnsi="Calibri"/>
                <w:color w:val="20262E"/>
                <w:sz w:val="16"/>
              </w:rPr>
              <w:t>Monitoring, de-risk ladder, model/data incident workflows</w:t>
            </w:r>
          </w:p>
        </w:tc>
        <w:tc>
          <w:tcPr>
            <w:tcW w:type="dxa" w:w="3454"/>
            <w:tcMar>
              <w:top w:w="80" w:type="dxa"/>
              <w:start w:w="120" w:type="dxa"/>
              <w:bottom w:w="80" w:type="dxa"/>
              <w:end w:w="120" w:type="dxa"/>
            </w:tcMar>
            <w:vAlign w:val="top"/>
          </w:tcPr>
          <w:p>
            <w:pPr>
              <w:spacing w:before="0" w:after="60" w:line="252" w:lineRule="auto"/>
            </w:pPr>
            <w:r>
              <w:rPr>
                <w:rFonts w:ascii="Calibri" w:hAnsi="Calibri"/>
                <w:color w:val="20262E"/>
                <w:sz w:val="16"/>
              </w:rPr>
              <w:t>Alerts fire on seeded drift; full recovery drill</w:t>
            </w:r>
          </w:p>
        </w:tc>
      </w:tr>
      <w:tr>
        <w:trPr>
          <w:cantSplit w:val="true"/>
        </w:trPr>
        <w:tc>
          <w:tcPr>
            <w:tcW w:type="dxa" w:w="187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12</w:t>
            </w:r>
          </w:p>
        </w:tc>
        <w:tc>
          <w:tcPr>
            <w:tcW w:type="dxa" w:w="4030"/>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Locked forward paper run begins; capacity and cost review</w:t>
            </w:r>
          </w:p>
        </w:tc>
        <w:tc>
          <w:tcPr>
            <w:tcW w:type="dxa" w:w="345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Release candidate, SBOM, runbooks, human sign-off; no alpha claim yet</w:t>
            </w:r>
          </w:p>
        </w:tc>
      </w:tr>
    </w:tbl>
    <w:p>
      <w:pPr>
        <w:spacing w:after="40"/>
      </w:pPr>
    </w:p>
    <w:p>
      <w:r>
        <w:t>Twelve weeks can build an auditable research spine, not establish durable performance. The forward paper interval must be long enough to accumulate independent opportunities and relevant regimes; it should not be shortened to meet the calendar.</w:t>
      </w:r>
    </w:p>
    <w:p>
      <w:pPr>
        <w:pStyle w:val="Heading2"/>
      </w:pPr>
      <w:r>
        <w:t>7.6 Horizontal scale and rough capacity</w:t>
      </w:r>
    </w:p>
    <w:p>
      <w:r>
        <w:t xml:space="preserve">Partition market events by </w:t>
      </w:r>
      <w:r>
        <w:rPr>
          <w:rFonts w:ascii="Consolas" w:hAnsi="Consolas"/>
          <w:color w:val="1F4D78"/>
          <w:sz w:val="18"/>
          <w:shd w:fill="EEF2F6"/>
        </w:rPr>
        <w:t>(venue, dataset, raw_symbol, session_date)</w:t>
      </w:r>
      <w:r>
        <w:t xml:space="preserve"> in the lake, not by a mutable continuous symbol. Iceberg metadata supplies snapshots and schema evolution; PyIceberg 0.12.0 was released 1 September 2026. Partition Kafka topics by raw symbol when per-symbol ordering is required; Kafka 4.2 was released 17 February 2026. Use NATS JetStream for lighter command/event workflows only where its retention and consumer semantics match the evidence requirement. Never assume global ordering across partitions.</w:t>
      </w:r>
    </w:p>
    <w:p>
      <w:r>
        <w:t>Ray 2.58.0 (23 Aug 2026) is the default for Python-native nested-CV, Monte Carlo, and replay fan-out; Dask 2026.8.0 (24 Aug 2026) is strong for dataframe/lake transformations. Do not run both for the same orchestration problem initially. Workers are stateless and receive snapshot/bundle IDs; results are content-addressed. Stateful market replay is sharded by independent symbol/session/path, with deterministic single-thread processing inside a shard.</w:t>
      </w:r>
    </w:p>
    <w:p>
      <w:r>
        <w:t>Capacity planning starts from measured bytes/event. For illustration—not a vendor quote—at 80 bytes compressed per event, 100 million events/day is 8 GB/day and roughly 2.9 TB/year before replication; at 250 bytes, it is 25 GB/day and 9.1 TB/year. A 32-vCPU node processing a conservative 1–5 million simple events/s can replay 100 million events in roughly 20–100 seconds before feature/model overhead; calibrate with the real decoder and strategy. Ten thousand Monte Carlo paths of 5,000 returns is only 50 million scalar steps, usually CPU-bound and cheap compared with repeated L2 decoding. GPUs are justified for batched sequence-model training after a linear/tree baseline, not for routine orchestration.</w:t>
      </w:r>
    </w:p>
    <w:p>
      <w:r>
        <w:t xml:space="preserve">FinOps guardrails: per-mission CPU/GPU/token/storage budgets; maximum parallelism and wall clock; spot/preemptible workers only for checkpointable tasks; object-store lifecycle by data class; cached immutable features; early-stop dominated candidates; chargeback by Cell and experiment; and a hard ban on an agent raising its own budget. Track </w:t>
      </w:r>
      <w:r>
        <w:rPr>
          <w:rFonts w:ascii="Consolas" w:hAnsi="Consolas"/>
          <w:color w:val="1F4D78"/>
          <w:sz w:val="18"/>
          <w:shd w:fill="EEF2F6"/>
        </w:rPr>
        <w:t>cost_per_valid_candidate</w:t>
      </w:r>
      <w:r>
        <w:t xml:space="preserve">, </w:t>
      </w:r>
      <w:r>
        <w:rPr>
          <w:rFonts w:ascii="Consolas" w:hAnsi="Consolas"/>
          <w:color w:val="1F4D78"/>
          <w:sz w:val="18"/>
          <w:shd w:fill="EEF2F6"/>
        </w:rPr>
        <w:t>cost_per_outer_prediction</w:t>
      </w:r>
      <w:r>
        <w:t xml:space="preserve">, and </w:t>
      </w:r>
      <w:r>
        <w:rPr>
          <w:rFonts w:ascii="Consolas" w:hAnsi="Consolas"/>
          <w:color w:val="1F4D78"/>
          <w:sz w:val="18"/>
          <w:shd w:fill="EEF2F6"/>
        </w:rPr>
        <w:t>cost_per_reproducible_paper_day</w:t>
      </w:r>
      <w:r>
        <w:t>, not utilization alone.</w:t>
      </w:r>
    </w:p>
    <w:p>
      <w:pPr>
        <w:shd w:fill="E8EEF5"/>
        <w:pBdr>
          <w:left w:val="single" w:sz="18" w:space="6" w:color="2E74B5"/>
        </w:pBdr>
        <w:ind w:left="160" w:right="160"/>
        <w:spacing w:before="90" w:after="90"/>
      </w:pPr>
      <w:r>
        <w:rPr>
          <w:b/>
        </w:rPr>
        <w:t>CELL//OS mapping.</w:t>
      </w:r>
      <w:r>
        <w:t xml:space="preserve"> Cognitive Core uses bounded framework adapters for research reasoning; Temporal in Platform Services provides durable mission workflows; registries hold agents, capabilities, datasets, models, and bundles; Kafka/NATS and OpenTelemetry carry events/evidence; Iceberg/Timescale/Postgres serve immutable facts and operational state; Runtime enforces sandbox, secrets, policy, and budgets; Foundation scales stateless Ray/Dask/Kubernetes workers. Crucible, Risk, and human approval remain independent veto points.</w:t>
      </w:r>
    </w:p>
    <w:p>
      <w:r>
        <w:br w:type="page"/>
      </w:r>
    </w:p>
    <w:p>
      <w:pPr>
        <w:pStyle w:val="Heading1"/>
      </w:pPr>
      <w:r>
        <w:t>8. Gaps, warnings, and features to add</w:t>
      </w:r>
    </w:p>
    <w:p>
      <w:pPr>
        <w:pStyle w:val="Heading2"/>
      </w:pPr>
      <w:r>
        <w:t>8.1 Failure modes most likely to dominate</w:t>
      </w:r>
    </w:p>
    <w:p>
      <w:pPr>
        <w:numPr>
          <w:ilvl w:val="0"/>
          <w:numId w:val="16"/>
        </w:numPr>
        <w:spacing w:after="80" w:line="300" w:lineRule="auto"/>
      </w:pPr>
      <w:r>
        <w:rPr>
          <w:b/>
        </w:rPr>
        <w:t>Evolutionary overfitting.</w:t>
      </w:r>
      <w:r>
        <w:t xml:space="preserve"> Genetic search converts compute into hidden trials. Without a global budget, parent-child lineage, and fresh confirmation, Blackbox optimizes noise. Count invalid, failed, and abandoned candidates.</w:t>
      </w:r>
    </w:p>
    <w:p>
      <w:pPr>
        <w:numPr>
          <w:ilvl w:val="0"/>
          <w:numId w:val="16"/>
        </w:numPr>
        <w:spacing w:after="80" w:line="300" w:lineRule="auto"/>
      </w:pPr>
      <w:r>
        <w:rPr>
          <w:b/>
        </w:rPr>
        <w:t>Point-in-time leakage.</w:t>
      </w:r>
      <w:r>
        <w:t xml:space="preserve"> Revised macro values, final daily volume used for a roll, fully formed imbalance bars, session labels derived after the close, normalization fit globally, and backfilled instrument metadata all create plausible but impossible histories.</w:t>
      </w:r>
    </w:p>
    <w:p>
      <w:pPr>
        <w:numPr>
          <w:ilvl w:val="0"/>
          <w:numId w:val="16"/>
        </w:numPr>
        <w:spacing w:after="80" w:line="300" w:lineRule="auto"/>
      </w:pPr>
      <w:r>
        <w:rPr>
          <w:b/>
        </w:rPr>
        <w:t>Simulator certainty.</w:t>
      </w:r>
      <w:r>
        <w:t xml:space="preserve"> Queue position, latency, hidden liquidity, cancels, and partial fills are uncertain. Report an outcome surface across conservative models; do not tune the fill model until a strategy survives.</w:t>
      </w:r>
    </w:p>
    <w:p>
      <w:pPr>
        <w:numPr>
          <w:ilvl w:val="0"/>
          <w:numId w:val="16"/>
        </w:numPr>
        <w:spacing w:after="80" w:line="300" w:lineRule="auto"/>
      </w:pPr>
      <w:r>
        <w:rPr>
          <w:b/>
        </w:rPr>
        <w:t>LLMs in the control path.</w:t>
      </w:r>
      <w:r>
        <w:t xml:space="preserve"> Natural-language judgment is nondeterministic and prompt-sensitive. LLMs may research, parse news into candidate structured facts, draft code, and explain incidents; they may not own clocks, positions, risk invariants, or simulated order release.</w:t>
      </w:r>
    </w:p>
    <w:p>
      <w:pPr>
        <w:numPr>
          <w:ilvl w:val="0"/>
          <w:numId w:val="16"/>
        </w:numPr>
        <w:spacing w:after="80" w:line="300" w:lineRule="auto"/>
      </w:pPr>
      <w:r>
        <w:rPr>
          <w:b/>
        </w:rPr>
        <w:t>Shared evaluator contamination.</w:t>
      </w:r>
      <w:r>
        <w:t xml:space="preserve"> A generator that receives exact private-holdout feedback will learn the test. Redact, rate-limit, rotate confirmatory windows, and create a new lineage after mutation.</w:t>
      </w:r>
    </w:p>
    <w:p>
      <w:pPr>
        <w:numPr>
          <w:ilvl w:val="0"/>
          <w:numId w:val="16"/>
        </w:numPr>
        <w:spacing w:after="80" w:line="300" w:lineRule="auto"/>
      </w:pPr>
      <w:r>
        <w:rPr>
          <w:b/>
        </w:rPr>
        <w:t>Correlated paper success.</w:t>
      </w:r>
      <w:r>
        <w:t xml:space="preserve"> Many strategies can be transformations of the same exposure. Cluster returns, features, and failure dependencies; stress correlations toward one during shocks.</w:t>
      </w:r>
    </w:p>
    <w:p>
      <w:pPr>
        <w:numPr>
          <w:ilvl w:val="0"/>
          <w:numId w:val="16"/>
        </w:numPr>
        <w:spacing w:after="80" w:line="300" w:lineRule="auto"/>
      </w:pPr>
      <w:r>
        <w:rPr>
          <w:b/>
        </w:rPr>
        <w:t>Rule ambiguity.</w:t>
      </w:r>
      <w:r>
        <w:t xml:space="preserve"> A natural-language boundary interpreted optimistically is an operational defect. Version, double-review, test edges, and fail closed.</w:t>
      </w:r>
    </w:p>
    <w:p>
      <w:pPr>
        <w:numPr>
          <w:ilvl w:val="0"/>
          <w:numId w:val="16"/>
        </w:numPr>
        <w:spacing w:after="80" w:line="300" w:lineRule="auto"/>
      </w:pPr>
      <w:r>
        <w:rPr>
          <w:b/>
        </w:rPr>
        <w:t>State divergence.</w:t>
      </w:r>
      <w:r>
        <w:t xml:space="preserve"> Market-data, strategy, risk, and ledger state can disagree after reconnect. An independent reconciliation process must veto new intents until convergence is proved.</w:t>
      </w:r>
    </w:p>
    <w:p>
      <w:pPr>
        <w:numPr>
          <w:ilvl w:val="0"/>
          <w:numId w:val="16"/>
        </w:numPr>
        <w:spacing w:after="80" w:line="300" w:lineRule="auto"/>
      </w:pPr>
      <w:r>
        <w:rPr>
          <w:b/>
        </w:rPr>
        <w:t>Unpriced operations.</w:t>
      </w:r>
      <w:r>
        <w:t xml:space="preserve"> Research compute, data entitlements, incident load, schema migrations, and model-provider drift can exceed the benefit of an elaborate stack. Favor the smallest falsifiable system.</w:t>
      </w:r>
    </w:p>
    <w:p>
      <w:pPr>
        <w:numPr>
          <w:ilvl w:val="0"/>
          <w:numId w:val="16"/>
        </w:numPr>
        <w:spacing w:after="80" w:line="300" w:lineRule="auto"/>
      </w:pPr>
      <w:r>
        <w:rPr>
          <w:b/>
        </w:rPr>
        <w:t>Premature architecture theater.</w:t>
      </w:r>
      <w:r>
        <w:t xml:space="preserve"> Neo4j, Snowflake, Iceberg, TimescaleDB, Kafka, NATS, Ray, Dask, Kubernetes, and multiple agent frameworks together are not a virtue. Each must own one explicit access pattern; defer the rest.</w:t>
      </w:r>
    </w:p>
    <w:p>
      <w:pPr>
        <w:pStyle w:val="Heading2"/>
      </w:pPr>
      <w:r>
        <w:t>8.2 Features CELL//OS should add first</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3120"/>
        <w:gridCol w:w="3120"/>
        <w:gridCol w:w="3120"/>
      </w:tblGrid>
      <w:tr>
        <w:trPr>
          <w:tblHeader w:val="true"/>
          <w:cantSplit w:val="true"/>
        </w:trPr>
        <w:tc>
          <w:tcPr>
            <w:tcW w:type="dxa" w:w="1881"/>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Priority</w:t>
            </w:r>
          </w:p>
        </w:tc>
        <w:tc>
          <w:tcPr>
            <w:tcW w:type="dxa" w:w="3495"/>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Feature</w:t>
            </w:r>
          </w:p>
        </w:tc>
        <w:tc>
          <w:tcPr>
            <w:tcW w:type="dxa" w:w="3984"/>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Why it matters</w:t>
            </w:r>
          </w:p>
        </w:tc>
      </w:tr>
      <w:tr>
        <w:trPr>
          <w:cantSplit w:val="true"/>
        </w:trPr>
        <w:tc>
          <w:tcPr>
            <w:tcW w:type="dxa" w:w="1881"/>
            <w:tcMar>
              <w:top w:w="80" w:type="dxa"/>
              <w:start w:w="120" w:type="dxa"/>
              <w:bottom w:w="80" w:type="dxa"/>
              <w:end w:w="120" w:type="dxa"/>
            </w:tcMar>
            <w:vAlign w:val="top"/>
          </w:tcPr>
          <w:p>
            <w:pPr>
              <w:spacing w:before="0" w:after="60" w:line="252" w:lineRule="auto"/>
            </w:pPr>
            <w:r>
              <w:rPr>
                <w:rFonts w:ascii="Calibri" w:hAnsi="Calibri"/>
                <w:color w:val="20262E"/>
                <w:sz w:val="16"/>
              </w:rPr>
              <w:t>P0</w:t>
            </w:r>
          </w:p>
        </w:tc>
        <w:tc>
          <w:tcPr>
            <w:tcW w:type="dxa" w:w="3495"/>
            <w:tcMar>
              <w:top w:w="80" w:type="dxa"/>
              <w:start w:w="120" w:type="dxa"/>
              <w:bottom w:w="80" w:type="dxa"/>
              <w:end w:w="120" w:type="dxa"/>
            </w:tcMar>
            <w:vAlign w:val="top"/>
          </w:tcPr>
          <w:p>
            <w:pPr>
              <w:spacing w:before="0" w:after="60" w:line="252" w:lineRule="auto"/>
            </w:pPr>
            <w:r>
              <w:rPr>
                <w:rFonts w:ascii="Calibri" w:hAnsi="Calibri"/>
                <w:color w:val="20262E"/>
                <w:sz w:val="16"/>
              </w:rPr>
              <w:t>Bitemporal data contract and “information horizon” type</w:t>
            </w:r>
          </w:p>
        </w:tc>
        <w:tc>
          <w:tcPr>
            <w:tcW w:type="dxa" w:w="3984"/>
            <w:tcMar>
              <w:top w:w="80" w:type="dxa"/>
              <w:start w:w="120" w:type="dxa"/>
              <w:bottom w:w="80" w:type="dxa"/>
              <w:end w:w="120" w:type="dxa"/>
            </w:tcMar>
            <w:vAlign w:val="top"/>
          </w:tcPr>
          <w:p>
            <w:pPr>
              <w:spacing w:before="0" w:after="60" w:line="252" w:lineRule="auto"/>
            </w:pPr>
            <w:r>
              <w:rPr>
                <w:rFonts w:ascii="Calibri" w:hAnsi="Calibri"/>
                <w:color w:val="20262E"/>
                <w:sz w:val="16"/>
              </w:rPr>
              <w:t>Makes causal availability machine-checkable rather than a convention</w:t>
            </w:r>
          </w:p>
        </w:tc>
      </w:tr>
      <w:tr>
        <w:trPr>
          <w:cantSplit w:val="true"/>
        </w:trPr>
        <w:tc>
          <w:tcPr>
            <w:tcW w:type="dxa" w:w="188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P0</w:t>
            </w:r>
          </w:p>
        </w:tc>
        <w:tc>
          <w:tcPr>
            <w:tcW w:type="dxa" w:w="349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Global experiment/trial ledger</w:t>
            </w:r>
          </w:p>
        </w:tc>
        <w:tc>
          <w:tcPr>
            <w:tcW w:type="dxa" w:w="398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Prices multiple testing across humans, agents, models, and Blackbox descendants</w:t>
            </w:r>
          </w:p>
        </w:tc>
      </w:tr>
      <w:tr>
        <w:trPr>
          <w:cantSplit w:val="true"/>
        </w:trPr>
        <w:tc>
          <w:tcPr>
            <w:tcW w:type="dxa" w:w="1881"/>
            <w:tcMar>
              <w:top w:w="80" w:type="dxa"/>
              <w:start w:w="120" w:type="dxa"/>
              <w:bottom w:w="80" w:type="dxa"/>
              <w:end w:w="120" w:type="dxa"/>
            </w:tcMar>
            <w:vAlign w:val="top"/>
          </w:tcPr>
          <w:p>
            <w:pPr>
              <w:spacing w:before="0" w:after="60" w:line="252" w:lineRule="auto"/>
            </w:pPr>
            <w:r>
              <w:rPr>
                <w:rFonts w:ascii="Calibri" w:hAnsi="Calibri"/>
                <w:color w:val="20262E"/>
                <w:sz w:val="16"/>
              </w:rPr>
              <w:t>P0</w:t>
            </w:r>
          </w:p>
        </w:tc>
        <w:tc>
          <w:tcPr>
            <w:tcW w:type="dxa" w:w="3495"/>
            <w:tcMar>
              <w:top w:w="80" w:type="dxa"/>
              <w:start w:w="120" w:type="dxa"/>
              <w:bottom w:w="80" w:type="dxa"/>
              <w:end w:w="120" w:type="dxa"/>
            </w:tcMar>
            <w:vAlign w:val="top"/>
          </w:tcPr>
          <w:p>
            <w:pPr>
              <w:spacing w:before="0" w:after="60" w:line="252" w:lineRule="auto"/>
            </w:pPr>
            <w:r>
              <w:rPr>
                <w:rFonts w:ascii="Calibri" w:hAnsi="Calibri"/>
                <w:color w:val="20262E"/>
                <w:sz w:val="16"/>
              </w:rPr>
              <w:t>Research firewall with private split capability</w:t>
            </w:r>
          </w:p>
        </w:tc>
        <w:tc>
          <w:tcPr>
            <w:tcW w:type="dxa" w:w="3984"/>
            <w:tcMar>
              <w:top w:w="80" w:type="dxa"/>
              <w:start w:w="120" w:type="dxa"/>
              <w:bottom w:w="80" w:type="dxa"/>
              <w:end w:w="120" w:type="dxa"/>
            </w:tcMar>
            <w:vAlign w:val="top"/>
          </w:tcPr>
          <w:p>
            <w:pPr>
              <w:spacing w:before="0" w:after="60" w:line="252" w:lineRule="auto"/>
            </w:pPr>
            <w:r>
              <w:rPr>
                <w:rFonts w:ascii="Calibri" w:hAnsi="Calibri"/>
                <w:color w:val="20262E"/>
                <w:sz w:val="16"/>
              </w:rPr>
              <w:t>Prevents evaluator feedback from becoming training data</w:t>
            </w:r>
          </w:p>
        </w:tc>
      </w:tr>
      <w:tr>
        <w:trPr>
          <w:cantSplit w:val="true"/>
        </w:trPr>
        <w:tc>
          <w:tcPr>
            <w:tcW w:type="dxa" w:w="188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P0</w:t>
            </w:r>
          </w:p>
        </w:tc>
        <w:tc>
          <w:tcPr>
            <w:tcW w:type="dxa" w:w="349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Deterministic risk microkernel and independent ledger</w:t>
            </w:r>
          </w:p>
        </w:tc>
        <w:tc>
          <w:tcPr>
            <w:tcW w:type="dxa" w:w="398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Keeps probabilistic agents outside state and boundary enforcement</w:t>
            </w:r>
          </w:p>
        </w:tc>
      </w:tr>
      <w:tr>
        <w:trPr>
          <w:cantSplit w:val="true"/>
        </w:trPr>
        <w:tc>
          <w:tcPr>
            <w:tcW w:type="dxa" w:w="1881"/>
            <w:tcMar>
              <w:top w:w="80" w:type="dxa"/>
              <w:start w:w="120" w:type="dxa"/>
              <w:bottom w:w="80" w:type="dxa"/>
              <w:end w:w="120" w:type="dxa"/>
            </w:tcMar>
            <w:vAlign w:val="top"/>
          </w:tcPr>
          <w:p>
            <w:pPr>
              <w:spacing w:before="0" w:after="60" w:line="252" w:lineRule="auto"/>
            </w:pPr>
            <w:r>
              <w:rPr>
                <w:rFonts w:ascii="Calibri" w:hAnsi="Calibri"/>
                <w:color w:val="20262E"/>
                <w:sz w:val="16"/>
              </w:rPr>
              <w:t>P0</w:t>
            </w:r>
          </w:p>
        </w:tc>
        <w:tc>
          <w:tcPr>
            <w:tcW w:type="dxa" w:w="3495"/>
            <w:tcMar>
              <w:top w:w="80" w:type="dxa"/>
              <w:start w:w="120" w:type="dxa"/>
              <w:bottom w:w="80" w:type="dxa"/>
              <w:end w:w="120" w:type="dxa"/>
            </w:tcMar>
            <w:vAlign w:val="top"/>
          </w:tcPr>
          <w:p>
            <w:pPr>
              <w:spacing w:before="0" w:after="60" w:line="252" w:lineRule="auto"/>
            </w:pPr>
            <w:r>
              <w:rPr>
                <w:rFonts w:ascii="Calibri" w:hAnsi="Calibri"/>
                <w:color w:val="20262E"/>
                <w:sz w:val="16"/>
              </w:rPr>
              <w:t>Paper-only credential/type system</w:t>
            </w:r>
          </w:p>
        </w:tc>
        <w:tc>
          <w:tcPr>
            <w:tcW w:type="dxa" w:w="3984"/>
            <w:tcMar>
              <w:top w:w="80" w:type="dxa"/>
              <w:start w:w="120" w:type="dxa"/>
              <w:bottom w:w="80" w:type="dxa"/>
              <w:end w:w="120" w:type="dxa"/>
            </w:tcMar>
            <w:vAlign w:val="top"/>
          </w:tcPr>
          <w:p>
            <w:pPr>
              <w:spacing w:before="0" w:after="60" w:line="252" w:lineRule="auto"/>
            </w:pPr>
            <w:r>
              <w:rPr>
                <w:rFonts w:ascii="Calibri" w:hAnsi="Calibri"/>
                <w:color w:val="20262E"/>
                <w:sz w:val="16"/>
              </w:rPr>
              <w:t>Makes the safety boundary structural, not a prompt promise</w:t>
            </w:r>
          </w:p>
        </w:tc>
      </w:tr>
      <w:tr>
        <w:trPr>
          <w:cantSplit w:val="true"/>
        </w:trPr>
        <w:tc>
          <w:tcPr>
            <w:tcW w:type="dxa" w:w="188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P1</w:t>
            </w:r>
          </w:p>
        </w:tc>
        <w:tc>
          <w:tcPr>
            <w:tcW w:type="dxa" w:w="349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Golden event corpus plus cross-engine differential testing</w:t>
            </w:r>
          </w:p>
        </w:tc>
        <w:tc>
          <w:tcPr>
            <w:tcW w:type="dxa" w:w="398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Detects clock, roll, fee, and accounting regressions</w:t>
            </w:r>
          </w:p>
        </w:tc>
      </w:tr>
      <w:tr>
        <w:trPr>
          <w:cantSplit w:val="true"/>
        </w:trPr>
        <w:tc>
          <w:tcPr>
            <w:tcW w:type="dxa" w:w="1881"/>
            <w:tcMar>
              <w:top w:w="80" w:type="dxa"/>
              <w:start w:w="120" w:type="dxa"/>
              <w:bottom w:w="80" w:type="dxa"/>
              <w:end w:w="120" w:type="dxa"/>
            </w:tcMar>
            <w:vAlign w:val="top"/>
          </w:tcPr>
          <w:p>
            <w:pPr>
              <w:spacing w:before="0" w:after="60" w:line="252" w:lineRule="auto"/>
            </w:pPr>
            <w:r>
              <w:rPr>
                <w:rFonts w:ascii="Calibri" w:hAnsi="Calibri"/>
                <w:color w:val="20262E"/>
                <w:sz w:val="16"/>
              </w:rPr>
              <w:t>P1</w:t>
            </w:r>
          </w:p>
        </w:tc>
        <w:tc>
          <w:tcPr>
            <w:tcW w:type="dxa" w:w="3495"/>
            <w:tcMar>
              <w:top w:w="80" w:type="dxa"/>
              <w:start w:w="120" w:type="dxa"/>
              <w:bottom w:w="80" w:type="dxa"/>
              <w:end w:w="120" w:type="dxa"/>
            </w:tcMar>
            <w:vAlign w:val="top"/>
          </w:tcPr>
          <w:p>
            <w:pPr>
              <w:spacing w:before="0" w:after="60" w:line="252" w:lineRule="auto"/>
            </w:pPr>
            <w:r>
              <w:rPr>
                <w:rFonts w:ascii="Calibri" w:hAnsi="Calibri"/>
                <w:color w:val="20262E"/>
                <w:sz w:val="16"/>
              </w:rPr>
              <w:t>Dependency graph spanning strategy, data, model, vendor, and regime</w:t>
            </w:r>
          </w:p>
        </w:tc>
        <w:tc>
          <w:tcPr>
            <w:tcW w:type="dxa" w:w="3984"/>
            <w:tcMar>
              <w:top w:w="80" w:type="dxa"/>
              <w:start w:w="120" w:type="dxa"/>
              <w:bottom w:w="80" w:type="dxa"/>
              <w:end w:w="120" w:type="dxa"/>
            </w:tcMar>
            <w:vAlign w:val="top"/>
          </w:tcPr>
          <w:p>
            <w:pPr>
              <w:spacing w:before="0" w:after="60" w:line="252" w:lineRule="auto"/>
            </w:pPr>
            <w:r>
              <w:rPr>
                <w:rFonts w:ascii="Calibri" w:hAnsi="Calibri"/>
                <w:color w:val="20262E"/>
                <w:sz w:val="16"/>
              </w:rPr>
              <w:t>Reveals common-mode risk that return correlation misses</w:t>
            </w:r>
          </w:p>
        </w:tc>
      </w:tr>
      <w:tr>
        <w:trPr>
          <w:cantSplit w:val="true"/>
        </w:trPr>
        <w:tc>
          <w:tcPr>
            <w:tcW w:type="dxa" w:w="188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P1</w:t>
            </w:r>
          </w:p>
        </w:tc>
        <w:tc>
          <w:tcPr>
            <w:tcW w:type="dxa" w:w="349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Evidence graph and signed promotion bundle</w:t>
            </w:r>
          </w:p>
        </w:tc>
        <w:tc>
          <w:tcPr>
            <w:tcW w:type="dxa" w:w="398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Gives every decision a reproducible chain from source to paper artifact</w:t>
            </w:r>
          </w:p>
        </w:tc>
      </w:tr>
      <w:tr>
        <w:trPr>
          <w:cantSplit w:val="true"/>
        </w:trPr>
        <w:tc>
          <w:tcPr>
            <w:tcW w:type="dxa" w:w="1881"/>
            <w:tcMar>
              <w:top w:w="80" w:type="dxa"/>
              <w:start w:w="120" w:type="dxa"/>
              <w:bottom w:w="80" w:type="dxa"/>
              <w:end w:w="120" w:type="dxa"/>
            </w:tcMar>
            <w:vAlign w:val="top"/>
          </w:tcPr>
          <w:p>
            <w:pPr>
              <w:spacing w:before="0" w:after="60" w:line="252" w:lineRule="auto"/>
            </w:pPr>
            <w:r>
              <w:rPr>
                <w:rFonts w:ascii="Calibri" w:hAnsi="Calibri"/>
                <w:color w:val="20262E"/>
                <w:sz w:val="16"/>
              </w:rPr>
              <w:t>P1</w:t>
            </w:r>
          </w:p>
        </w:tc>
        <w:tc>
          <w:tcPr>
            <w:tcW w:type="dxa" w:w="3495"/>
            <w:tcMar>
              <w:top w:w="80" w:type="dxa"/>
              <w:start w:w="120" w:type="dxa"/>
              <w:bottom w:w="80" w:type="dxa"/>
              <w:end w:w="120" w:type="dxa"/>
            </w:tcMar>
            <w:vAlign w:val="top"/>
          </w:tcPr>
          <w:p>
            <w:pPr>
              <w:spacing w:before="0" w:after="60" w:line="252" w:lineRule="auto"/>
            </w:pPr>
            <w:r>
              <w:rPr>
                <w:rFonts w:ascii="Calibri" w:hAnsi="Calibri"/>
                <w:color w:val="20262E"/>
                <w:sz w:val="16"/>
              </w:rPr>
              <w:t>Fault-injection laboratory</w:t>
            </w:r>
          </w:p>
        </w:tc>
        <w:tc>
          <w:tcPr>
            <w:tcW w:type="dxa" w:w="3984"/>
            <w:tcMar>
              <w:top w:w="80" w:type="dxa"/>
              <w:start w:w="120" w:type="dxa"/>
              <w:bottom w:w="80" w:type="dxa"/>
              <w:end w:w="120" w:type="dxa"/>
            </w:tcMar>
            <w:vAlign w:val="top"/>
          </w:tcPr>
          <w:p>
            <w:pPr>
              <w:spacing w:before="0" w:after="60" w:line="252" w:lineRule="auto"/>
            </w:pPr>
            <w:r>
              <w:rPr>
                <w:rFonts w:ascii="Calibri" w:hAnsi="Calibri"/>
                <w:color w:val="20262E"/>
                <w:sz w:val="16"/>
              </w:rPr>
              <w:t>Exercises gaps, reorder, duplicates, stale clocks, reconnects, and partial fills</w:t>
            </w:r>
          </w:p>
        </w:tc>
      </w:tr>
      <w:tr>
        <w:trPr>
          <w:cantSplit w:val="true"/>
        </w:trPr>
        <w:tc>
          <w:tcPr>
            <w:tcW w:type="dxa" w:w="188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P2</w:t>
            </w:r>
          </w:p>
        </w:tc>
        <w:tc>
          <w:tcPr>
            <w:tcW w:type="dxa" w:w="349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Tournament/survival dashboard</w:t>
            </w:r>
          </w:p>
        </w:tc>
        <w:tc>
          <w:tcPr>
            <w:tcW w:type="dxa" w:w="398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Useful triage after statistical gates, without collapsing evidence into one leaderboard</w:t>
            </w:r>
          </w:p>
        </w:tc>
      </w:tr>
      <w:tr>
        <w:trPr>
          <w:cantSplit w:val="true"/>
        </w:trPr>
        <w:tc>
          <w:tcPr>
            <w:tcW w:type="dxa" w:w="1881"/>
            <w:tcMar>
              <w:top w:w="80" w:type="dxa"/>
              <w:start w:w="120" w:type="dxa"/>
              <w:bottom w:w="80" w:type="dxa"/>
              <w:end w:w="120" w:type="dxa"/>
            </w:tcMar>
            <w:vAlign w:val="top"/>
          </w:tcPr>
          <w:p>
            <w:pPr>
              <w:spacing w:before="0" w:after="60" w:line="252" w:lineRule="auto"/>
            </w:pPr>
            <w:r>
              <w:rPr>
                <w:rFonts w:ascii="Calibri" w:hAnsi="Calibri"/>
                <w:color w:val="20262E"/>
                <w:sz w:val="16"/>
              </w:rPr>
              <w:t>P2</w:t>
            </w:r>
          </w:p>
        </w:tc>
        <w:tc>
          <w:tcPr>
            <w:tcW w:type="dxa" w:w="3495"/>
            <w:tcMar>
              <w:top w:w="80" w:type="dxa"/>
              <w:start w:w="120" w:type="dxa"/>
              <w:bottom w:w="80" w:type="dxa"/>
              <w:end w:w="120" w:type="dxa"/>
            </w:tcMar>
            <w:vAlign w:val="top"/>
          </w:tcPr>
          <w:p>
            <w:pPr>
              <w:spacing w:before="0" w:after="60" w:line="252" w:lineRule="auto"/>
            </w:pPr>
            <w:r>
              <w:rPr>
                <w:rFonts w:ascii="Calibri" w:hAnsi="Calibri"/>
                <w:color w:val="20262E"/>
                <w:sz w:val="16"/>
              </w:rPr>
              <w:t>Provider/model canaries and prompt regression set</w:t>
            </w:r>
          </w:p>
        </w:tc>
        <w:tc>
          <w:tcPr>
            <w:tcW w:type="dxa" w:w="3984"/>
            <w:tcMar>
              <w:top w:w="80" w:type="dxa"/>
              <w:start w:w="120" w:type="dxa"/>
              <w:bottom w:w="80" w:type="dxa"/>
              <w:end w:w="120" w:type="dxa"/>
            </w:tcMar>
            <w:vAlign w:val="top"/>
          </w:tcPr>
          <w:p>
            <w:pPr>
              <w:spacing w:before="0" w:after="60" w:line="252" w:lineRule="auto"/>
            </w:pPr>
            <w:r>
              <w:rPr>
                <w:rFonts w:ascii="Calibri" w:hAnsi="Calibri"/>
                <w:color w:val="20262E"/>
                <w:sz w:val="16"/>
              </w:rPr>
              <w:t>Detects agent behavior drift before it changes research output</w:t>
            </w:r>
          </w:p>
        </w:tc>
      </w:tr>
      <w:tr>
        <w:trPr>
          <w:cantSplit w:val="true"/>
        </w:trPr>
        <w:tc>
          <w:tcPr>
            <w:tcW w:type="dxa" w:w="1881"/>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P2</w:t>
            </w:r>
          </w:p>
        </w:tc>
        <w:tc>
          <w:tcPr>
            <w:tcW w:type="dxa" w:w="3495"/>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Cost-aware mission scheduler</w:t>
            </w:r>
          </w:p>
        </w:tc>
        <w:tc>
          <w:tcPr>
            <w:tcW w:type="dxa" w:w="3984"/>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Stops agents from spending more on weak ideas than the experiment can justify</w:t>
            </w:r>
          </w:p>
        </w:tc>
      </w:tr>
    </w:tbl>
    <w:p>
      <w:pPr>
        <w:spacing w:after="40"/>
      </w:pPr>
    </w:p>
    <w:p>
      <w:pPr>
        <w:pStyle w:val="Heading2"/>
      </w:pPr>
      <w:r>
        <w:t>8.3 Bottom line</w:t>
      </w:r>
    </w:p>
    <w:p>
      <w:r>
        <w:t>The defensible platform is a causal evidence factory, not a self-improving trading bot. Its durable advantage is the ability to reject attractive errors quickly: every datum has an information horizon; every candidate consumes a recorded trial; every allocator is evaluated out of sample; every simulated fill is treated as a model; every state transition requires signed evidence; and every probabilistic agent is fenced away from deterministic policy and execution. Time-series foundation models, multi-agent debate, genetic alpha mining, and sophisticated allocators are optional experiments. Bitemporal correctness, independent evaluation, accounting reconciliation, hard risk invariants, and incident recovery are established engineering necessities.</w:t>
      </w:r>
    </w:p>
    <w:p>
      <w:pPr>
        <w:shd w:fill="E8EEF5"/>
        <w:pBdr>
          <w:left w:val="single" w:sz="18" w:space="6" w:color="2E74B5"/>
        </w:pBdr>
        <w:ind w:left="160" w:right="160"/>
        <w:spacing w:before="90" w:after="90"/>
      </w:pPr>
      <w:r>
        <w:rPr>
          <w:b/>
        </w:rPr>
        <w:t>CELL//OS mapping.</w:t>
      </w:r>
      <w:r>
        <w:t xml:space="preserve"> Add information-horizon types to Context; trial accounting to Planning/Evaluation; private split capabilities to Coordination; deterministic risk and ledger services to Runtime/Memory; dependency and evidence graphs to Neo4j; fault injection to Crucible; paper-only identities to zero-trust Foundation; and cost ceilings to FinOps. The Mission→Execute→Evidence→Evaluate→Learn→Mutate→Promote loop becomes safe only when “Promote” means a reversible, policy-gated paper state.</w:t>
      </w:r>
    </w:p>
    <w:p>
      <w:r>
        <w:br w:type="page"/>
      </w:r>
    </w:p>
    <w:p>
      <w:pPr>
        <w:pStyle w:val="Heading1"/>
      </w:pPr>
      <w:r>
        <w:t>Appendix A. Recommended reference build</w:t>
      </w:r>
    </w:p>
    <w:p>
      <w:r>
        <w:t>The smallest coherent 12-week build is: Python 3.13 research services; Rust for causal bars, contract arithmetic, journal, and risk invariants; Arrow/Parquet plus Iceberg for immutable analytical data; Postgres for registries and workflow state; TimescaleDB for paper telemetry; Kafka for ordered market/event partitions; Temporal for durable missions; Ray for experiment fan-out; NautilusTrader 1.231.0 as the reference event simulator; hftbacktest 2.4.4 for queue-sensitive challenges; Polars/vectorbt for bounded screens; MLflow-compatible artifact conventions or a content-addressed internal registry; OpenTelemetry traces; and one agent runtime adapter, initially LangGraph or the OpenAI Agents SDK, never both in the critical path. Neo4j is valuable when the evidence/dependency graph becomes difficult to query relationally. Snowflake, NATS, Dask, GPUs, and a second agent framework remain optional until measured load or access patterns justify them.</w:t>
      </w:r>
    </w:p>
    <w:p>
      <w:r>
        <w:br w:type="page"/>
      </w:r>
    </w:p>
    <w:p>
      <w:pPr>
        <w:pStyle w:val="Heading1"/>
      </w:pPr>
      <w:r>
        <w:t>Appendix B. Evidence and source ledger</w:t>
      </w:r>
    </w:p>
    <w:tbl>
      <w:tblPr>
        <w:tblW w:type="auto" w:w="0"/>
        <w:jc w:val="center"/>
        <w:tblLayout w:type="fixed"/>
        <w:tblLook w:firstColumn="1" w:firstRow="1" w:lastColumn="0" w:lastRow="0" w:noHBand="0" w:noVBand="1" w:val="04A0"/>
        <w:tblBorders>
          <w:top w:val="single" w:sz="4" w:color="B9C4CF"/>
          <w:left w:val="single" w:sz="4" w:color="B9C4CF"/>
          <w:bottom w:val="single" w:sz="4" w:color="B9C4CF"/>
          <w:right w:val="single" w:sz="4" w:color="B9C4CF"/>
          <w:insideH w:val="single" w:sz="4" w:color="B9C4CF"/>
          <w:insideV w:val="single" w:sz="4" w:color="B9C4CF"/>
        </w:tblBorders>
      </w:tblPr>
      <w:tblGrid>
        <w:gridCol w:w="3120"/>
        <w:gridCol w:w="3120"/>
        <w:gridCol w:w="3120"/>
      </w:tblGrid>
      <w:tr>
        <w:trPr>
          <w:tblHeader w:val="true"/>
          <w:cantSplit w:val="true"/>
        </w:trPr>
        <w:tc>
          <w:tcPr>
            <w:tcW w:type="dxa" w:w="2343"/>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Claim family</w:t>
            </w:r>
          </w:p>
        </w:tc>
        <w:tc>
          <w:tcPr>
            <w:tcW w:type="dxa" w:w="2831"/>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Primary/authoritative evidence</w:t>
            </w:r>
          </w:p>
        </w:tc>
        <w:tc>
          <w:tcPr>
            <w:tcW w:type="dxa" w:w="4186"/>
            <w:tcMar>
              <w:top w:w="80" w:type="dxa"/>
              <w:start w:w="120" w:type="dxa"/>
              <w:bottom w:w="80" w:type="dxa"/>
              <w:end w:w="120" w:type="dxa"/>
            </w:tcMar>
            <w:vAlign w:val="top"/>
            <w:shd w:fill="E8EEF5"/>
          </w:tcPr>
          <w:p>
            <w:pPr>
              <w:spacing w:before="0" w:after="60" w:line="252" w:lineRule="auto"/>
            </w:pPr>
            <w:r>
              <w:rPr>
                <w:rFonts w:ascii="Calibri" w:hAnsi="Calibri"/>
                <w:b/>
                <w:color w:val="1F4D78"/>
                <w:sz w:val="16"/>
              </w:rPr>
              <w:t>Report use and limits</w:t>
            </w:r>
          </w:p>
        </w:tc>
      </w:tr>
      <w:tr>
        <w:trPr>
          <w:cantSplit w:val="true"/>
        </w:trPr>
        <w:tc>
          <w:tcPr>
            <w:tcW w:type="dxa" w:w="2343"/>
            <w:tcMar>
              <w:top w:w="80" w:type="dxa"/>
              <w:start w:w="120" w:type="dxa"/>
              <w:bottom w:w="80" w:type="dxa"/>
              <w:end w:w="120" w:type="dxa"/>
            </w:tcMar>
            <w:vAlign w:val="top"/>
          </w:tcPr>
          <w:p>
            <w:pPr>
              <w:spacing w:before="0" w:after="60" w:line="252" w:lineRule="auto"/>
            </w:pPr>
            <w:r>
              <w:rPr>
                <w:rFonts w:ascii="Calibri" w:hAnsi="Calibri"/>
                <w:color w:val="20262E"/>
                <w:sz w:val="16"/>
              </w:rPr>
              <w:t>CME event data and sequencing</w:t>
            </w:r>
          </w:p>
        </w:tc>
        <w:tc>
          <w:tcPr>
            <w:tcW w:type="dxa" w:w="2831"/>
            <w:tcMar>
              <w:top w:w="80" w:type="dxa"/>
              <w:start w:w="120" w:type="dxa"/>
              <w:bottom w:w="80" w:type="dxa"/>
              <w:end w:w="120" w:type="dxa"/>
            </w:tcMar>
            <w:vAlign w:val="top"/>
          </w:tcPr>
          <w:p>
            <w:pPr>
              <w:spacing w:before="0" w:after="60" w:line="252" w:lineRule="auto"/>
            </w:pPr>
            <w:hyperlink r:id="rId11">
              <w:r>
                <w:rPr>
                  <w:color w:val="2E74B5"/>
                  <w:u w:val="single"/>
                </w:rPr>
                <w:t xml:space="preserve">CME MDP 3.0 platform</w:t>
              </w:r>
            </w:hyperlink>
            <w:r>
              <w:rPr>
                <w:rFonts w:ascii="Calibri" w:hAnsi="Calibri"/>
                <w:color w:val="20262E"/>
                <w:sz w:val="16"/>
              </w:rPr>
              <w:t xml:space="preserve">; </w:t>
            </w:r>
            <w:hyperlink r:id="rId82">
              <w:r>
                <w:rPr>
                  <w:color w:val="2E74B5"/>
                  <w:u w:val="single"/>
                </w:rPr>
                <w:t xml:space="preserve">event-based messaging</w:t>
              </w:r>
            </w:hyperlink>
          </w:p>
        </w:tc>
        <w:tc>
          <w:tcPr>
            <w:tcW w:type="dxa" w:w="4186"/>
            <w:tcMar>
              <w:top w:w="80" w:type="dxa"/>
              <w:start w:w="120" w:type="dxa"/>
              <w:bottom w:w="80" w:type="dxa"/>
              <w:end w:w="120" w:type="dxa"/>
            </w:tcMar>
            <w:vAlign w:val="top"/>
          </w:tcPr>
          <w:p>
            <w:pPr>
              <w:spacing w:before="0" w:after="60" w:line="252" w:lineRule="auto"/>
            </w:pPr>
            <w:r>
              <w:rPr>
                <w:rFonts w:ascii="Calibri" w:hAnsi="Calibri"/>
                <w:color w:val="20262E"/>
                <w:sz w:val="16"/>
              </w:rPr>
              <w:t>Defines source-message semantics; historical vendor transformations still require validation</w:t>
            </w:r>
          </w:p>
        </w:tc>
      </w:tr>
      <w:tr>
        <w:trPr>
          <w:cantSplit w:val="true"/>
        </w:trPr>
        <w:tc>
          <w:tcPr>
            <w:tcW w:type="dxa" w:w="234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Market-data schemas and symbology</w:t>
            </w:r>
          </w:p>
        </w:tc>
        <w:tc>
          <w:tcPr>
            <w:tcW w:type="dxa" w:w="2831"/>
            <w:tcMar>
              <w:top w:w="80" w:type="dxa"/>
              <w:start w:w="120" w:type="dxa"/>
              <w:bottom w:w="80" w:type="dxa"/>
              <w:end w:w="120" w:type="dxa"/>
            </w:tcMar>
            <w:vAlign w:val="top"/>
            <w:shd w:fill="F8FAFC"/>
          </w:tcPr>
          <w:p>
            <w:pPr>
              <w:spacing w:before="0" w:after="60" w:line="252" w:lineRule="auto"/>
            </w:pPr>
            <w:hyperlink r:id="rId83">
              <w:r>
                <w:rPr>
                  <w:color w:val="2E74B5"/>
                  <w:u w:val="single"/>
                </w:rPr>
                <w:t xml:space="preserve">Databento schemas</w:t>
              </w:r>
            </w:hyperlink>
            <w:r>
              <w:rPr>
                <w:rFonts w:ascii="Calibri" w:hAnsi="Calibri"/>
                <w:color w:val="20262E"/>
                <w:sz w:val="16"/>
              </w:rPr>
              <w:t xml:space="preserve">; </w:t>
            </w:r>
            <w:hyperlink r:id="rId12">
              <w:r>
                <w:rPr>
                  <w:color w:val="2E74B5"/>
                  <w:u w:val="single"/>
                </w:rPr>
                <w:t xml:space="preserve">MBO</w:t>
              </w:r>
            </w:hyperlink>
            <w:r>
              <w:rPr>
                <w:rFonts w:ascii="Calibri" w:hAnsi="Calibri"/>
                <w:color w:val="20262E"/>
                <w:sz w:val="16"/>
              </w:rPr>
              <w:t xml:space="preserve">; </w:t>
            </w:r>
            <w:hyperlink r:id="rId26">
              <w:r>
                <w:rPr>
                  <w:color w:val="2E74B5"/>
                  <w:u w:val="single"/>
                </w:rPr>
                <w:t xml:space="preserve">continuous symbology</w:t>
              </w:r>
            </w:hyperlink>
          </w:p>
        </w:tc>
        <w:tc>
          <w:tcPr>
            <w:tcW w:type="dxa" w:w="418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Supports DBN/schema and parent/continuous mapping discussion; not evidence of fillability</w:t>
            </w:r>
          </w:p>
        </w:tc>
      </w:tr>
      <w:tr>
        <w:trPr>
          <w:cantSplit w:val="true"/>
        </w:trPr>
        <w:tc>
          <w:tcPr>
            <w:tcW w:type="dxa" w:w="2343"/>
            <w:tcMar>
              <w:top w:w="80" w:type="dxa"/>
              <w:start w:w="120" w:type="dxa"/>
              <w:bottom w:w="80" w:type="dxa"/>
              <w:end w:w="120" w:type="dxa"/>
            </w:tcMar>
            <w:vAlign w:val="top"/>
          </w:tcPr>
          <w:p>
            <w:pPr>
              <w:spacing w:before="0" w:after="60" w:line="252" w:lineRule="auto"/>
            </w:pPr>
            <w:r>
              <w:rPr>
                <w:rFonts w:ascii="Calibri" w:hAnsi="Calibri"/>
                <w:color w:val="20262E"/>
                <w:sz w:val="16"/>
              </w:rPr>
              <w:t>Revised macro data</w:t>
            </w:r>
          </w:p>
        </w:tc>
        <w:tc>
          <w:tcPr>
            <w:tcW w:type="dxa" w:w="2831"/>
            <w:tcMar>
              <w:top w:w="80" w:type="dxa"/>
              <w:start w:w="120" w:type="dxa"/>
              <w:bottom w:w="80" w:type="dxa"/>
              <w:end w:w="120" w:type="dxa"/>
            </w:tcMar>
            <w:vAlign w:val="top"/>
          </w:tcPr>
          <w:p>
            <w:pPr>
              <w:spacing w:before="0" w:after="60" w:line="252" w:lineRule="auto"/>
            </w:pPr>
            <w:hyperlink r:id="rId27">
              <w:r>
                <w:rPr>
                  <w:color w:val="2E74B5"/>
                  <w:u w:val="single"/>
                </w:rPr>
                <w:t xml:space="preserve">FRED/ALFRED API</w:t>
              </w:r>
            </w:hyperlink>
            <w:r>
              <w:rPr>
                <w:rFonts w:ascii="Calibri" w:hAnsi="Calibri"/>
                <w:color w:val="20262E"/>
                <w:sz w:val="16"/>
              </w:rPr>
              <w:t xml:space="preserve">; </w:t>
            </w:r>
            <w:hyperlink r:id="rId28">
              <w:r>
                <w:rPr>
                  <w:color w:val="2E74B5"/>
                  <w:u w:val="single"/>
                </w:rPr>
                <w:t xml:space="preserve">BLS schedule</w:t>
              </w:r>
            </w:hyperlink>
            <w:r>
              <w:rPr>
                <w:rFonts w:ascii="Calibri" w:hAnsi="Calibri"/>
                <w:color w:val="20262E"/>
                <w:sz w:val="16"/>
              </w:rPr>
              <w:t xml:space="preserve">; </w:t>
            </w:r>
            <w:hyperlink r:id="rId84">
              <w:r>
                <w:rPr>
                  <w:color w:val="2E74B5"/>
                  <w:u w:val="single"/>
                </w:rPr>
                <w:t xml:space="preserve">BEA schedule</w:t>
              </w:r>
            </w:hyperlink>
            <w:r>
              <w:rPr>
                <w:rFonts w:ascii="Calibri" w:hAnsi="Calibri"/>
                <w:color w:val="20262E"/>
                <w:sz w:val="16"/>
              </w:rPr>
              <w:t xml:space="preserve">; </w:t>
            </w:r>
            <w:hyperlink r:id="rId29">
              <w:r>
                <w:rPr>
                  <w:color w:val="2E74B5"/>
                  <w:u w:val="single"/>
                </w:rPr>
                <w:t xml:space="preserve">FOMC calendars</w:t>
              </w:r>
            </w:hyperlink>
          </w:p>
        </w:tc>
        <w:tc>
          <w:tcPr>
            <w:tcW w:type="dxa" w:w="4186"/>
            <w:tcMar>
              <w:top w:w="80" w:type="dxa"/>
              <w:start w:w="120" w:type="dxa"/>
              <w:bottom w:w="80" w:type="dxa"/>
              <w:end w:w="120" w:type="dxa"/>
            </w:tcMar>
            <w:vAlign w:val="top"/>
          </w:tcPr>
          <w:p>
            <w:pPr>
              <w:spacing w:before="0" w:after="60" w:line="252" w:lineRule="auto"/>
            </w:pPr>
            <w:r>
              <w:rPr>
                <w:rFonts w:ascii="Calibri" w:hAnsi="Calibri"/>
                <w:color w:val="20262E"/>
                <w:sz w:val="16"/>
              </w:rPr>
              <w:t>Supports vintage storage and release-time controls</w:t>
            </w:r>
          </w:p>
        </w:tc>
      </w:tr>
      <w:tr>
        <w:trPr>
          <w:cantSplit w:val="true"/>
        </w:trPr>
        <w:tc>
          <w:tcPr>
            <w:tcW w:type="dxa" w:w="234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COT</w:t>
            </w:r>
          </w:p>
        </w:tc>
        <w:tc>
          <w:tcPr>
            <w:tcW w:type="dxa" w:w="2831"/>
            <w:tcMar>
              <w:top w:w="80" w:type="dxa"/>
              <w:start w:w="120" w:type="dxa"/>
              <w:bottom w:w="80" w:type="dxa"/>
              <w:end w:w="120" w:type="dxa"/>
            </w:tcMar>
            <w:vAlign w:val="top"/>
            <w:shd w:fill="F8FAFC"/>
          </w:tcPr>
          <w:p>
            <w:pPr>
              <w:spacing w:before="0" w:after="60" w:line="252" w:lineRule="auto"/>
            </w:pPr>
            <w:hyperlink r:id="rId30">
              <w:r>
                <w:rPr>
                  <w:color w:val="2E74B5"/>
                  <w:u w:val="single"/>
                </w:rPr>
                <w:t xml:space="preserve">CFTC COT</w:t>
              </w:r>
            </w:hyperlink>
            <w:r>
              <w:rPr>
                <w:rFonts w:ascii="Calibri" w:hAnsi="Calibri"/>
                <w:color w:val="20262E"/>
                <w:sz w:val="16"/>
              </w:rPr>
              <w:t xml:space="preserve">; </w:t>
            </w:r>
            <w:hyperlink r:id="rId31">
              <w:r>
                <w:rPr>
                  <w:color w:val="2E74B5"/>
                  <w:u w:val="single"/>
                </w:rPr>
                <w:t xml:space="preserve">release schedule</w:t>
              </w:r>
            </w:hyperlink>
          </w:p>
        </w:tc>
        <w:tc>
          <w:tcPr>
            <w:tcW w:type="dxa" w:w="418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Weekly positioning with reporting/release lags; not an intraday fact</w:t>
            </w:r>
          </w:p>
        </w:tc>
      </w:tr>
      <w:tr>
        <w:trPr>
          <w:cantSplit w:val="true"/>
        </w:trPr>
        <w:tc>
          <w:tcPr>
            <w:tcW w:type="dxa" w:w="2343"/>
            <w:tcMar>
              <w:top w:w="80" w:type="dxa"/>
              <w:start w:w="120" w:type="dxa"/>
              <w:bottom w:w="80" w:type="dxa"/>
              <w:end w:w="120" w:type="dxa"/>
            </w:tcMar>
            <w:vAlign w:val="top"/>
          </w:tcPr>
          <w:p>
            <w:pPr>
              <w:spacing w:before="0" w:after="60" w:line="252" w:lineRule="auto"/>
            </w:pPr>
            <w:r>
              <w:rPr>
                <w:rFonts w:ascii="Calibri" w:hAnsi="Calibri"/>
                <w:color w:val="20262E"/>
                <w:sz w:val="16"/>
              </w:rPr>
              <w:t>Futures instruments/volatility</w:t>
            </w:r>
          </w:p>
        </w:tc>
        <w:tc>
          <w:tcPr>
            <w:tcW w:type="dxa" w:w="2831"/>
            <w:tcMar>
              <w:top w:w="80" w:type="dxa"/>
              <w:start w:w="120" w:type="dxa"/>
              <w:bottom w:w="80" w:type="dxa"/>
              <w:end w:w="120" w:type="dxa"/>
            </w:tcMar>
            <w:vAlign w:val="top"/>
          </w:tcPr>
          <w:p>
            <w:pPr>
              <w:spacing w:before="0" w:after="60" w:line="252" w:lineRule="auto"/>
            </w:pPr>
            <w:hyperlink r:id="rId24">
              <w:r>
                <w:rPr>
                  <w:color w:val="2E74B5"/>
                  <w:u w:val="single"/>
                </w:rPr>
                <w:t xml:space="preserve">NQ contract specifications</w:t>
              </w:r>
            </w:hyperlink>
            <w:r>
              <w:rPr>
                <w:rFonts w:ascii="Calibri" w:hAnsi="Calibri"/>
                <w:color w:val="20262E"/>
                <w:sz w:val="16"/>
              </w:rPr>
              <w:t xml:space="preserve">; </w:t>
            </w:r>
            <w:hyperlink r:id="rId25">
              <w:r>
                <w:rPr>
                  <w:color w:val="2E74B5"/>
                  <w:u w:val="single"/>
                </w:rPr>
                <w:t xml:space="preserve">MNQ product page</w:t>
              </w:r>
            </w:hyperlink>
            <w:r>
              <w:rPr>
                <w:rFonts w:ascii="Calibri" w:hAnsi="Calibri"/>
                <w:color w:val="20262E"/>
                <w:sz w:val="16"/>
              </w:rPr>
              <w:t xml:space="preserve">; </w:t>
            </w:r>
            <w:hyperlink r:id="rId32">
              <w:r>
                <w:rPr>
                  <w:color w:val="2E74B5"/>
                  <w:u w:val="single"/>
                </w:rPr>
                <w:t xml:space="preserve">CME CVOL</w:t>
              </w:r>
            </w:hyperlink>
          </w:p>
        </w:tc>
        <w:tc>
          <w:tcPr>
            <w:tcW w:type="dxa" w:w="4186"/>
            <w:tcMar>
              <w:top w:w="80" w:type="dxa"/>
              <w:start w:w="120" w:type="dxa"/>
              <w:bottom w:w="80" w:type="dxa"/>
              <w:end w:w="120" w:type="dxa"/>
            </w:tcMar>
            <w:vAlign w:val="top"/>
          </w:tcPr>
          <w:p>
            <w:pPr>
              <w:spacing w:before="0" w:after="60" w:line="252" w:lineRule="auto"/>
            </w:pPr>
            <w:r>
              <w:rPr>
                <w:rFonts w:ascii="Calibri" w:hAnsi="Calibri"/>
                <w:color w:val="20262E"/>
                <w:sz w:val="16"/>
              </w:rPr>
              <w:t>Authoritative product concepts; effective-dated values must still be snapshotted</w:t>
            </w:r>
          </w:p>
        </w:tc>
      </w:tr>
      <w:tr>
        <w:trPr>
          <w:cantSplit w:val="true"/>
        </w:trPr>
        <w:tc>
          <w:tcPr>
            <w:tcW w:type="dxa" w:w="234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Validation and multiple testing</w:t>
            </w:r>
          </w:p>
        </w:tc>
        <w:tc>
          <w:tcPr>
            <w:tcW w:type="dxa" w:w="2831"/>
            <w:tcMar>
              <w:top w:w="80" w:type="dxa"/>
              <w:start w:w="120" w:type="dxa"/>
              <w:bottom w:w="80" w:type="dxa"/>
              <w:end w:w="120" w:type="dxa"/>
            </w:tcMar>
            <w:vAlign w:val="top"/>
            <w:shd w:fill="F8FAFC"/>
          </w:tcPr>
          <w:p>
            <w:pPr>
              <w:spacing w:before="0" w:after="60" w:line="252" w:lineRule="auto"/>
            </w:pPr>
            <w:hyperlink r:id="rId17">
              <w:r>
                <w:rPr>
                  <w:color w:val="2E74B5"/>
                  <w:u w:val="single"/>
                </w:rPr>
                <w:t xml:space="preserve">PBO</w:t>
              </w:r>
            </w:hyperlink>
            <w:r>
              <w:rPr>
                <w:rFonts w:ascii="Calibri" w:hAnsi="Calibri"/>
                <w:color w:val="20262E"/>
                <w:sz w:val="16"/>
              </w:rPr>
              <w:t xml:space="preserve">; </w:t>
            </w:r>
            <w:hyperlink r:id="rId16">
              <w:r>
                <w:rPr>
                  <w:color w:val="2E74B5"/>
                  <w:u w:val="single"/>
                </w:rPr>
                <w:t xml:space="preserve">DSR</w:t>
              </w:r>
            </w:hyperlink>
            <w:r>
              <w:rPr>
                <w:rFonts w:ascii="Calibri" w:hAnsi="Calibri"/>
                <w:color w:val="20262E"/>
                <w:sz w:val="16"/>
              </w:rPr>
              <w:t xml:space="preserve">; </w:t>
            </w:r>
            <w:hyperlink r:id="rId14">
              <w:r>
                <w:rPr>
                  <w:color w:val="2E74B5"/>
                  <w:u w:val="single"/>
                </w:rPr>
                <w:t xml:space="preserve">White’s Reality Check</w:t>
              </w:r>
            </w:hyperlink>
            <w:r>
              <w:rPr>
                <w:rFonts w:ascii="Calibri" w:hAnsi="Calibri"/>
                <w:color w:val="20262E"/>
                <w:sz w:val="16"/>
              </w:rPr>
              <w:t xml:space="preserve">; </w:t>
            </w:r>
            <w:hyperlink r:id="rId15">
              <w:r>
                <w:rPr>
                  <w:color w:val="2E74B5"/>
                  <w:u w:val="single"/>
                </w:rPr>
                <w:t xml:space="preserve">Hansen SPA</w:t>
              </w:r>
            </w:hyperlink>
            <w:r>
              <w:rPr>
                <w:rFonts w:ascii="Calibri" w:hAnsi="Calibri"/>
                <w:color w:val="20262E"/>
                <w:sz w:val="16"/>
              </w:rPr>
              <w:t xml:space="preserve">; </w:t>
            </w:r>
            <w:hyperlink r:id="rId85">
              <w:r>
                <w:rPr>
                  <w:color w:val="2E74B5"/>
                  <w:u w:val="single"/>
                </w:rPr>
                <w:t xml:space="preserve">Sharpe inference</w:t>
              </w:r>
            </w:hyperlink>
          </w:p>
        </w:tc>
        <w:tc>
          <w:tcPr>
            <w:tcW w:type="dxa" w:w="418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Establishes the need for multiplicity and uncertainty controls; thresholds are policy choices, not universal constants</w:t>
            </w:r>
          </w:p>
        </w:tc>
      </w:tr>
      <w:tr>
        <w:trPr>
          <w:cantSplit w:val="true"/>
        </w:trPr>
        <w:tc>
          <w:tcPr>
            <w:tcW w:type="dxa" w:w="2343"/>
            <w:tcMar>
              <w:top w:w="80" w:type="dxa"/>
              <w:start w:w="120" w:type="dxa"/>
              <w:bottom w:w="80" w:type="dxa"/>
              <w:end w:w="120" w:type="dxa"/>
            </w:tcMar>
            <w:vAlign w:val="top"/>
          </w:tcPr>
          <w:p>
            <w:pPr>
              <w:spacing w:before="0" w:after="60" w:line="252" w:lineRule="auto"/>
            </w:pPr>
            <w:r>
              <w:rPr>
                <w:rFonts w:ascii="Calibri" w:hAnsi="Calibri"/>
                <w:color w:val="20262E"/>
                <w:sz w:val="16"/>
              </w:rPr>
              <w:t>Model families</w:t>
            </w:r>
          </w:p>
        </w:tc>
        <w:tc>
          <w:tcPr>
            <w:tcW w:type="dxa" w:w="2831"/>
            <w:tcMar>
              <w:top w:w="80" w:type="dxa"/>
              <w:start w:w="120" w:type="dxa"/>
              <w:bottom w:w="80" w:type="dxa"/>
              <w:end w:w="120" w:type="dxa"/>
            </w:tcMar>
            <w:vAlign w:val="top"/>
          </w:tcPr>
          <w:p>
            <w:pPr>
              <w:spacing w:before="0" w:after="60" w:line="252" w:lineRule="auto"/>
            </w:pPr>
            <w:hyperlink r:id="rId42">
              <w:r>
                <w:rPr>
                  <w:color w:val="2E74B5"/>
                  <w:u w:val="single"/>
                </w:rPr>
                <w:t xml:space="preserve">Hamilton regimes</w:t>
              </w:r>
            </w:hyperlink>
            <w:r>
              <w:rPr>
                <w:rFonts w:ascii="Calibri" w:hAnsi="Calibri"/>
                <w:color w:val="20262E"/>
                <w:sz w:val="16"/>
              </w:rPr>
              <w:t xml:space="preserve">; </w:t>
            </w:r>
            <w:hyperlink r:id="rId43">
              <w:r>
                <w:rPr>
                  <w:color w:val="2E74B5"/>
                  <w:u w:val="single"/>
                </w:rPr>
                <w:t xml:space="preserve">Engle–Granger</w:t>
              </w:r>
            </w:hyperlink>
            <w:r>
              <w:rPr>
                <w:rFonts w:ascii="Calibri" w:hAnsi="Calibri"/>
                <w:color w:val="20262E"/>
                <w:sz w:val="16"/>
              </w:rPr>
              <w:t xml:space="preserve">; </w:t>
            </w:r>
            <w:hyperlink r:id="rId44">
              <w:r>
                <w:rPr>
                  <w:color w:val="2E74B5"/>
                  <w:u w:val="single"/>
                </w:rPr>
                <w:t xml:space="preserve">empirical Hawkes review</w:t>
              </w:r>
            </w:hyperlink>
            <w:r>
              <w:rPr>
                <w:rFonts w:ascii="Calibri" w:hAnsi="Calibri"/>
                <w:color w:val="20262E"/>
                <w:sz w:val="16"/>
              </w:rPr>
              <w:t xml:space="preserve">; </w:t>
            </w:r>
            <w:hyperlink r:id="rId18">
              <w:r>
                <w:rPr>
                  <w:color w:val="2E74B5"/>
                  <w:u w:val="single"/>
                </w:rPr>
                <w:t xml:space="preserve">TFT</w:t>
              </w:r>
            </w:hyperlink>
            <w:r>
              <w:rPr>
                <w:rFonts w:ascii="Calibri" w:hAnsi="Calibri"/>
                <w:color w:val="20262E"/>
                <w:sz w:val="16"/>
              </w:rPr>
              <w:t xml:space="preserve">; </w:t>
            </w:r>
            <w:hyperlink r:id="rId19">
              <w:r>
                <w:rPr>
                  <w:color w:val="2E74B5"/>
                  <w:u w:val="single"/>
                </w:rPr>
                <w:t xml:space="preserve">PatchTST</w:t>
              </w:r>
            </w:hyperlink>
            <w:r>
              <w:rPr>
                <w:rFonts w:ascii="Calibri" w:hAnsi="Calibri"/>
                <w:color w:val="20262E"/>
                <w:sz w:val="16"/>
              </w:rPr>
              <w:t xml:space="preserve">; </w:t>
            </w:r>
            <w:hyperlink r:id="rId20">
              <w:r>
                <w:rPr>
                  <w:color w:val="2E74B5"/>
                  <w:u w:val="single"/>
                </w:rPr>
                <w:t xml:space="preserve">TimesFM</w:t>
              </w:r>
            </w:hyperlink>
            <w:r>
              <w:rPr>
                <w:rFonts w:ascii="Calibri" w:hAnsi="Calibri"/>
                <w:color w:val="20262E"/>
                <w:sz w:val="16"/>
              </w:rPr>
              <w:t xml:space="preserve">; </w:t>
            </w:r>
            <w:hyperlink r:id="rId21">
              <w:r>
                <w:rPr>
                  <w:color w:val="2E74B5"/>
                  <w:u w:val="single"/>
                </w:rPr>
                <w:t xml:space="preserve">Chronos</w:t>
              </w:r>
            </w:hyperlink>
          </w:p>
        </w:tc>
        <w:tc>
          <w:tcPr>
            <w:tcW w:type="dxa" w:w="4186"/>
            <w:tcMar>
              <w:top w:w="80" w:type="dxa"/>
              <w:start w:w="120" w:type="dxa"/>
              <w:bottom w:w="80" w:type="dxa"/>
              <w:end w:w="120" w:type="dxa"/>
            </w:tcMar>
            <w:vAlign w:val="top"/>
          </w:tcPr>
          <w:p>
            <w:pPr>
              <w:spacing w:before="0" w:after="60" w:line="252" w:lineRule="auto"/>
            </w:pPr>
            <w:r>
              <w:rPr>
                <w:rFonts w:ascii="Calibri" w:hAnsi="Calibri"/>
                <w:color w:val="20262E"/>
                <w:sz w:val="16"/>
              </w:rPr>
              <w:t>Supports categorization and benchmark design; forecasting benchmarks are not live-alpha evidence</w:t>
            </w:r>
          </w:p>
        </w:tc>
      </w:tr>
      <w:tr>
        <w:trPr>
          <w:cantSplit w:val="true"/>
        </w:trPr>
        <w:tc>
          <w:tcPr>
            <w:tcW w:type="dxa" w:w="234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Allocation and multi-objective search</w:t>
            </w:r>
          </w:p>
        </w:tc>
        <w:tc>
          <w:tcPr>
            <w:tcW w:type="dxa" w:w="2831"/>
            <w:tcMar>
              <w:top w:w="80" w:type="dxa"/>
              <w:start w:w="120" w:type="dxa"/>
              <w:bottom w:w="80" w:type="dxa"/>
              <w:end w:w="120" w:type="dxa"/>
            </w:tcMar>
            <w:vAlign w:val="top"/>
            <w:shd w:fill="F8FAFC"/>
          </w:tcPr>
          <w:p>
            <w:pPr>
              <w:spacing w:before="0" w:after="60" w:line="252" w:lineRule="auto"/>
            </w:pPr>
            <w:hyperlink r:id="rId51">
              <w:r>
                <w:rPr>
                  <w:color w:val="2E74B5"/>
                  <w:u w:val="single"/>
                </w:rPr>
                <w:t xml:space="preserve">HRP</w:t>
              </w:r>
            </w:hyperlink>
            <w:r>
              <w:rPr>
                <w:rFonts w:ascii="Calibri" w:hAnsi="Calibri"/>
                <w:color w:val="20262E"/>
                <w:sz w:val="16"/>
              </w:rPr>
              <w:t xml:space="preserve">; </w:t>
            </w:r>
            <w:hyperlink r:id="rId56">
              <w:r>
                <w:rPr>
                  <w:color w:val="2E74B5"/>
                  <w:u w:val="single"/>
                </w:rPr>
                <w:t xml:space="preserve">NSGA-II</w:t>
              </w:r>
            </w:hyperlink>
          </w:p>
        </w:tc>
        <w:tc>
          <w:tcPr>
            <w:tcW w:type="dxa" w:w="418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Candidate methods that require nested validation; no sizing prescription is made</w:t>
            </w:r>
          </w:p>
        </w:tc>
      </w:tr>
      <w:tr>
        <w:trPr>
          <w:cantSplit w:val="true"/>
        </w:trPr>
        <w:tc>
          <w:tcPr>
            <w:tcW w:type="dxa" w:w="2343"/>
            <w:tcMar>
              <w:top w:w="80" w:type="dxa"/>
              <w:start w:w="120" w:type="dxa"/>
              <w:bottom w:w="80" w:type="dxa"/>
              <w:end w:w="120" w:type="dxa"/>
            </w:tcMar>
            <w:vAlign w:val="top"/>
          </w:tcPr>
          <w:p>
            <w:pPr>
              <w:spacing w:before="0" w:after="60" w:line="252" w:lineRule="auto"/>
            </w:pPr>
            <w:r>
              <w:rPr>
                <w:rFonts w:ascii="Calibri" w:hAnsi="Calibri"/>
                <w:color w:val="20262E"/>
                <w:sz w:val="16"/>
              </w:rPr>
              <w:t>Drift detection</w:t>
            </w:r>
          </w:p>
        </w:tc>
        <w:tc>
          <w:tcPr>
            <w:tcW w:type="dxa" w:w="2831"/>
            <w:tcMar>
              <w:top w:w="80" w:type="dxa"/>
              <w:start w:w="120" w:type="dxa"/>
              <w:bottom w:w="80" w:type="dxa"/>
              <w:end w:w="120" w:type="dxa"/>
            </w:tcMar>
            <w:vAlign w:val="top"/>
          </w:tcPr>
          <w:p>
            <w:pPr>
              <w:spacing w:before="0" w:after="60" w:line="252" w:lineRule="auto"/>
            </w:pPr>
            <w:hyperlink r:id="rId57">
              <w:r>
                <w:rPr>
                  <w:color w:val="2E74B5"/>
                  <w:u w:val="single"/>
                </w:rPr>
                <w:t xml:space="preserve">Page CUSUM</w:t>
              </w:r>
            </w:hyperlink>
            <w:r>
              <w:rPr>
                <w:rFonts w:ascii="Calibri" w:hAnsi="Calibri"/>
                <w:color w:val="20262E"/>
                <w:sz w:val="16"/>
              </w:rPr>
              <w:t xml:space="preserve">; </w:t>
            </w:r>
            <w:hyperlink r:id="rId58">
              <w:r>
                <w:rPr>
                  <w:color w:val="2E74B5"/>
                  <w:u w:val="single"/>
                </w:rPr>
                <w:t xml:space="preserve">NIST KS reference</w:t>
              </w:r>
            </w:hyperlink>
          </w:p>
        </w:tc>
        <w:tc>
          <w:tcPr>
            <w:tcW w:type="dxa" w:w="4186"/>
            <w:tcMar>
              <w:top w:w="80" w:type="dxa"/>
              <w:start w:w="120" w:type="dxa"/>
              <w:bottom w:w="80" w:type="dxa"/>
              <w:end w:w="120" w:type="dxa"/>
            </w:tcMar>
            <w:vAlign w:val="top"/>
          </w:tcPr>
          <w:p>
            <w:pPr>
              <w:spacing w:before="0" w:after="60" w:line="252" w:lineRule="auto"/>
            </w:pPr>
            <w:r>
              <w:rPr>
                <w:rFonts w:ascii="Calibri" w:hAnsi="Calibri"/>
                <w:color w:val="20262E"/>
                <w:sz w:val="16"/>
              </w:rPr>
              <w:t>Statistical primitives; calibration must reflect dependence and repeated monitoring</w:t>
            </w:r>
          </w:p>
        </w:tc>
      </w:tr>
      <w:tr>
        <w:trPr>
          <w:cantSplit w:val="true"/>
        </w:trPr>
        <w:tc>
          <w:tcPr>
            <w:tcW w:type="dxa" w:w="234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Data/runtime systems</w:t>
            </w:r>
          </w:p>
        </w:tc>
        <w:tc>
          <w:tcPr>
            <w:tcW w:type="dxa" w:w="2831"/>
            <w:tcMar>
              <w:top w:w="80" w:type="dxa"/>
              <w:start w:w="120" w:type="dxa"/>
              <w:bottom w:w="80" w:type="dxa"/>
              <w:end w:w="120" w:type="dxa"/>
            </w:tcMar>
            <w:vAlign w:val="top"/>
            <w:shd w:fill="F8FAFC"/>
          </w:tcPr>
          <w:p>
            <w:pPr>
              <w:spacing w:before="0" w:after="60" w:line="252" w:lineRule="auto"/>
            </w:pPr>
            <w:hyperlink r:id="rId39">
              <w:r>
                <w:rPr>
                  <w:color w:val="2E74B5"/>
                  <w:u w:val="single"/>
                </w:rPr>
                <w:t xml:space="preserve">Apache Iceberg docs</w:t>
              </w:r>
            </w:hyperlink>
            <w:r>
              <w:rPr>
                <w:rFonts w:ascii="Calibri" w:hAnsi="Calibri"/>
                <w:color w:val="20262E"/>
                <w:sz w:val="16"/>
              </w:rPr>
              <w:t xml:space="preserve">; </w:t>
            </w:r>
            <w:hyperlink r:id="rId86">
              <w:r>
                <w:rPr>
                  <w:color w:val="2E74B5"/>
                  <w:u w:val="single"/>
                </w:rPr>
                <w:t xml:space="preserve">Kafka design</w:t>
              </w:r>
            </w:hyperlink>
            <w:r>
              <w:rPr>
                <w:rFonts w:ascii="Calibri" w:hAnsi="Calibri"/>
                <w:color w:val="20262E"/>
                <w:sz w:val="16"/>
              </w:rPr>
              <w:t xml:space="preserve">; </w:t>
            </w:r>
            <w:hyperlink r:id="rId87">
              <w:r>
                <w:rPr>
                  <w:color w:val="2E74B5"/>
                  <w:u w:val="single"/>
                </w:rPr>
                <w:t xml:space="preserve">NATS JetStream</w:t>
              </w:r>
            </w:hyperlink>
            <w:r>
              <w:rPr>
                <w:rFonts w:ascii="Calibri" w:hAnsi="Calibri"/>
                <w:color w:val="20262E"/>
                <w:sz w:val="16"/>
              </w:rPr>
              <w:t xml:space="preserve">; </w:t>
            </w:r>
            <w:hyperlink r:id="rId88">
              <w:r>
                <w:rPr>
                  <w:color w:val="2E74B5"/>
                  <w:u w:val="single"/>
                </w:rPr>
                <w:t xml:space="preserve">Ray docs</w:t>
              </w:r>
            </w:hyperlink>
            <w:r>
              <w:rPr>
                <w:rFonts w:ascii="Calibri" w:hAnsi="Calibri"/>
                <w:color w:val="20262E"/>
                <w:sz w:val="16"/>
              </w:rPr>
              <w:t xml:space="preserve">; </w:t>
            </w:r>
            <w:hyperlink r:id="rId89">
              <w:r>
                <w:rPr>
                  <w:color w:val="2E74B5"/>
                  <w:u w:val="single"/>
                </w:rPr>
                <w:t xml:space="preserve">Dask docs</w:t>
              </w:r>
            </w:hyperlink>
          </w:p>
        </w:tc>
        <w:tc>
          <w:tcPr>
            <w:tcW w:type="dxa" w:w="418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Architecture and semantics; throughput estimates in this report are illustrative, not vendor benchmarks</w:t>
            </w:r>
          </w:p>
        </w:tc>
      </w:tr>
      <w:tr>
        <w:trPr>
          <w:cantSplit w:val="true"/>
        </w:trPr>
        <w:tc>
          <w:tcPr>
            <w:tcW w:type="dxa" w:w="2343"/>
            <w:tcMar>
              <w:top w:w="80" w:type="dxa"/>
              <w:start w:w="120" w:type="dxa"/>
              <w:bottom w:w="80" w:type="dxa"/>
              <w:end w:w="120" w:type="dxa"/>
            </w:tcMar>
            <w:vAlign w:val="top"/>
          </w:tcPr>
          <w:p>
            <w:pPr>
              <w:spacing w:before="0" w:after="60" w:line="252" w:lineRule="auto"/>
            </w:pPr>
            <w:r>
              <w:rPr>
                <w:rFonts w:ascii="Calibri" w:hAnsi="Calibri"/>
                <w:color w:val="20262E"/>
                <w:sz w:val="16"/>
              </w:rPr>
              <w:t>Multi-agent reliability</w:t>
            </w:r>
          </w:p>
        </w:tc>
        <w:tc>
          <w:tcPr>
            <w:tcW w:type="dxa" w:w="2831"/>
            <w:tcMar>
              <w:top w:w="80" w:type="dxa"/>
              <w:start w:w="120" w:type="dxa"/>
              <w:bottom w:w="80" w:type="dxa"/>
              <w:end w:w="120" w:type="dxa"/>
            </w:tcMar>
            <w:vAlign w:val="top"/>
          </w:tcPr>
          <w:p>
            <w:pPr>
              <w:spacing w:before="0" w:after="60" w:line="252" w:lineRule="auto"/>
            </w:pPr>
            <w:hyperlink r:id="rId77">
              <w:r>
                <w:rPr>
                  <w:color w:val="2E74B5"/>
                  <w:u w:val="single"/>
                </w:rPr>
                <w:t xml:space="preserve">Anthropic multi-agent research engineering</w:t>
              </w:r>
            </w:hyperlink>
            <w:r>
              <w:rPr>
                <w:rFonts w:ascii="Calibri" w:hAnsi="Calibri"/>
                <w:color w:val="20262E"/>
                <w:sz w:val="16"/>
              </w:rPr>
              <w:t xml:space="preserve">; </w:t>
            </w:r>
            <w:hyperlink r:id="rId78">
              <w:r>
                <w:rPr>
                  <w:color w:val="2E74B5"/>
                  <w:u w:val="single"/>
                </w:rPr>
                <w:t xml:space="preserve">MAST taxonomy</w:t>
              </w:r>
            </w:hyperlink>
            <w:r>
              <w:rPr>
                <w:rFonts w:ascii="Calibri" w:hAnsi="Calibri"/>
                <w:color w:val="20262E"/>
                <w:sz w:val="16"/>
              </w:rPr>
              <w:t xml:space="preserve">; </w:t>
            </w:r>
            <w:hyperlink r:id="rId79">
              <w:r>
                <w:rPr>
                  <w:color w:val="2E74B5"/>
                  <w:u w:val="single"/>
                </w:rPr>
                <w:t xml:space="preserve">Magentic-One</w:t>
              </w:r>
            </w:hyperlink>
            <w:r>
              <w:rPr>
                <w:rFonts w:ascii="Calibri" w:hAnsi="Calibri"/>
                <w:color w:val="20262E"/>
                <w:sz w:val="16"/>
              </w:rPr>
              <w:t xml:space="preserve">; </w:t>
            </w:r>
            <w:hyperlink r:id="rId59">
              <w:r>
                <w:rPr>
                  <w:color w:val="2E74B5"/>
                  <w:u w:val="single"/>
                </w:rPr>
                <w:t xml:space="preserve">multi-agent debate</w:t>
              </w:r>
            </w:hyperlink>
          </w:p>
        </w:tc>
        <w:tc>
          <w:tcPr>
            <w:tcW w:type="dxa" w:w="4186"/>
            <w:tcMar>
              <w:top w:w="80" w:type="dxa"/>
              <w:start w:w="120" w:type="dxa"/>
              <w:bottom w:w="80" w:type="dxa"/>
              <w:end w:w="120" w:type="dxa"/>
            </w:tcMar>
            <w:vAlign w:val="top"/>
          </w:tcPr>
          <w:p>
            <w:pPr>
              <w:spacing w:before="0" w:after="60" w:line="252" w:lineRule="auto"/>
            </w:pPr>
            <w:r>
              <w:rPr>
                <w:rFonts w:ascii="Calibri" w:hAnsi="Calibri"/>
                <w:color w:val="20262E"/>
                <w:sz w:val="16"/>
              </w:rPr>
              <w:t>Evidence for research organization and known failures; no evidence of trading performance</w:t>
            </w:r>
          </w:p>
        </w:tc>
      </w:tr>
      <w:tr>
        <w:trPr>
          <w:cantSplit w:val="true"/>
        </w:trPr>
        <w:tc>
          <w:tcPr>
            <w:tcW w:type="dxa" w:w="2343"/>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Regulatory statements</w:t>
            </w:r>
          </w:p>
        </w:tc>
        <w:tc>
          <w:tcPr>
            <w:tcW w:type="dxa" w:w="2831"/>
            <w:tcMar>
              <w:top w:w="80" w:type="dxa"/>
              <w:start w:w="120" w:type="dxa"/>
              <w:bottom w:w="80" w:type="dxa"/>
              <w:end w:w="120" w:type="dxa"/>
            </w:tcMar>
            <w:vAlign w:val="top"/>
            <w:shd w:fill="F8FAFC"/>
          </w:tcPr>
          <w:p>
            <w:pPr>
              <w:spacing w:before="0" w:after="60" w:line="252" w:lineRule="auto"/>
            </w:pPr>
            <w:hyperlink r:id="rId68">
              <w:r>
                <w:rPr>
                  <w:color w:val="2E74B5"/>
                  <w:u w:val="single"/>
                </w:rPr>
                <w:t xml:space="preserve">17 CFR 4.41</w:t>
              </w:r>
            </w:hyperlink>
            <w:r>
              <w:rPr>
                <w:rFonts w:ascii="Calibri" w:hAnsi="Calibri"/>
                <w:color w:val="20262E"/>
                <w:sz w:val="16"/>
              </w:rPr>
              <w:t xml:space="preserve">; </w:t>
            </w:r>
            <w:hyperlink r:id="rId69">
              <w:r>
                <w:rPr>
                  <w:color w:val="2E74B5"/>
                  <w:u w:val="single"/>
                </w:rPr>
                <w:t xml:space="preserve">NFA 2-29</w:t>
              </w:r>
            </w:hyperlink>
            <w:r>
              <w:rPr>
                <w:rFonts w:ascii="Calibri" w:hAnsi="Calibri"/>
                <w:color w:val="20262E"/>
                <w:sz w:val="16"/>
              </w:rPr>
              <w:t xml:space="preserve">; </w:t>
            </w:r>
            <w:hyperlink r:id="rId70">
              <w:r>
                <w:rPr>
                  <w:color w:val="2E74B5"/>
                  <w:u w:val="single"/>
                </w:rPr>
                <w:t xml:space="preserve">NFA Notice 9025</w:t>
              </w:r>
            </w:hyperlink>
            <w:r>
              <w:rPr>
                <w:rFonts w:ascii="Calibri" w:hAnsi="Calibri"/>
                <w:color w:val="20262E"/>
                <w:sz w:val="16"/>
              </w:rPr>
              <w:t xml:space="preserve">; </w:t>
            </w:r>
            <w:hyperlink r:id="rId66">
              <w:r>
                <w:rPr>
                  <w:color w:val="2E74B5"/>
                  <w:u w:val="single"/>
                </w:rPr>
                <w:t xml:space="preserve">NFA registration</w:t>
              </w:r>
            </w:hyperlink>
          </w:p>
        </w:tc>
        <w:tc>
          <w:tcPr>
            <w:tcW w:type="dxa" w:w="4186"/>
            <w:tcMar>
              <w:top w:w="80" w:type="dxa"/>
              <w:start w:w="120" w:type="dxa"/>
              <w:bottom w:w="80" w:type="dxa"/>
              <w:end w:w="120" w:type="dxa"/>
            </w:tcMar>
            <w:vAlign w:val="top"/>
            <w:shd w:fill="F8FAFC"/>
          </w:tcPr>
          <w:p>
            <w:pPr>
              <w:spacing w:before="0" w:after="60" w:line="252" w:lineRule="auto"/>
            </w:pPr>
            <w:r>
              <w:rPr>
                <w:rFonts w:ascii="Calibri" w:hAnsi="Calibri"/>
                <w:color w:val="20262E"/>
                <w:sz w:val="16"/>
              </w:rPr>
              <w:t>Supports narrow statements on hypothetical performance and membership checks; not legal advice or firm classification</w:t>
            </w:r>
          </w:p>
        </w:tc>
      </w:tr>
    </w:tbl>
    <w:p>
      <w:pPr>
        <w:spacing w:after="40"/>
      </w:pPr>
    </w:p>
    <w:p>
      <w:r>
        <w:br w:type="page"/>
      </w:r>
    </w:p>
    <w:p>
      <w:pPr>
        <w:pStyle w:val="Heading1"/>
      </w:pPr>
      <w:r>
        <w:t>Appendix C. Verification status and unresolved gaps</w:t>
      </w:r>
    </w:p>
    <w:p>
      <w:r>
        <w:t xml:space="preserve">The source window closed on </w:t>
      </w:r>
      <w:r>
        <w:rPr>
          <w:b/>
        </w:rPr>
        <w:t>4 September 2026 UTC</w:t>
      </w:r>
      <w:r>
        <w:t>. Public package versions were checked on that date; deployment must pin hashes and re-verify transitive dependencies. No stable public version was verified for QuantConnect LEAN, the Anthropic agent SDK, or the private Tradovate/Rithmic/ProjectX/CQG/IBKR interfaces. No reliable, apples-to-apples public latency or outage dataset was found for those interfaces or for TradersPost, PickMyTrade, and Tradesyncer. No current firm-to-platform matrix was asserted. Claims of “live performance” in academic model papers were generally absent or not comparable after costs; the report therefore treats foundation models, RL, and multi-agent research as hypotheses rather than demonstrated futures alpha. Any later real-world, age-eligible implementation needs fresh exchange, vendor, regulatory, and legal review.</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color w:val="66727F"/>
        <w:sz w:val="16"/>
      </w:rPr>
      <w:t>RESEARCH · REPLAY · PAPER ONLY  |  4 SEP 2026</w:t>
    </w:r>
    <w:r>
      <w:tab/>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5" w:space="5" w:color="D4DCE4"/>
      </w:pBdr>
    </w:pPr>
    <w:r>
      <w:rPr>
        <w:rFonts w:ascii="Calibri" w:hAnsi="Calibri"/>
        <w:b/>
        <w:color w:val="66727F"/>
        <w:sz w:val="16"/>
      </w:rPr>
      <w:t>CELL//OS  ·  FUTURES QUANT DOMAIN PANE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right"/>
      <w:pPr>
        <w:tabs>
          <w:tab w:val="num" w:pos="540"/>
        </w:tabs>
        <w:ind w:left="540" w:hanging="270"/>
      </w:p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Arial" w:hAnsi="Arial"/>
      </w:rPr>
    </w:lvl>
  </w:abstractNum>
  <w:num w:numId="11">
    <w:abstractNumId w:val="10"/>
  </w:num>
  <w:abstractNum w:abstractNumId="11">
    <w:multiLevelType w:val="singleLevel"/>
    <w:lvl w:ilvl="0">
      <w:start w:val="1"/>
      <w:numFmt w:val="decimal"/>
      <w:lvlText w:val="%1."/>
      <w:suff w:val="tab"/>
      <w:lvlJc w:val="right"/>
      <w:pPr>
        <w:tabs>
          <w:tab w:val="num" w:pos="540"/>
        </w:tabs>
        <w:ind w:left="540" w:hanging="270"/>
      </w:pPr>
    </w:lvl>
  </w:abstractNum>
  <w:num w:numId="12">
    <w:abstractNumId w:val="11"/>
  </w:num>
  <w:abstractNum w:abstractNumId="12">
    <w:multiLevelType w:val="singleLevel"/>
    <w:lvl w:ilvl="0">
      <w:start w:val="1"/>
      <w:numFmt w:val="decimal"/>
      <w:lvlText w:val="%1."/>
      <w:suff w:val="tab"/>
      <w:lvlJc w:val="right"/>
      <w:pPr>
        <w:tabs>
          <w:tab w:val="num" w:pos="540"/>
        </w:tabs>
        <w:ind w:left="540" w:hanging="270"/>
      </w:p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Arial" w:hAnsi="Arial"/>
      </w:rPr>
    </w:lvl>
  </w:abstractNum>
  <w:num w:numId="14">
    <w:abstractNumId w:val="13"/>
  </w:num>
  <w:abstractNum w:abstractNumId="14">
    <w:multiLevelType w:val="singleLevel"/>
    <w:lvl w:ilvl="0">
      <w:start w:val="1"/>
      <w:numFmt w:val="decimal"/>
      <w:lvlText w:val="%1."/>
      <w:suff w:val="tab"/>
      <w:lvlJc w:val="right"/>
      <w:pPr>
        <w:tabs>
          <w:tab w:val="num" w:pos="540"/>
        </w:tabs>
        <w:ind w:left="540" w:hanging="270"/>
      </w:pPr>
    </w:lvl>
  </w:abstractNum>
  <w:num w:numId="15">
    <w:abstractNumId w:val="14"/>
  </w:num>
  <w:abstractNum w:abstractNumId="15">
    <w:multiLevelType w:val="singleLevel"/>
    <w:lvl w:ilvl="0">
      <w:start w:val="1"/>
      <w:numFmt w:val="decimal"/>
      <w:lvlText w:val="%1."/>
      <w:suff w:val="tab"/>
      <w:lvlJc w:val="right"/>
      <w:pPr>
        <w:tabs>
          <w:tab w:val="num" w:pos="540"/>
        </w:tabs>
        <w:ind w:left="540" w:hanging="270"/>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64" w:lineRule="auto"/>
    </w:pPr>
    <w:rPr>
      <w:rFonts w:ascii="Calibri" w:hAnsi="Calibri"/>
      <w:color w:val="66727F"/>
      <w:sz w:val="18"/>
    </w:rPr>
  </w:style>
  <w:style w:type="paragraph" w:customStyle="1" w:styleId="CaptionCompact">
    <w:name w:val="Caption Compact"/>
    <w:pPr>
      <w:keepNext w:val="0"/>
      <w:spacing w:before="80" w:after="160"/>
    </w:pPr>
    <w:rPr>
      <w:rFonts w:ascii="Calibri" w:hAnsi="Calibri"/>
      <w:i/>
      <w:color w:val="6672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megroup.com/market-data/distributor/market-data-platform.html" TargetMode="External"/><Relationship Id="rId12" Type="http://schemas.openxmlformats.org/officeDocument/2006/relationships/hyperlink" Target="https://databento.com/docs/schemas-and-data-formats/mbo" TargetMode="External"/><Relationship Id="rId13" Type="http://schemas.openxmlformats.org/officeDocument/2006/relationships/hyperlink" Target="https://databento.com/docs/schemas-and-data-formats/mbp-10" TargetMode="External"/><Relationship Id="rId14" Type="http://schemas.openxmlformats.org/officeDocument/2006/relationships/hyperlink" Target="https://www.jstor.org/stable/2999444" TargetMode="External"/><Relationship Id="rId15" Type="http://schemas.openxmlformats.org/officeDocument/2006/relationships/hyperlink" Target="https://www.jstor.org/stable/27638834" TargetMode="External"/><Relationship Id="rId16" Type="http://schemas.openxmlformats.org/officeDocument/2006/relationships/hyperlink" Target="https://papers.ssrn.com/sol3/papers.cfm?abstract_id=2460551" TargetMode="External"/><Relationship Id="rId17" Type="http://schemas.openxmlformats.org/officeDocument/2006/relationships/hyperlink" Target="https://papers.ssrn.com/sol3/papers.cfm?abstract_id=2326253" TargetMode="External"/><Relationship Id="rId18" Type="http://schemas.openxmlformats.org/officeDocument/2006/relationships/hyperlink" Target="https://research.google/pubs/temporal-fusion-transformers-for-interpretable-multi-horizon-time-series-forecasting/" TargetMode="External"/><Relationship Id="rId19" Type="http://schemas.openxmlformats.org/officeDocument/2006/relationships/hyperlink" Target="https://arxiv.org/abs/2211.14730" TargetMode="External"/><Relationship Id="rId20" Type="http://schemas.openxmlformats.org/officeDocument/2006/relationships/hyperlink" Target="https://arxiv.org/abs/2310.10688" TargetMode="External"/><Relationship Id="rId21" Type="http://schemas.openxmlformats.org/officeDocument/2006/relationships/hyperlink" Target="https://arxiv.org/abs/2403.07815" TargetMode="External"/><Relationship Id="rId22" Type="http://schemas.openxmlformats.org/officeDocument/2006/relationships/hyperlink" Target="https://arxiv.org/abs/2511.18578" TargetMode="External"/><Relationship Id="rId23" Type="http://schemas.openxmlformats.org/officeDocument/2006/relationships/hyperlink" Target="https://cs.nyu.edu/shasha/spytime/spytime.html" TargetMode="External"/><Relationship Id="rId24" Type="http://schemas.openxmlformats.org/officeDocument/2006/relationships/hyperlink" Target="https://www.cmegroup.com/markets/equities/nasdaq/e-mini-nasdaq-100.contractSpecs.html" TargetMode="External"/><Relationship Id="rId25" Type="http://schemas.openxmlformats.org/officeDocument/2006/relationships/hyperlink" Target="https://www.cmegroup.com/markets/equities/nasdaq/micro-e-mini-nasdaq-100.html" TargetMode="External"/><Relationship Id="rId26" Type="http://schemas.openxmlformats.org/officeDocument/2006/relationships/hyperlink" Target="https://databento.com/docs/examples/symbology/continuous" TargetMode="External"/><Relationship Id="rId27" Type="http://schemas.openxmlformats.org/officeDocument/2006/relationships/hyperlink" Target="https://fred.stlouisfed.org/docs/api/fred/" TargetMode="External"/><Relationship Id="rId28" Type="http://schemas.openxmlformats.org/officeDocument/2006/relationships/hyperlink" Target="https://www.bls.gov/schedule/" TargetMode="External"/><Relationship Id="rId29" Type="http://schemas.openxmlformats.org/officeDocument/2006/relationships/hyperlink" Target="https://www.federalreserve.gov/monetarypolicy/fomccalendars.htm" TargetMode="External"/><Relationship Id="rId30" Type="http://schemas.openxmlformats.org/officeDocument/2006/relationships/hyperlink" Target="https://www.cftc.gov/MarketReports/CommitmentsofTraders/index.htm" TargetMode="External"/><Relationship Id="rId31" Type="http://schemas.openxmlformats.org/officeDocument/2006/relationships/hyperlink" Target="https://www.cftc.gov/MarketReports/CommitmentsofTraders/ReleaseSchedule/index.htm" TargetMode="External"/><Relationship Id="rId32" Type="http://schemas.openxmlformats.org/officeDocument/2006/relationships/hyperlink" Target="https://www.cmegroup.com/market-data/cme-group-benchmark-administration/cme-group-volatility-indexes.html" TargetMode="External"/><Relationship Id="rId33" Type="http://schemas.openxmlformats.org/officeDocument/2006/relationships/hyperlink" Target="https://kafka.apache.org/41/design/design/" TargetMode="External"/><Relationship Id="rId34" Type="http://schemas.openxmlformats.org/officeDocument/2006/relationships/hyperlink" Target="https://docs.nats.io/concepts/jetstream" TargetMode="External"/><Relationship Id="rId35" Type="http://schemas.openxmlformats.org/officeDocument/2006/relationships/hyperlink" Target="https://opentelemetry.io/docs/specs/semconv/" TargetMode="External"/><Relationship Id="rId36" Type="http://schemas.openxmlformats.org/officeDocument/2006/relationships/hyperlink" Target="https://opentelemetry.io/blog/2026/genai-observability/" TargetMode="External"/><Relationship Id="rId37" Type="http://schemas.openxmlformats.org/officeDocument/2006/relationships/hyperlink" Target="https://iceberg.apache.org/docs/latest/spark-queries/" TargetMode="External"/><Relationship Id="rId38" Type="http://schemas.openxmlformats.org/officeDocument/2006/relationships/hyperlink" Target="https://iceberg.apache.org/docs/latest/reliability/" TargetMode="External"/><Relationship Id="rId39" Type="http://schemas.openxmlformats.org/officeDocument/2006/relationships/hyperlink" Target="https://iceberg.apache.org/docs/latest/" TargetMode="External"/><Relationship Id="rId40" Type="http://schemas.openxmlformats.org/officeDocument/2006/relationships/hyperlink" Target="https://docs.timescale.com/use-timescale/latest/hypertables/" TargetMode="External"/><Relationship Id="rId41" Type="http://schemas.openxmlformats.org/officeDocument/2006/relationships/hyperlink" Target="https://docs.timescale.com/use-timescale/latest/continuous-aggregates/" TargetMode="External"/><Relationship Id="rId42" Type="http://schemas.openxmlformats.org/officeDocument/2006/relationships/hyperlink" Target="https://www.jstor.org/stable/1912559" TargetMode="External"/><Relationship Id="rId43" Type="http://schemas.openxmlformats.org/officeDocument/2006/relationships/hyperlink" Target="https://www.jstor.org/stable/1913236" TargetMode="External"/><Relationship Id="rId44" Type="http://schemas.openxmlformats.org/officeDocument/2006/relationships/hyperlink" Target="https://pmc.ncbi.nlm.nih.gov/articles/PMC8871091/" TargetMode="External"/><Relationship Id="rId45" Type="http://schemas.openxmlformats.org/officeDocument/2006/relationships/hyperlink" Target="https://mlfinpy.readthedocs.io/en/latest/Labelling.html" TargetMode="External"/><Relationship Id="rId46" Type="http://schemas.openxmlformats.org/officeDocument/2006/relationships/hyperlink" Target="https://papers.ssrn.com/sol3/papers.cfm?abstract_id=5770562" TargetMode="External"/><Relationship Id="rId47" Type="http://schemas.openxmlformats.org/officeDocument/2006/relationships/hyperlink" Target="https://www.mdpi.com/2306-5729/6/11/119" TargetMode="External"/><Relationship Id="rId48" Type="http://schemas.openxmlformats.org/officeDocument/2006/relationships/hyperlink" Target="https://www.sciencedirect.com/science/article/abs/pii/S0957417415007447" TargetMode="External"/><Relationship Id="rId49" Type="http://schemas.openxmlformats.org/officeDocument/2006/relationships/hyperlink" Target="https://arxiv.org/abs/2603.01820" TargetMode="External"/><Relationship Id="rId50" Type="http://schemas.openxmlformats.org/officeDocument/2006/relationships/hyperlink" Target="https://ojs.aaai.org/index.php/AAAI/article/view/26317" TargetMode="External"/><Relationship Id="rId51" Type="http://schemas.openxmlformats.org/officeDocument/2006/relationships/hyperlink" Target="https://papers.ssrn.com/sol3/papers.cfm?abstract_id=2708678" TargetMode="External"/><Relationship Id="rId52" Type="http://schemas.openxmlformats.org/officeDocument/2006/relationships/hyperlink" Target="https://www.sciencedirect.com/science/article/pii/S0304405X11002613" TargetMode="External"/><Relationship Id="rId53" Type="http://schemas.openxmlformats.org/officeDocument/2006/relationships/hyperlink" Target="https://papers.ssrn.com/sol3/papers.cfm?abstract_id=3517595" TargetMode="External"/><Relationship Id="rId54" Type="http://schemas.openxmlformats.org/officeDocument/2006/relationships/hyperlink" Target="https://users.ssc.wisc.edu/~behansen/718/White2000.pdf" TargetMode="External"/><Relationship Id="rId55" Type="http://schemas.openxmlformats.org/officeDocument/2006/relationships/hyperlink" Target="https://arxiv.org/html/2603.20319v1" TargetMode="External"/><Relationship Id="rId56" Type="http://schemas.openxmlformats.org/officeDocument/2006/relationships/hyperlink" Target="https://ieeexplore.ieee.org/document/996017" TargetMode="External"/><Relationship Id="rId57" Type="http://schemas.openxmlformats.org/officeDocument/2006/relationships/hyperlink" Target="https://academic.oup.com/biomet/article-abstract/41/1-2/100/456627" TargetMode="External"/><Relationship Id="rId58" Type="http://schemas.openxmlformats.org/officeDocument/2006/relationships/hyperlink" Target="https://www.itl.nist.gov/div898/software/dataplot/refman1/auxillar/ks2samp.htm" TargetMode="External"/><Relationship Id="rId59" Type="http://schemas.openxmlformats.org/officeDocument/2006/relationships/hyperlink" Target="https://arxiv.org/abs/2305.14325" TargetMode="External"/><Relationship Id="rId60" Type="http://schemas.openxmlformats.org/officeDocument/2006/relationships/hyperlink" Target="https://pypi.org/project/nautilus-trader/" TargetMode="External"/><Relationship Id="rId61" Type="http://schemas.openxmlformats.org/officeDocument/2006/relationships/hyperlink" Target="https://pypi.org/project/hftbacktest/" TargetMode="External"/><Relationship Id="rId62" Type="http://schemas.openxmlformats.org/officeDocument/2006/relationships/hyperlink" Target="https://pypi.org/project/vectorbt/" TargetMode="External"/><Relationship Id="rId63" Type="http://schemas.openxmlformats.org/officeDocument/2006/relationships/hyperlink" Target="https://pypi.org/project/backtrader/" TargetMode="External"/><Relationship Id="rId64" Type="http://schemas.openxmlformats.org/officeDocument/2006/relationships/hyperlink" Target="https://pypi.org/project/zipline-reloaded/" TargetMode="External"/><Relationship Id="rId65" Type="http://schemas.openxmlformats.org/officeDocument/2006/relationships/hyperlink" Target="https://github.com/QuantConnect/Lean" TargetMode="External"/><Relationship Id="rId66" Type="http://schemas.openxmlformats.org/officeDocument/2006/relationships/hyperlink" Target="https://www.nfa.futures.org/registration-membership/index.html" TargetMode="External"/><Relationship Id="rId67" Type="http://schemas.openxmlformats.org/officeDocument/2006/relationships/hyperlink" Target="https://www.nfa.futures.org/basicnet/" TargetMode="External"/><Relationship Id="rId68" Type="http://schemas.openxmlformats.org/officeDocument/2006/relationships/hyperlink" Target="https://www.ecfr.gov/current/title-17/chapter-I/part-4/subpart-D/section-4.41" TargetMode="External"/><Relationship Id="rId69" Type="http://schemas.openxmlformats.org/officeDocument/2006/relationships/hyperlink" Target="https://www.nfa.futures.org/rulebooksql/rules.aspx?RuleID=RULE+2-29&amp;Section=4" TargetMode="External"/><Relationship Id="rId70" Type="http://schemas.openxmlformats.org/officeDocument/2006/relationships/hyperlink" Target="https://www.nfa.futures.org/rulebook/rules.aspx?RuleID=9025&amp;Section=9" TargetMode="External"/><Relationship Id="rId71" Type="http://schemas.openxmlformats.org/officeDocument/2006/relationships/hyperlink" Target="https://pypi.org/project/langgraph/" TargetMode="External"/><Relationship Id="rId72" Type="http://schemas.openxmlformats.org/officeDocument/2006/relationships/hyperlink" Target="https://pypi.org/project/crewai/" TargetMode="External"/><Relationship Id="rId73" Type="http://schemas.openxmlformats.org/officeDocument/2006/relationships/hyperlink" Target="https://pypi.org/project/ag2/" TargetMode="External"/><Relationship Id="rId74" Type="http://schemas.openxmlformats.org/officeDocument/2006/relationships/hyperlink" Target="https://pypi.org/project/openai-agents/" TargetMode="External"/><Relationship Id="rId75" Type="http://schemas.openxmlformats.org/officeDocument/2006/relationships/hyperlink" Target="https://pypi.org/project/temporalio/" TargetMode="External"/><Relationship Id="rId76" Type="http://schemas.openxmlformats.org/officeDocument/2006/relationships/hyperlink" Target="https://modelcontextprotocol.io/specification/2026-07-28/server/tools" TargetMode="External"/><Relationship Id="rId77" Type="http://schemas.openxmlformats.org/officeDocument/2006/relationships/hyperlink" Target="https://www.anthropic.com/engineering/multi-agent-research-system" TargetMode="External"/><Relationship Id="rId78" Type="http://schemas.openxmlformats.org/officeDocument/2006/relationships/hyperlink" Target="https://arxiv.org/abs/2503.13657" TargetMode="External"/><Relationship Id="rId79" Type="http://schemas.openxmlformats.org/officeDocument/2006/relationships/hyperlink" Target="https://arxiv.org/abs/2411.04468" TargetMode="External"/><Relationship Id="rId80" Type="http://schemas.openxmlformats.org/officeDocument/2006/relationships/image" Target="media/image1.png"/><Relationship Id="rId81" Type="http://schemas.openxmlformats.org/officeDocument/2006/relationships/hyperlink" Target="https://github.com/open-telemetry/semantic-conventions/releases" TargetMode="External"/><Relationship Id="rId82" Type="http://schemas.openxmlformats.org/officeDocument/2006/relationships/hyperlink" Target="https://www.cmegroup.com/confluence/display/EPICSANDBOX/MDP%2B3.0%2B-%2BEvent%2BBased%2BMarket%2BData%2BMessaging" TargetMode="External"/><Relationship Id="rId83" Type="http://schemas.openxmlformats.org/officeDocument/2006/relationships/hyperlink" Target="https://databento.com/docs/schemas-and-data-formats" TargetMode="External"/><Relationship Id="rId84" Type="http://schemas.openxmlformats.org/officeDocument/2006/relationships/hyperlink" Target="https://www.bea.gov/news/schedule" TargetMode="External"/><Relationship Id="rId85" Type="http://schemas.openxmlformats.org/officeDocument/2006/relationships/hyperlink" Target="https://papers.ssrn.com/sol3/papers.cfm?abstract_id=1821643" TargetMode="External"/><Relationship Id="rId86" Type="http://schemas.openxmlformats.org/officeDocument/2006/relationships/hyperlink" Target="https://kafka.apache.org/documentation/#design" TargetMode="External"/><Relationship Id="rId87" Type="http://schemas.openxmlformats.org/officeDocument/2006/relationships/hyperlink" Target="https://docs.nats.io/nats-concepts/jetstream" TargetMode="External"/><Relationship Id="rId88" Type="http://schemas.openxmlformats.org/officeDocument/2006/relationships/hyperlink" Target="https://docs.ray.io/" TargetMode="External"/><Relationship Id="rId89" Type="http://schemas.openxmlformats.org/officeDocument/2006/relationships/hyperlink" Target="https://docs.das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CELL//OS Futures Quant Domain Pane</dc:title>
  <dc:subject>Evidence-led architecture for NQ/MNQ research, replay, paper execution, and agentic governance</dc:subject>
  <dc:creator>OpenAI</dc:creator>
  <cp:keywords>CELL//OS, futures, quantitative research, validation, market data, multi-agent systems</cp:keywords>
  <dc:description>generated by python-docx</dc:description>
  <cp:lastModifiedBy/>
  <cp:revision>1</cp:revision>
  <dcterms:created xsi:type="dcterms:W3CDTF">2013-12-23T23:15:00Z</dcterms:created>
  <dcterms:modified xsi:type="dcterms:W3CDTF">2013-12-23T23:15:00Z</dcterms:modified>
  <cp:category/>
</cp:coreProperties>
</file>