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72"/>
        </w:rPr>
        <w:br/>
        <w:t>CELL OS</w:t>
      </w:r>
    </w:p>
    <w:p>
      <w:pPr>
        <w:jc w:val="center"/>
      </w:pPr>
      <w:r>
        <w:rPr>
          <w:b/>
          <w:color w:val="356A9A"/>
          <w:sz w:val="34"/>
        </w:rPr>
        <w:t>Product Handbook, Systems Architecture &amp; Build/Operate Design</w:t>
      </w:r>
    </w:p>
    <w:p>
      <w:pPr>
        <w:jc w:val="center"/>
      </w:pPr>
      <w:r>
        <w:rPr>
          <w:color w:val="64788C"/>
          <w:sz w:val="21"/>
        </w:rPr>
        <w:t>Including Avatar World, Social/Gamified Interaction, CELL Mesh Federation, HyperMESH Memory, Shadow Simulation and Evolution</w:t>
      </w:r>
    </w:p>
    <w:p>
      <w:r>
        <w:br/>
      </w:r>
    </w:p>
    <w:p>
      <w:pPr>
        <w:jc w:val="center"/>
      </w:pPr>
      <w:r>
        <w:drawing>
          <wp:inline xmlns:a="http://schemas.openxmlformats.org/drawingml/2006/main" xmlns:pic="http://schemas.openxmlformats.org/drawingml/2006/picture">
            <wp:extent cx="2880360" cy="5212080"/>
            <wp:docPr id="1" name="Picture 1"/>
            <wp:cNvGraphicFramePr>
              <a:graphicFrameLocks noChangeAspect="1"/>
            </wp:cNvGraphicFramePr>
            <a:graphic>
              <a:graphicData uri="http://schemas.openxmlformats.org/drawingml/2006/picture">
                <pic:pic>
                  <pic:nvPicPr>
                    <pic:cNvPr id="0" name="layers.png"/>
                    <pic:cNvPicPr/>
                  </pic:nvPicPr>
                  <pic:blipFill>
                    <a:blip r:embed="rId11"/>
                    <a:stretch>
                      <a:fillRect/>
                    </a:stretch>
                  </pic:blipFill>
                  <pic:spPr>
                    <a:xfrm>
                      <a:off x="0" y="0"/>
                      <a:ext cx="2880360" cy="5212080"/>
                    </a:xfrm>
                    <a:prstGeom prst="rect"/>
                  </pic:spPr>
                </pic:pic>
              </a:graphicData>
            </a:graphic>
          </wp:inline>
        </w:drawing>
      </w:r>
    </w:p>
    <w:p>
      <w:pPr>
        <w:pStyle w:val="SmallNote"/>
        <w:jc w:val="center"/>
      </w:pPr>
      <w:r>
        <w:rPr>
          <w:i/>
        </w:rPr>
        <w:t>Figure 1 — Proposed CELL OS stack: cognitive runtime to federated synthetic organizations.</w:t>
      </w:r>
    </w:p>
    <w:p>
      <w:r>
        <w:br/>
      </w:r>
    </w:p>
    <w:tbl>
      <w:tblPr>
        <w:tblW w:type="auto" w:w="0"/>
        <w:jc w:val="center"/>
        <w:tblLook w:firstColumn="1" w:firstRow="1" w:lastColumn="0" w:lastRow="0" w:noHBand="0" w:noVBand="1" w:val="04A0"/>
      </w:tblPr>
      <w:tblGrid>
        <w:gridCol w:w="10166"/>
      </w:tblGrid>
      <w:tr>
        <w:tc>
          <w:tcPr>
            <w:tcW w:type="dxa" w:w="10166"/>
            <w:shd w:fill="EAF1F8"/>
            <w:tcBorders>
              <w:top w:val="single" w:sz="10" w:space="0" w:color="356A9A"/>
              <w:left w:val="single" w:sz="10" w:space="0" w:color="356A9A"/>
              <w:bottom w:val="single" w:sz="10" w:space="0" w:color="356A9A"/>
              <w:right w:val="single" w:sz="10" w:space="0" w:color="356A9A"/>
              <w:insideH w:val="single" w:sz="10" w:space="0" w:color="356A9A"/>
              <w:insideV w:val="single" w:sz="10" w:space="0" w:color="356A9A"/>
            </w:tcBorders>
            <w:tcMar>
              <w:top w:w="100" w:type="dxa"/>
              <w:start w:w="130" w:type="dxa"/>
              <w:bottom w:w="100" w:type="dxa"/>
              <w:end w:w="130" w:type="dxa"/>
            </w:tcMar>
          </w:tcPr>
          <w:p>
            <w:pPr>
              <w:pStyle w:val="Callout"/>
            </w:pPr>
            <w:r>
              <w:t>North-star thesis: CELL OS is a programmable and experimentally optimizable substrate for synthetic organizations. A Cell is the executable organizational primitive; the platform compiles missions into Cells, governs cognition and capabilities, observes outcomes, and improves through replay, shadow execution and evidence-driven evolution.</w:t>
            </w:r>
          </w:p>
        </w:tc>
      </w:tr>
    </w:tbl>
    <w:p>
      <w:pPr>
        <w:pStyle w:val="SmallNote"/>
      </w:pPr>
    </w:p>
    <w:p>
      <w:pPr>
        <w:jc w:val="center"/>
      </w:pPr>
      <w:r>
        <w:rPr>
          <w:color w:val="64788C"/>
          <w:sz w:val="18"/>
        </w:rPr>
        <w:t>Version 0.1  |  September 2026</w:t>
      </w:r>
    </w:p>
    <w:p>
      <w:r>
        <w:br w:type="page"/>
      </w:r>
    </w:p>
    <w:p>
      <w:pPr>
        <w:pStyle w:val="Heading1"/>
      </w:pPr>
      <w:r>
        <w:t>Document Control &amp; Scope</w:t>
      </w:r>
    </w:p>
    <w:tbl>
      <w:tblPr>
        <w:tblW w:type="auto" w:w="0"/>
        <w:jc w:val="center"/>
        <w:tblLayout w:type="fixed"/>
        <w:tblLook w:firstColumn="1" w:firstRow="1" w:lastColumn="0" w:lastRow="0" w:noHBand="0" w:noVBand="1" w:val="04A0"/>
      </w:tblPr>
      <w:tblGrid>
        <w:gridCol w:w="5083"/>
        <w:gridCol w:w="5083"/>
      </w:tblGrid>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7"/>
              </w:rPr>
              <w:t>Field</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7"/>
              </w:rPr>
              <w:t>Definition</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7"/>
              </w:rPr>
              <w:t>Document purpose</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7"/>
              </w:rPr>
              <w:t>Professional design/build/operate baseline for CELL OS, combining product, UX/IX, architecture, federation, operations and research planning.</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7"/>
              </w:rPr>
              <w:t>Primary audience</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7"/>
              </w:rPr>
              <w:t>Founder/operator, product designer, systems architect, agentic AI researchers, implementation engineers and future contributors.</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7"/>
              </w:rPr>
              <w:t>Status</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7"/>
              </w:rPr>
              <w:t>North-star design baseline; concepts are intentionally separated into Core, Near-term and Frontier research.</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7"/>
              </w:rPr>
              <w:t>Source basis</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7"/>
              </w:rPr>
              <w:t>Agent Factory Vision.txt; CELL OS / Operative / HyperMESH / SIHRE working concepts from the project research; selected distributed-systems references listed in Appendix A.</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7"/>
              </w:rPr>
              <w:t>Non-goal</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7"/>
              </w:rPr>
              <w:t>This document is not a claim that all named components are implemented or empirically validated.</w:t>
            </w:r>
          </w:p>
        </w:tc>
      </w:tr>
    </w:tbl>
    <w:p>
      <w:pPr>
        <w:pStyle w:val="SmallNote"/>
      </w:pPr>
    </w:p>
    <w:tbl>
      <w:tblPr>
        <w:tblW w:type="auto" w:w="0"/>
        <w:jc w:val="center"/>
        <w:tblLook w:firstColumn="1" w:firstRow="1" w:lastColumn="0" w:lastRow="0" w:noHBand="0" w:noVBand="1" w:val="04A0"/>
      </w:tblPr>
      <w:tblGrid>
        <w:gridCol w:w="10166"/>
      </w:tblGrid>
      <w:tr>
        <w:tc>
          <w:tcPr>
            <w:tcW w:type="dxa" w:w="10166"/>
            <w:shd w:fill="EAF1F8"/>
            <w:tcBorders>
              <w:top w:val="single" w:sz="10" w:space="0" w:color="356A9A"/>
              <w:left w:val="single" w:sz="10" w:space="0" w:color="356A9A"/>
              <w:bottom w:val="single" w:sz="10" w:space="0" w:color="356A9A"/>
              <w:right w:val="single" w:sz="10" w:space="0" w:color="356A9A"/>
              <w:insideH w:val="single" w:sz="10" w:space="0" w:color="356A9A"/>
              <w:insideV w:val="single" w:sz="10" w:space="0" w:color="356A9A"/>
            </w:tcBorders>
            <w:tcMar>
              <w:top w:w="100" w:type="dxa"/>
              <w:start w:w="130" w:type="dxa"/>
              <w:bottom w:w="100" w:type="dxa"/>
              <w:end w:w="130" w:type="dxa"/>
            </w:tcMar>
          </w:tcPr>
          <w:p>
            <w:pPr>
              <w:pStyle w:val="Callout"/>
            </w:pPr>
            <w:r>
              <w:t>Architecture discipline: preserve implementation truth. “Core” means required for the product model; “Implemented” must only be used after repository evidence confirms it; “Frontier” means a research hypothesis to be tested in shadow/simulation.</w:t>
            </w:r>
          </w:p>
        </w:tc>
      </w:tr>
    </w:tbl>
    <w:p>
      <w:pPr>
        <w:pStyle w:val="SmallNote"/>
      </w:pPr>
    </w:p>
    <w:p>
      <w:pPr>
        <w:pStyle w:val="Heading2"/>
      </w:pPr>
      <w:r>
        <w:t>How to read this document</w:t>
      </w:r>
    </w:p>
    <w:p>
      <w:pPr>
        <w:pStyle w:val="ListBullet"/>
        <w:spacing w:after="40"/>
      </w:pPr>
      <w:r>
        <w:rPr>
          <w:b/>
        </w:rPr>
        <w:t xml:space="preserve">Product layer — </w:t>
      </w:r>
      <w:r>
        <w:t>what the user experiences, creates, monitors and shares.</w:t>
      </w:r>
    </w:p>
    <w:p>
      <w:pPr>
        <w:pStyle w:val="ListBullet"/>
        <w:spacing w:after="40"/>
      </w:pPr>
      <w:r>
        <w:rPr>
          <w:b/>
        </w:rPr>
        <w:t xml:space="preserve">Runtime layer — </w:t>
      </w:r>
      <w:r>
        <w:t>how Cells, Operatives, memory, capabilities, policy and assurance interact.</w:t>
      </w:r>
    </w:p>
    <w:p>
      <w:pPr>
        <w:pStyle w:val="ListBullet"/>
        <w:spacing w:after="40"/>
      </w:pPr>
      <w:r>
        <w:rPr>
          <w:b/>
        </w:rPr>
        <w:t xml:space="preserve">Mesh layer — </w:t>
      </w:r>
      <w:r>
        <w:t>how independent CELL OS nodes optionally federate without collapsing into one central data store.</w:t>
      </w:r>
    </w:p>
    <w:p>
      <w:pPr>
        <w:pStyle w:val="ListBullet"/>
        <w:spacing w:after="40"/>
      </w:pPr>
      <w:r>
        <w:rPr>
          <w:b/>
        </w:rPr>
        <w:t xml:space="preserve">Evolution layer — </w:t>
      </w:r>
      <w:r>
        <w:t>how AutoResearcher, simulations and Shadow Cells improve configurations against explicit KPIs.</w:t>
      </w:r>
    </w:p>
    <w:p>
      <w:pPr>
        <w:pStyle w:val="ListBullet"/>
        <w:spacing w:after="40"/>
      </w:pPr>
      <w:r>
        <w:rPr>
          <w:b/>
        </w:rPr>
        <w:t xml:space="preserve">Operations layer — </w:t>
      </w:r>
      <w:r>
        <w:t>how the platform remains observable, recoverable, governable and self-maintainable.</w:t>
      </w:r>
    </w:p>
    <w:p>
      <w:pPr>
        <w:pStyle w:val="Heading2"/>
      </w:pPr>
      <w:r>
        <w:t>Maturity legend</w:t>
      </w:r>
    </w:p>
    <w:tbl>
      <w:tblPr>
        <w:tblW w:type="auto" w:w="0"/>
        <w:jc w:val="center"/>
        <w:tblLayout w:type="fixed"/>
        <w:tblLook w:firstColumn="1" w:firstRow="1" w:lastColumn="0" w:lastRow="0" w:noHBand="0" w:noVBand="1" w:val="04A0"/>
      </w:tblPr>
      <w:tblGrid>
        <w:gridCol w:w="3389"/>
        <w:gridCol w:w="3389"/>
        <w:gridCol w:w="3389"/>
      </w:tblGrid>
      <w:tr>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Level</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Meaning</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Examples</w:t>
            </w:r>
          </w:p>
        </w:tc>
      </w:tr>
      <w:tr>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CORE</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Needed to make CELL OS coherent as a product/runtime.</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Cell, Operative, Cell Image, Kernel, Capability API, Mission Control, assurance.</w:t>
            </w:r>
          </w:p>
        </w:tc>
      </w:tr>
      <w:tr>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NEAR</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Build after core execution and eval substrate are trustworthy.</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HyperMESH federation, Shadow Cells, Context VM, advanced schedulers.</w:t>
            </w:r>
          </w:p>
        </w:tc>
      </w:tr>
      <w:tr>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FRONTIER</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Research before product commitment.</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Epistemic cache coherence, cross-node cognitive NUMA, organizational markets, autonomous structural evolution.</w:t>
            </w:r>
          </w:p>
        </w:tc>
      </w:tr>
    </w:tbl>
    <w:p>
      <w:pPr>
        <w:pStyle w:val="SmallNote"/>
      </w:pPr>
    </w:p>
    <w:p>
      <w:r>
        <w:br w:type="page"/>
      </w:r>
    </w:p>
    <w:p>
      <w:pPr>
        <w:pStyle w:val="Heading1"/>
      </w:pPr>
      <w:r>
        <w:t>1. Executive Product Thesis</w:t>
      </w:r>
    </w:p>
    <w:p>
      <w:r>
        <w:t>CELL OS should be designed as an operating system for synthetic organizations rather than a visual wrapper over chat agents. The user describes an outcome, constraints and authority boundary; CELL OS compiles an organizational response, executes it as one or more Cells, proves what happened, and uses evidence to improve future configurations.</w:t>
      </w:r>
    </w:p>
    <w:tbl>
      <w:tblPr>
        <w:tblW w:type="auto" w:w="0"/>
        <w:jc w:val="center"/>
        <w:tblLook w:firstColumn="1" w:firstRow="1" w:lastColumn="0" w:lastRow="0" w:noHBand="0" w:noVBand="1" w:val="04A0"/>
      </w:tblPr>
      <w:tblGrid>
        <w:gridCol w:w="10166"/>
      </w:tblGrid>
      <w:tr>
        <w:tc>
          <w:tcPr>
            <w:tcW w:type="dxa" w:w="10166"/>
            <w:shd w:fill="EAF1F8"/>
            <w:tcBorders>
              <w:top w:val="single" w:sz="10" w:space="0" w:color="356A9A"/>
              <w:left w:val="single" w:sz="10" w:space="0" w:color="356A9A"/>
              <w:bottom w:val="single" w:sz="10" w:space="0" w:color="356A9A"/>
              <w:right w:val="single" w:sz="10" w:space="0" w:color="356A9A"/>
              <w:insideH w:val="single" w:sz="10" w:space="0" w:color="356A9A"/>
              <w:insideV w:val="single" w:sz="10" w:space="0" w:color="356A9A"/>
            </w:tcBorders>
            <w:tcMar>
              <w:top w:w="100" w:type="dxa"/>
              <w:start w:w="130" w:type="dxa"/>
              <w:bottom w:w="100" w:type="dxa"/>
              <w:end w:w="130" w:type="dxa"/>
            </w:tcMar>
          </w:tcPr>
          <w:p>
            <w:pPr>
              <w:pStyle w:val="Callout"/>
            </w:pPr>
            <w:r>
              <w:t>The product should feel simple at the surface — “tell the organization what you want” — while exposing deep operator controls for users who want to inspect topology, cognition, memory, resource allocation, evidence and simulations.</w:t>
            </w:r>
          </w:p>
        </w:tc>
      </w:tr>
    </w:tbl>
    <w:p>
      <w:pPr>
        <w:pStyle w:val="SmallNote"/>
      </w:pPr>
    </w:p>
    <w:p>
      <w:pPr>
        <w:pStyle w:val="Heading2"/>
      </w:pPr>
      <w:r>
        <w:t>The five product promises</w:t>
      </w:r>
    </w:p>
    <w:p>
      <w:pPr>
        <w:spacing w:after="40"/>
        <w:ind w:left="230" w:hanging="173"/>
      </w:pPr>
      <w:r>
        <w:rPr>
          <w:b/>
        </w:rPr>
        <w:t xml:space="preserve">1. </w:t>
      </w:r>
      <w:r>
        <w:t>Build organizations, not prompts: create reusable Cells and persistent Organisms from typed blueprints.</w:t>
      </w:r>
    </w:p>
    <w:p>
      <w:pPr>
        <w:spacing w:after="40"/>
        <w:ind w:left="230" w:hanging="173"/>
      </w:pPr>
      <w:r>
        <w:rPr>
          <w:b/>
        </w:rPr>
        <w:t xml:space="preserve">2. </w:t>
      </w:r>
      <w:r>
        <w:t>Run safely: deterministic kernel controls authority, budgets, identity, capabilities and privileged actions.</w:t>
      </w:r>
    </w:p>
    <w:p>
      <w:pPr>
        <w:spacing w:after="40"/>
        <w:ind w:left="230" w:hanging="173"/>
      </w:pPr>
      <w:r>
        <w:rPr>
          <w:b/>
        </w:rPr>
        <w:t xml:space="preserve">3. </w:t>
      </w:r>
      <w:r>
        <w:t>Remember structurally: HyperMESH combines event/evidence history, temporal graph relations, vector similarity, artifacts and structured state.</w:t>
      </w:r>
    </w:p>
    <w:p>
      <w:pPr>
        <w:spacing w:after="40"/>
        <w:ind w:left="230" w:hanging="173"/>
      </w:pPr>
      <w:r>
        <w:rPr>
          <w:b/>
        </w:rPr>
        <w:t xml:space="preserve">4. </w:t>
      </w:r>
      <w:r>
        <w:t>Prove outcomes: every consequential mission can emit replayable evidence and an assurance receipt.</w:t>
      </w:r>
    </w:p>
    <w:p>
      <w:pPr>
        <w:spacing w:after="40"/>
        <w:ind w:left="230" w:hanging="173"/>
      </w:pPr>
      <w:r>
        <w:rPr>
          <w:b/>
        </w:rPr>
        <w:t xml:space="preserve">5. </w:t>
      </w:r>
      <w:r>
        <w:t>Improve empirically: Shadow Cells and AutoResearcher compare configurations against KPIs before promotion.</w:t>
      </w:r>
    </w:p>
    <w:p>
      <w:pPr>
        <w:pStyle w:val="Heading2"/>
      </w:pPr>
      <w:r>
        <w:t>Primary product modes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Mode</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User</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Experience</w:t>
            </w:r>
          </w:p>
        </w:tc>
        <w:tc>
          <w:tcPr>
            <w:tcW w:type="dxa" w:w="12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Same underlying state?</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Mission Control</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Power user / operator</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Dense dashboards, graphs, run state, diffs, budgets, logs, evidence and controls.</w:t>
            </w:r>
          </w:p>
        </w:tc>
        <w:tc>
          <w:tcPr>
            <w:tcW w:type="dxa" w:w="12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Yes</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Avatar World</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Visual / social / exploratory user</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Spatial Sims-style representation of the organization, Operatives, Cells and missions.</w:t>
            </w:r>
          </w:p>
        </w:tc>
        <w:tc>
          <w:tcPr>
            <w:tcW w:type="dxa" w:w="12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Yes</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Briefing Room</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Decision maker</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Questions, unknowns, evidence, approvals, strategy and mission planning.</w:t>
            </w:r>
          </w:p>
        </w:tc>
        <w:tc>
          <w:tcPr>
            <w:tcW w:type="dxa" w:w="12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Yes</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Cell Studio</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Builder</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Design and version Cell genomes, capabilities, memory, topology and policies.</w:t>
            </w:r>
          </w:p>
        </w:tc>
        <w:tc>
          <w:tcPr>
            <w:tcW w:type="dxa" w:w="12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Yes</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Evolution Chamber</w:t>
            </w:r>
          </w:p>
        </w:tc>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Researcher / optimizer</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Shadow runs, tournaments, Pareto frontiers and experimental promotion.</w:t>
            </w:r>
          </w:p>
        </w:tc>
        <w:tc>
          <w:tcPr>
            <w:tcW w:type="dxa" w:w="12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Yes</w:t>
            </w:r>
          </w:p>
        </w:tc>
      </w:tr>
    </w:tbl>
    <w:p>
      <w:pPr>
        <w:pStyle w:val="SmallNote"/>
      </w:pPr>
    </w:p>
    <w:p>
      <w:r>
        <w:br w:type="page"/>
      </w:r>
    </w:p>
    <w:p>
      <w:pPr>
        <w:pStyle w:val="Heading1"/>
      </w:pPr>
      <w:r>
        <w:t>2. Product Object Model</w:t>
      </w:r>
    </w:p>
    <w:p>
      <w:pPr>
        <w:jc w:val="center"/>
      </w:pPr>
      <w:r>
        <w:drawing>
          <wp:inline xmlns:a="http://schemas.openxmlformats.org/drawingml/2006/main" xmlns:pic="http://schemas.openxmlformats.org/drawingml/2006/picture">
            <wp:extent cx="4160520" cy="7528560"/>
            <wp:docPr id="2" name="Picture 2"/>
            <wp:cNvGraphicFramePr>
              <a:graphicFrameLocks noChangeAspect="1"/>
            </wp:cNvGraphicFramePr>
            <a:graphic>
              <a:graphicData uri="http://schemas.openxmlformats.org/drawingml/2006/picture">
                <pic:pic>
                  <pic:nvPicPr>
                    <pic:cNvPr id="0" name="layers.png"/>
                    <pic:cNvPicPr/>
                  </pic:nvPicPr>
                  <pic:blipFill>
                    <a:blip r:embed="rId11"/>
                    <a:stretch>
                      <a:fillRect/>
                    </a:stretch>
                  </pic:blipFill>
                  <pic:spPr>
                    <a:xfrm>
                      <a:off x="0" y="0"/>
                      <a:ext cx="4160520" cy="7528560"/>
                    </a:xfrm>
                    <a:prstGeom prst="rect"/>
                  </pic:spPr>
                </pic:pic>
              </a:graphicData>
            </a:graphic>
          </wp:inline>
        </w:drawing>
      </w:r>
    </w:p>
    <w:p>
      <w:pPr>
        <w:pStyle w:val="SmallNote"/>
        <w:jc w:val="center"/>
      </w:pPr>
      <w:r>
        <w:rPr>
          <w:i/>
        </w:rPr>
        <w:t>Figure 2 — Product/runtime object hierarchy. Higher layers coordinate lower layers without collapsing their governance boundaries.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Entity</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Definition</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Lifecycle</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Key configuration</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Mission</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Desired outcome plus constraints, risk and evidence requirements.</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Ephemeral or recurring</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Intent Contract, success/assurance contract, priority, temporal horizon.</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AI Operative</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Versioned cognitive worker executing within a Cell.</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Ephemeral or persistent seat</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Cognitive runtime, tools, memory policy, communication behavior, authority.</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Worker</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Deterministic execution unit.</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Task/daemon</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Code, retry policy, I/O contract, resource limits.</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Cell</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Bounded executable organizational unit containing Operatives, Workers, memory mounts and policy.</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Spawn / pause / resume / terminate</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Cell Genome, topology, authority, budgets, lifecycle and assurance.</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Organism</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Persistent adaptive organization composed of Cells.</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Long-lived</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Strategy, Cell topology, homeostatic targets, capital/resources, governance.</w:t>
            </w:r>
          </w:p>
        </w:tc>
      </w:tr>
      <w:tr>
        <w:tc>
          <w:tcPr>
            <w:tcW w:type="dxa" w:w="14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Federation</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Cooperating Organisms / CELL OS nodes with shared rules.</w:t>
            </w:r>
          </w:p>
        </w:tc>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Long-lived optional layer</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Trust, identity, knowledge/resource sharing, policy boundaries.</w:t>
            </w:r>
          </w:p>
        </w:tc>
      </w:tr>
    </w:tbl>
    <w:p>
      <w:pPr>
        <w:pStyle w:val="SmallNote"/>
      </w:pPr>
    </w:p>
    <w:p>
      <w:pPr>
        <w:pStyle w:val="Heading2"/>
      </w:pPr>
      <w:r>
        <w:t>Cell Genome</w:t>
      </w:r>
    </w:p>
    <w:p>
      <w:r>
        <w:t>The Cell Genome is the versioned configuration surface that turns a generic Cell runtime into a specialized organizational process. It should be machine-readable, diffable, certifiable and searchable by the Evolution Chamber.</w:t>
      </w:r>
    </w:p>
    <w:p>
      <w:pPr>
        <w:pStyle w:val="ListBullet"/>
        <w:spacing w:after="40"/>
      </w:pPr>
      <w:r>
        <w:t>Topology: hierarchy, pipeline, graph, swarm, council, blackboard, market, hybrid overlays.</w:t>
      </w:r>
    </w:p>
    <w:p>
      <w:pPr>
        <w:pStyle w:val="ListBullet"/>
        <w:spacing w:after="40"/>
      </w:pPr>
      <w:r>
        <w:t>Cognition: deterministic/agentic ratio, cognitive governor, model routing, reasoning budget.</w:t>
      </w:r>
    </w:p>
    <w:p>
      <w:pPr>
        <w:pStyle w:val="ListBullet"/>
        <w:spacing w:after="40"/>
      </w:pPr>
      <w:r>
        <w:t>Memory: private/shared mounts, episodic/semantic/procedural policies, retrieval weights and forgetting.</w:t>
      </w:r>
    </w:p>
    <w:p>
      <w:pPr>
        <w:pStyle w:val="ListBullet"/>
        <w:spacing w:after="40"/>
      </w:pPr>
      <w:r>
        <w:t>Communication: CellBus routes, message types, broadcast policy, blackboard channels.</w:t>
      </w:r>
    </w:p>
    <w:p>
      <w:pPr>
        <w:pStyle w:val="ListBullet"/>
        <w:spacing w:after="40"/>
      </w:pPr>
      <w:r>
        <w:t>Authority: central/distributed/federated decision rights and human gates.</w:t>
      </w:r>
    </w:p>
    <w:p>
      <w:pPr>
        <w:pStyle w:val="ListBullet"/>
        <w:spacing w:after="40"/>
      </w:pPr>
      <w:r>
        <w:t>Resources: token, compute, time, tool calls, concurrency and organizational budget.</w:t>
      </w:r>
    </w:p>
    <w:p>
      <w:pPr>
        <w:pStyle w:val="ListBullet"/>
        <w:spacing w:after="40"/>
      </w:pPr>
      <w:r>
        <w:t>Adaptation: pinned production settings plus explicitly allowed shadow mutations.</w:t>
      </w:r>
    </w:p>
    <w:p>
      <w:pPr>
        <w:pStyle w:val="Heading2"/>
      </w:pPr>
      <w:r>
        <w:t>Cell Image</w:t>
      </w:r>
    </w:p>
    <w:p>
      <w:r>
        <w:t>A Cell Image is the immutable, certifiable executable packaging of a Cell Genome and all resolved dependencies: operative versions, model policies, capabilities, memory policy, contracts, prompts/skills, deterministic code and behavioral digests. It is the artifact that is deployed and attested.</w:t>
      </w:r>
    </w:p>
    <w:p>
      <w:r>
        <w:br w:type="page"/>
      </w:r>
    </w:p>
    <w:p>
      <w:pPr>
        <w:pStyle w:val="Heading1"/>
      </w:pPr>
      <w:r>
        <w:t>3. User Experience / Interaction Design</w:t>
      </w:r>
    </w:p>
    <w:p>
      <w:pPr>
        <w:jc w:val="center"/>
      </w:pPr>
      <w:r>
        <w:drawing>
          <wp:inline xmlns:a="http://schemas.openxmlformats.org/drawingml/2006/main" xmlns:pic="http://schemas.openxmlformats.org/drawingml/2006/picture">
            <wp:extent cx="5303520" cy="4802571"/>
            <wp:docPr id="3" name="Picture 3"/>
            <wp:cNvGraphicFramePr>
              <a:graphicFrameLocks noChangeAspect="1"/>
            </wp:cNvGraphicFramePr>
            <a:graphic>
              <a:graphicData uri="http://schemas.openxmlformats.org/drawingml/2006/picture">
                <pic:pic>
                  <pic:nvPicPr>
                    <pic:cNvPr id="0" name="ux.png"/>
                    <pic:cNvPicPr/>
                  </pic:nvPicPr>
                  <pic:blipFill>
                    <a:blip r:embed="rId12"/>
                    <a:stretch>
                      <a:fillRect/>
                    </a:stretch>
                  </pic:blipFill>
                  <pic:spPr>
                    <a:xfrm>
                      <a:off x="0" y="0"/>
                      <a:ext cx="5303520" cy="4802571"/>
                    </a:xfrm>
                    <a:prstGeom prst="rect"/>
                  </pic:spPr>
                </pic:pic>
              </a:graphicData>
            </a:graphic>
          </wp:inline>
        </w:drawing>
      </w:r>
    </w:p>
    <w:p>
      <w:pPr>
        <w:pStyle w:val="SmallNote"/>
        <w:jc w:val="center"/>
      </w:pPr>
      <w:r>
        <w:rPr>
          <w:i/>
        </w:rPr>
        <w:t>Figure 3 — Mission Control and Avatar World are two synchronized representations of the same runtime state.</w:t>
      </w:r>
    </w:p>
    <w:p>
      <w:pPr>
        <w:pStyle w:val="Heading2"/>
      </w:pPr>
      <w:r>
        <w:t>First-run flow</w:t>
      </w:r>
    </w:p>
    <w:p>
      <w:pPr>
        <w:spacing w:after="40"/>
        <w:ind w:left="230" w:hanging="173"/>
      </w:pPr>
      <w:r>
        <w:rPr>
          <w:b/>
        </w:rPr>
        <w:t xml:space="preserve">1. </w:t>
      </w:r>
      <w:r>
        <w:t>Create workspace and choose private, team or federation-ready deployment.</w:t>
      </w:r>
    </w:p>
    <w:p>
      <w:pPr>
        <w:spacing w:after="40"/>
        <w:ind w:left="230" w:hanging="173"/>
      </w:pPr>
      <w:r>
        <w:rPr>
          <w:b/>
        </w:rPr>
        <w:t xml:space="preserve">2. </w:t>
      </w:r>
      <w:r>
        <w:t>Describe a north-star outcome in plain language; CELL OS generates an Intent Contract draft.</w:t>
      </w:r>
    </w:p>
    <w:p>
      <w:pPr>
        <w:spacing w:after="40"/>
        <w:ind w:left="230" w:hanging="173"/>
      </w:pPr>
      <w:r>
        <w:rPr>
          <w:b/>
        </w:rPr>
        <w:t xml:space="preserve">3. </w:t>
      </w:r>
      <w:r>
        <w:t>Choose a starter organizational pattern or let the compiler propose one.</w:t>
      </w:r>
    </w:p>
    <w:p>
      <w:pPr>
        <w:spacing w:after="40"/>
        <w:ind w:left="230" w:hanging="173"/>
      </w:pPr>
      <w:r>
        <w:rPr>
          <w:b/>
        </w:rPr>
        <w:t xml:space="preserve">4. </w:t>
      </w:r>
      <w:r>
        <w:t>Review capabilities, data access, privacy, budgets and approval rules.</w:t>
      </w:r>
    </w:p>
    <w:p>
      <w:pPr>
        <w:spacing w:after="40"/>
        <w:ind w:left="230" w:hanging="173"/>
      </w:pPr>
      <w:r>
        <w:rPr>
          <w:b/>
        </w:rPr>
        <w:t xml:space="preserve">5. </w:t>
      </w:r>
      <w:r>
        <w:t>Run a simulation before first real mission when privileged side effects are involved.</w:t>
      </w:r>
    </w:p>
    <w:p>
      <w:pPr>
        <w:spacing w:after="40"/>
        <w:ind w:left="230" w:hanging="173"/>
      </w:pPr>
      <w:r>
        <w:rPr>
          <w:b/>
        </w:rPr>
        <w:t xml:space="preserve">6. </w:t>
      </w:r>
      <w:r>
        <w:t>Launch the first Cell; Mission Control shows state, evidence, blockers and pending approvals.</w:t>
      </w:r>
    </w:p>
    <w:p>
      <w:pPr>
        <w:spacing w:after="40"/>
        <w:ind w:left="230" w:hanging="173"/>
      </w:pPr>
      <w:r>
        <w:rPr>
          <w:b/>
        </w:rPr>
        <w:t xml:space="preserve">7. </w:t>
      </w:r>
      <w:r>
        <w:t>After enough evidence exists, the Evolution Chamber begins proposing shadow improvements.</w:t>
      </w:r>
    </w:p>
    <w:p>
      <w:pPr>
        <w:pStyle w:val="Heading2"/>
      </w:pPr>
      <w:r>
        <w:t>Core navigation</w:t>
      </w:r>
    </w:p>
    <w:tbl>
      <w:tblPr>
        <w:tblW w:type="auto" w:w="0"/>
        <w:jc w:val="center"/>
        <w:tblLayout w:type="fixed"/>
        <w:tblLook w:firstColumn="1" w:firstRow="1" w:lastColumn="0" w:lastRow="0" w:noHBand="0" w:noVBand="1" w:val="04A0"/>
      </w:tblPr>
      <w:tblGrid>
        <w:gridCol w:w="3389"/>
        <w:gridCol w:w="3389"/>
        <w:gridCol w:w="3389"/>
      </w:tblGrid>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Surface</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Primary question answered</w:t>
            </w:r>
          </w:p>
        </w:tc>
        <w:tc>
          <w:tcPr>
            <w:tcW w:type="dxa" w:w="53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Must-have widgets</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Home / Organization</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What is my organization doing and is it healthy?</w:t>
            </w:r>
          </w:p>
        </w:tc>
        <w:tc>
          <w:tcPr>
            <w:tcW w:type="dxa" w:w="53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Mission queue, Cell health, alerts, goals, cost, recent evidence, active experiments.</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Mission Control</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What is happening right now?</w:t>
            </w:r>
          </w:p>
        </w:tc>
        <w:tc>
          <w:tcPr>
            <w:tcW w:type="dxa" w:w="53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Mission hypergraph, live Cells, dependencies, event stream, human gates, rollback.</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Cell Studio</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How is this Cell built?</w:t>
            </w:r>
          </w:p>
        </w:tc>
        <w:tc>
          <w:tcPr>
            <w:tcW w:type="dxa" w:w="53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Genome editor, topology, roles, capabilities, memory mounts, budgets, version diff.</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HyperMESH</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What does the organization know?</w:t>
            </w:r>
          </w:p>
        </w:tc>
        <w:tc>
          <w:tcPr>
            <w:tcW w:type="dxa" w:w="53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Graph explorer, evidence provenance, episodes, contradictions, knowledge health, retrieval debugger.</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Evolution Chamber</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What configuration performs better?</w:t>
            </w:r>
          </w:p>
        </w:tc>
        <w:tc>
          <w:tcPr>
            <w:tcW w:type="dxa" w:w="53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Shadow roster, experiment matrix, KPI distributions, Pareto frontier, promotion gate.</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Avatar World</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What is happening in an intuitive spatial model?</w:t>
            </w:r>
          </w:p>
        </w:tc>
        <w:tc>
          <w:tcPr>
            <w:tcW w:type="dxa" w:w="53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World map, Cells as rooms/buildings, avatars, mission animation, conversations, alerts.</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Social / Network</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Who can I learn or collaborate with?</w:t>
            </w:r>
          </w:p>
        </w:tc>
        <w:tc>
          <w:tcPr>
            <w:tcW w:type="dxa" w:w="53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Profiles, public Cells, challenges, blueprint library, reputation, federation invitations.</w:t>
            </w:r>
          </w:p>
        </w:tc>
      </w:tr>
    </w:tbl>
    <w:p>
      <w:pPr>
        <w:pStyle w:val="SmallNote"/>
      </w:pPr>
    </w:p>
    <w:p>
      <w:pPr>
        <w:pStyle w:val="Heading2"/>
      </w:pPr>
      <w:r>
        <w:t>Avatar World — Sims-style mode</w:t>
      </w:r>
    </w:p>
    <w:p>
      <w:r>
        <w:t>Avatar World is an optional rendering mode over real runtime objects. It must never become a disconnected toy simulation. Every avatar, room, object and animation maps to a real Cell, Operative, capability, artifact, mission state or event.</w:t>
      </w:r>
    </w:p>
    <w:tbl>
      <w:tblPr>
        <w:tblW w:type="auto" w:w="0"/>
        <w:jc w:val="center"/>
        <w:tblLayout w:type="fixed"/>
        <w:tblLook w:firstColumn="1" w:firstRow="1" w:lastColumn="0" w:lastRow="0" w:noHBand="0" w:noVBand="1" w:val="04A0"/>
      </w:tblPr>
      <w:tblGrid>
        <w:gridCol w:w="3389"/>
        <w:gridCol w:w="3389"/>
        <w:gridCol w:w="3389"/>
      </w:tblGrid>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Avatar metaphor</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Runtime meaning</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Interaction</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Operative avatar</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Running AI Operative / Worker seat</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Click to inspect role, current task, context, cost, evidence and recent messages.</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Room / building</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Cell</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Enter to view Cell topology, mission state, shared memory and live work.</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Library</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HyperMESH</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Browse institutional knowledge, contradictions, evidence and promoted doctrine.</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Research lab</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AutoResearcher / Research Cells</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View hypotheses, experiments, reading queues and findings.</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Evolution chamber</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Shadow simulation environment</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Watch candidate Cells compete on the same missions.</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Control tower</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CELL Kernel / Mission Control</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System health, approvals, policies, resources and emergencies.</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Portal / gateway</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CELL Mesh connection</w:t>
            </w:r>
          </w:p>
        </w:tc>
        <w:tc>
          <w:tcPr>
            <w:tcW w:type="dxa" w:w="48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Visit or collaborate with another approved CELL OS node/federation.</w:t>
            </w:r>
          </w:p>
        </w:tc>
      </w:tr>
    </w:tbl>
    <w:p>
      <w:pPr>
        <w:pStyle w:val="SmallNote"/>
      </w:pPr>
    </w:p>
    <w:p>
      <w:pPr>
        <w:pStyle w:val="Heading3"/>
      </w:pPr>
      <w:r>
        <w:t>Avatar World interaction rules</w:t>
      </w:r>
    </w:p>
    <w:p>
      <w:pPr>
        <w:pStyle w:val="ListBullet"/>
        <w:spacing w:after="40"/>
      </w:pPr>
      <w:r>
        <w:t>Every visual action has a professional-mode equivalent and audit trail.</w:t>
      </w:r>
    </w:p>
    <w:p>
      <w:pPr>
        <w:pStyle w:val="ListBullet"/>
        <w:spacing w:after="40"/>
      </w:pPr>
      <w:r>
        <w:t>A “conversation bubble” is a view over a typed CellBus exchange, not the canonical record.</w:t>
      </w:r>
    </w:p>
    <w:p>
      <w:pPr>
        <w:pStyle w:val="ListBullet"/>
        <w:spacing w:after="40"/>
      </w:pPr>
      <w:r>
        <w:t>Critical actions always surface explicit authority and consequences before execution.</w:t>
      </w:r>
    </w:p>
    <w:p>
      <w:pPr>
        <w:pStyle w:val="ListBullet"/>
        <w:spacing w:after="40"/>
      </w:pPr>
      <w:r>
        <w:t>Users can switch instantly between spatial and analytical modes without losing context.</w:t>
      </w:r>
    </w:p>
    <w:p>
      <w:pPr>
        <w:pStyle w:val="ListBullet"/>
        <w:spacing w:after="40"/>
      </w:pPr>
      <w:r>
        <w:t>Accessibility: all Avatar World operations must remain possible in list/table/keyboard forms.</w:t>
      </w:r>
    </w:p>
    <w:p>
      <w:r>
        <w:br w:type="page"/>
      </w:r>
    </w:p>
    <w:p>
      <w:pPr>
        <w:pStyle w:val="Heading1"/>
      </w:pPr>
      <w:r>
        <w:t>4. Social, Collaborative &amp; Gamified Product Layer</w:t>
      </w:r>
    </w:p>
    <w:p>
      <w:r>
        <w:t>Social mechanics can make CELL OS feel alive and create network effects, but the incentive system should reward verified contribution rather than compulsive engagement or popularity. Gamification is therefore tied to evidence, learning, collaboration and reusable assets.</w:t>
      </w:r>
    </w:p>
    <w:p>
      <w:pPr>
        <w:pStyle w:val="Heading2"/>
      </w:pPr>
      <w:r>
        <w:t>Social primitives</w:t>
      </w:r>
    </w:p>
    <w:tbl>
      <w:tblPr>
        <w:tblW w:type="auto" w:w="0"/>
        <w:jc w:val="center"/>
        <w:tblLayout w:type="fixed"/>
        <w:tblLook w:firstColumn="1" w:firstRow="1" w:lastColumn="0" w:lastRow="0" w:noHBand="0" w:noVBand="1" w:val="04A0"/>
      </w:tblPr>
      <w:tblGrid>
        <w:gridCol w:w="3389"/>
        <w:gridCol w:w="3389"/>
        <w:gridCol w:w="3389"/>
      </w:tblGrid>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Primitive</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Description</w:t>
            </w:r>
          </w:p>
        </w:tc>
        <w:tc>
          <w:tcPr>
            <w:tcW w:type="dxa" w:w="35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Value</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Operator Profile</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Identity, specialties, organizations, public Cells, achievements and contribution history.</w:t>
            </w:r>
          </w:p>
        </w:tc>
        <w:tc>
          <w:tcPr>
            <w:tcW w:type="dxa" w:w="35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Trust and discoverability.</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Cell Profile</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Shareable page for a certified Cell Image, capabilities, use cases, evals and lineage.</w:t>
            </w:r>
          </w:p>
        </w:tc>
        <w:tc>
          <w:tcPr>
            <w:tcW w:type="dxa" w:w="35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Reusable organizational software.</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Blueprint Library</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Public/private catalog of Cell Genomes and organization patterns.</w:t>
            </w:r>
          </w:p>
        </w:tc>
        <w:tc>
          <w:tcPr>
            <w:tcW w:type="dxa" w:w="35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Accelerates creation and comparison.</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Challenges</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Standardized missions where Cells compete on verified outcomes.</w:t>
            </w:r>
          </w:p>
        </w:tc>
        <w:tc>
          <w:tcPr>
            <w:tcW w:type="dxa" w:w="35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Benchmarking and community learning.</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Guild / Collective</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Opt-in group around a domain, project or research problem.</w:t>
            </w:r>
          </w:p>
        </w:tc>
        <w:tc>
          <w:tcPr>
            <w:tcW w:type="dxa" w:w="35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Collaborative knowledge and Cell reuse.</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Knowledge Contribution</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Publish evidence-backed claims, datasets, evals, skills or failure cases.</w:t>
            </w:r>
          </w:p>
        </w:tc>
        <w:tc>
          <w:tcPr>
            <w:tcW w:type="dxa" w:w="35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Collective learning.</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Federation Invitation</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Connect trusted CELL OS nodes with scoped policy.</w:t>
            </w:r>
          </w:p>
        </w:tc>
        <w:tc>
          <w:tcPr>
            <w:tcW w:type="dxa" w:w="35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Cross-node resource and knowledge sharing.</w:t>
            </w:r>
          </w:p>
        </w:tc>
      </w:tr>
    </w:tbl>
    <w:p>
      <w:pPr>
        <w:pStyle w:val="SmallNote"/>
      </w:pPr>
    </w:p>
    <w:p>
      <w:pPr>
        <w:pStyle w:val="Heading2"/>
      </w:pPr>
      <w:r>
        <w:t>Incentive design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Mechanism</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Earned by</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What it unlocks</w:t>
            </w:r>
          </w:p>
        </w:tc>
        <w:tc>
          <w:tcPr>
            <w:tcW w:type="dxa" w:w="18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Anti-gaming control</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Evidence Reputation</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Verified useful outputs that survive review/replay.</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Higher discovery rank, trusted contributor status.</w:t>
            </w:r>
          </w:p>
        </w:tc>
        <w:tc>
          <w:tcPr>
            <w:tcW w:type="dxa" w:w="18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Outcome-weighted; reverses when evidence is invalidated.</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Research Reputation</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Experiments that reduce uncertainty or disprove bad ideas.</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Research badges, featured methodologies.</w:t>
            </w:r>
          </w:p>
        </w:tc>
        <w:tc>
          <w:tcPr>
            <w:tcW w:type="dxa" w:w="18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Negative results can score well; novelty alone does not.</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Blueprint Quality</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Reusable Cells with strong evals and low failure rates.</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Featured blueprint status, collaboration invitations.</w:t>
            </w:r>
          </w:p>
        </w:tc>
        <w:tc>
          <w:tcPr>
            <w:tcW w:type="dxa" w:w="18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Version-pinned evals and provenance.</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Compute Credits</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Useful community contributions or organization grants.</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Optional non-cash simulation/runtime quota.</w:t>
            </w:r>
          </w:p>
        </w:tc>
        <w:tc>
          <w:tcPr>
            <w:tcW w:type="dxa" w:w="18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Rate limits and verified contribution rules.</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Achievements</w:t>
            </w:r>
          </w:p>
        </w:tc>
        <w:tc>
          <w:tcPr>
            <w:tcW w:type="dxa" w:w="34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Milestones such as first certified Cell, successful shadow promotion, knowledge curator.</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Cosmetic/avatar/world status and learning progression.</w:t>
            </w:r>
          </w:p>
        </w:tc>
        <w:tc>
          <w:tcPr>
            <w:tcW w:type="dxa" w:w="18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No random-reward mechanics.</w:t>
            </w:r>
          </w:p>
        </w:tc>
      </w:tr>
    </w:tbl>
    <w:p>
      <w:pPr>
        <w:pStyle w:val="SmallNote"/>
      </w:pPr>
    </w:p>
    <w:tbl>
      <w:tblPr>
        <w:tblW w:type="auto" w:w="0"/>
        <w:jc w:val="center"/>
        <w:tblLook w:firstColumn="1" w:firstRow="1" w:lastColumn="0" w:lastRow="0" w:noHBand="0" w:noVBand="1" w:val="04A0"/>
      </w:tblPr>
      <w:tblGrid>
        <w:gridCol w:w="10166"/>
      </w:tblGrid>
      <w:tr>
        <w:tc>
          <w:tcPr>
            <w:tcW w:type="dxa" w:w="10166"/>
            <w:shd w:fill="EAF1F8"/>
            <w:tcBorders>
              <w:top w:val="single" w:sz="10" w:space="0" w:color="356A9A"/>
              <w:left w:val="single" w:sz="10" w:space="0" w:color="356A9A"/>
              <w:bottom w:val="single" w:sz="10" w:space="0" w:color="356A9A"/>
              <w:right w:val="single" w:sz="10" w:space="0" w:color="356A9A"/>
              <w:insideH w:val="single" w:sz="10" w:space="0" w:color="356A9A"/>
              <w:insideV w:val="single" w:sz="10" w:space="0" w:color="356A9A"/>
            </w:tcBorders>
            <w:tcMar>
              <w:top w:w="100" w:type="dxa"/>
              <w:start w:w="130" w:type="dxa"/>
              <w:bottom w:w="100" w:type="dxa"/>
              <w:end w:w="130" w:type="dxa"/>
            </w:tcMar>
          </w:tcPr>
          <w:p>
            <w:pPr>
              <w:pStyle w:val="Callout"/>
            </w:pPr>
            <w:r>
              <w:t>Design rule: no loot-box/randomized reward loops and no optimization for time-spent. Rewards should correspond to verifiable learning, quality, reliability, collaboration or reusable assets.</w:t>
            </w:r>
          </w:p>
        </w:tc>
      </w:tr>
    </w:tbl>
    <w:p>
      <w:pPr>
        <w:pStyle w:val="SmallNote"/>
      </w:pPr>
    </w:p>
    <w:p>
      <w:pPr>
        <w:pStyle w:val="Heading1"/>
      </w:pPr>
      <w:r>
        <w:t>5. CELL Mesh — Federation of CELL OS Nodes</w:t>
      </w:r>
    </w:p>
    <w:p>
      <w:pPr>
        <w:jc w:val="center"/>
      </w:pPr>
      <w:r>
        <w:drawing>
          <wp:inline xmlns:a="http://schemas.openxmlformats.org/drawingml/2006/main" xmlns:pic="http://schemas.openxmlformats.org/drawingml/2006/picture">
            <wp:extent cx="5989320" cy="2874231"/>
            <wp:docPr id="4" name="Picture 4"/>
            <wp:cNvGraphicFramePr>
              <a:graphicFrameLocks noChangeAspect="1"/>
            </wp:cNvGraphicFramePr>
            <a:graphic>
              <a:graphicData uri="http://schemas.openxmlformats.org/drawingml/2006/picture">
                <pic:pic>
                  <pic:nvPicPr>
                    <pic:cNvPr id="0" name="mesh.png"/>
                    <pic:cNvPicPr/>
                  </pic:nvPicPr>
                  <pic:blipFill>
                    <a:blip r:embed="rId13"/>
                    <a:stretch>
                      <a:fillRect/>
                    </a:stretch>
                  </pic:blipFill>
                  <pic:spPr>
                    <a:xfrm>
                      <a:off x="0" y="0"/>
                      <a:ext cx="5989320" cy="2874231"/>
                    </a:xfrm>
                    <a:prstGeom prst="rect"/>
                  </pic:spPr>
                </pic:pic>
              </a:graphicData>
            </a:graphic>
          </wp:inline>
        </w:drawing>
      </w:r>
    </w:p>
    <w:p>
      <w:pPr>
        <w:pStyle w:val="SmallNote"/>
        <w:jc w:val="center"/>
      </w:pPr>
      <w:r>
        <w:rPr>
          <w:i/>
        </w:rPr>
        <w:t>Figure 4 — CELL Mesh is an optional federation fabric joining independent trust domains while preserving local ownership of data and runtime authority.</w:t>
      </w:r>
    </w:p>
    <w:p>
      <w:r>
        <w:t>The CELL Mesh concept makes sense if it is treated as a federation layer, not a requirement that every Cell execute in a peer-to-peer network. A CELL Node remains an independently operable CELL OS installation and trust boundary. Mesh membership adds discovery, secure messaging, federated knowledge queries, resource exchange and cross-node observability.</w:t>
      </w:r>
    </w:p>
    <w:p>
      <w:pPr>
        <w:pStyle w:val="Heading2"/>
      </w:pPr>
      <w:r>
        <w:t>Why a mesh is useful</w:t>
      </w:r>
    </w:p>
    <w:p>
      <w:pPr>
        <w:pStyle w:val="ListBullet"/>
        <w:spacing w:after="40"/>
      </w:pPr>
      <w:r>
        <w:rPr>
          <w:b/>
        </w:rPr>
        <w:t xml:space="preserve">Federated knowledge — </w:t>
      </w:r>
      <w:r>
        <w:t>a query can discover relevant knowledge held by another node without permanently centralizing the full corpus.</w:t>
      </w:r>
    </w:p>
    <w:p>
      <w:pPr>
        <w:pStyle w:val="ListBullet"/>
        <w:spacing w:after="40"/>
      </w:pPr>
      <w:r>
        <w:rPr>
          <w:b/>
        </w:rPr>
        <w:t xml:space="preserve">Resource discovery — </w:t>
      </w:r>
      <w:r>
        <w:t>nodes can advertise compute, models, specialist Cells, tools, datasets or eval environments that other authorized nodes may request.</w:t>
      </w:r>
    </w:p>
    <w:p>
      <w:pPr>
        <w:pStyle w:val="ListBullet"/>
        <w:spacing w:after="40"/>
      </w:pPr>
      <w:r>
        <w:rPr>
          <w:b/>
        </w:rPr>
        <w:t xml:space="preserve">Cognitive locality — </w:t>
      </w:r>
      <w:r>
        <w:t>the scheduler can move work toward context instead of repeatedly shipping large context to generic workers.</w:t>
      </w:r>
    </w:p>
    <w:p>
      <w:pPr>
        <w:pStyle w:val="ListBullet"/>
        <w:spacing w:after="40"/>
      </w:pPr>
      <w:r>
        <w:rPr>
          <w:b/>
        </w:rPr>
        <w:t xml:space="preserve">Resilience — </w:t>
      </w:r>
      <w:r>
        <w:t>critical knowledge/artifacts can have policy-controlled replicas and alternate providers.</w:t>
      </w:r>
    </w:p>
    <w:p>
      <w:pPr>
        <w:pStyle w:val="ListBullet"/>
        <w:spacing w:after="40"/>
      </w:pPr>
      <w:r>
        <w:rPr>
          <w:b/>
        </w:rPr>
        <w:t xml:space="preserve">Cross-organization learning — </w:t>
      </w:r>
      <w:r>
        <w:t>validated research, failure signatures and blueprints can be shared at the level allowed by each organization.</w:t>
      </w:r>
    </w:p>
    <w:p>
      <w:pPr>
        <w:pStyle w:val="ListBullet"/>
        <w:spacing w:after="40"/>
      </w:pPr>
      <w:r>
        <w:rPr>
          <w:b/>
        </w:rPr>
        <w:t xml:space="preserve">Social/network effects — </w:t>
      </w:r>
      <w:r>
        <w:t>public Cells, challenges and collaborations become discoverable objects instead of copied prompts.</w:t>
      </w:r>
    </w:p>
    <w:p>
      <w:pPr>
        <w:pStyle w:val="Heading2"/>
      </w:pPr>
      <w:r>
        <w:t>CELL Mesh control and data planes</w:t>
      </w:r>
    </w:p>
    <w:tbl>
      <w:tblPr>
        <w:tblW w:type="auto" w:w="0"/>
        <w:jc w:val="center"/>
        <w:tblLayout w:type="fixed"/>
        <w:tblLook w:firstColumn="1" w:firstRow="1" w:lastColumn="0" w:lastRow="0" w:noHBand="0" w:noVBand="1" w:val="04A0"/>
      </w:tblPr>
      <w:tblGrid>
        <w:gridCol w:w="3389"/>
        <w:gridCol w:w="3389"/>
        <w:gridCol w:w="3389"/>
      </w:tblGrid>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Plane</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Components</w:t>
            </w:r>
          </w:p>
        </w:tc>
        <w:tc>
          <w:tcPr>
            <w:tcW w:type="dxa" w:w="417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Responsibility</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Mesh Control Plane</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Identity federation, trust roots, policy distribution, capability directory, schema/version negotiation.</w:t>
            </w:r>
          </w:p>
        </w:tc>
        <w:tc>
          <w:tcPr>
            <w:tcW w:type="dxa" w:w="417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Who is in the mesh, what is allowed, and how peers discover compatible capabilities.</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Mesh Data Plane</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Federated CellBus, artifact transfer, knowledge query, capability invocation, telemetry.</w:t>
            </w:r>
          </w:p>
        </w:tc>
        <w:tc>
          <w:tcPr>
            <w:tcW w:type="dxa" w:w="417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Actual cross-node data and work exchange.</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Epistemic Plane</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Knowledge advertisements, graph summaries, vector centroids/index summaries, provenance/trust signals.</w:t>
            </w:r>
          </w:p>
        </w:tc>
        <w:tc>
          <w:tcPr>
            <w:tcW w:type="dxa" w:w="417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Route knowledge requests to likely authoritative nodes before retrieving expensive payloads.</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Resource Plane</w:t>
            </w:r>
          </w:p>
        </w:tc>
        <w:tc>
          <w:tcPr>
            <w:tcW w:type="dxa" w:w="43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Compute/model/tool availability, quotas, leases, load and locality signals.</w:t>
            </w:r>
          </w:p>
        </w:tc>
        <w:tc>
          <w:tcPr>
            <w:tcW w:type="dxa" w:w="417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Allow topology-aware scheduling and controlled resource borrowing.</w:t>
            </w:r>
          </w:p>
        </w:tc>
      </w:tr>
    </w:tbl>
    <w:p>
      <w:pPr>
        <w:pStyle w:val="SmallNote"/>
      </w:pPr>
    </w:p>
    <w:p>
      <w:pPr>
        <w:pStyle w:val="Heading2"/>
      </w:pPr>
      <w:r>
        <w:t>Proposed mesh storage/retrieval architecture</w:t>
      </w:r>
    </w:p>
    <w:p>
      <w:r>
        <w:t>Do not create one giant distributed knowledge graph. Keep canonical evidence inside its owner node, then expose cryptographically addressable artifacts plus federated indexes and query interfaces. This preserves local control while enabling global discovery.</w:t>
      </w:r>
    </w:p>
    <w:tbl>
      <w:tblPr>
        <w:tblW w:type="auto" w:w="0"/>
        <w:jc w:val="center"/>
        <w:tblLayout w:type="fixed"/>
        <w:tblLook w:firstColumn="1" w:firstRow="1" w:lastColumn="0" w:lastRow="0" w:noHBand="0" w:noVBand="1" w:val="04A0"/>
      </w:tblPr>
      <w:tblGrid>
        <w:gridCol w:w="3389"/>
        <w:gridCol w:w="3389"/>
        <w:gridCol w:w="3389"/>
      </w:tblGrid>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Mechanism</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CELL Mesh use</w:t>
            </w:r>
          </w:p>
        </w:tc>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Maturity</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Content-addressed artifacts</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Hash-addressed immutable artifacts allow deduplication, integrity verification and optional replicas.</w:t>
            </w:r>
          </w:p>
        </w:tc>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NEAR</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Distributed capability directory / DHT-like routing</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Map capability or artifact identifiers to nodes that can provide them.</w:t>
            </w:r>
          </w:p>
        </w:tc>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FRONTIER/NEAR</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Gossip health/membership</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Spread node availability, health and selected index updates without central broadcast.</w:t>
            </w:r>
          </w:p>
        </w:tc>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NEAR</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CRDT/local-first metadata</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Merge collaborative metadata/annotations across temporarily disconnected nodes.</w:t>
            </w:r>
          </w:p>
        </w:tc>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NEAR</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Federated graph query</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Query multiple knowledge endpoints while leaving source data under node control.</w:t>
            </w:r>
          </w:p>
        </w:tc>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NEAR</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Federated vector routing</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Search small node-level semantic summaries first, then query the most promising local indexes.</w:t>
            </w:r>
          </w:p>
        </w:tc>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FRONTIER</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Cognitive CDN</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Cache frequently used, policy-safe knowledge/artifacts close to Cells that repeatedly need them.</w:t>
            </w:r>
          </w:p>
        </w:tc>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FRONTIER</w:t>
            </w:r>
          </w:p>
        </w:tc>
      </w:tr>
    </w:tbl>
    <w:p>
      <w:pPr>
        <w:pStyle w:val="SmallNote"/>
      </w:pPr>
    </w:p>
    <w:p>
      <w:pPr>
        <w:pStyle w:val="Heading2"/>
      </w:pPr>
      <w:r>
        <w:t>New mesh-native concepts worth researching</w:t>
      </w:r>
    </w:p>
    <w:tbl>
      <w:tblPr>
        <w:tblW w:type="auto" w:w="0"/>
        <w:jc w:val="center"/>
        <w:tblLayout w:type="fixed"/>
        <w:tblLook w:firstColumn="1" w:firstRow="1" w:lastColumn="0" w:lastRow="0" w:noHBand="0" w:noVBand="1" w:val="04A0"/>
      </w:tblPr>
      <w:tblGrid>
        <w:gridCol w:w="3389"/>
        <w:gridCol w:w="3389"/>
        <w:gridCol w:w="3389"/>
      </w:tblGrid>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Concept</w:t>
            </w:r>
          </w:p>
        </w:tc>
        <w:tc>
          <w:tcPr>
            <w:tcW w:type="dxa" w:w="51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Definition</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Potential advantage</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Epistemic Routing Table</w:t>
            </w:r>
          </w:p>
        </w:tc>
        <w:tc>
          <w:tcPr>
            <w:tcW w:type="dxa" w:w="51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A per-node summary of which peers are likely authoritative for specific domains, entities, mission classes or evidence types.</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Fast knowledge routing before full retrieval.</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Context Proximity Index</w:t>
            </w:r>
          </w:p>
        </w:tc>
        <w:tc>
          <w:tcPr>
            <w:tcW w:type="dxa" w:w="51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Score combining semantic relevance, network distance, trust, freshness and retrieval cost.</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Scheduler chooses “closest useful knowledge,” not merely nearest compute.</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Knowledge Advertisement</w:t>
            </w:r>
          </w:p>
        </w:tc>
        <w:tc>
          <w:tcPr>
            <w:tcW w:type="dxa" w:w="51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Signed lightweight statement that a node possesses evidence/capability without exposing the underlying private content.</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Private discovery and demand-driven retrieval.</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Capability Lease</w:t>
            </w:r>
          </w:p>
        </w:tc>
        <w:tc>
          <w:tcPr>
            <w:tcW w:type="dxa" w:w="51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Scoped time-limited handle granting another node permission to invoke a Cell/tool/resource.</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Safe cross-organization resource sharing.</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Mesh Synapse</w:t>
            </w:r>
          </w:p>
        </w:tc>
        <w:tc>
          <w:tcPr>
            <w:tcW w:type="dxa" w:w="51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Policy-controlled recurring pathway between two Cells/nodes that repeatedly exchange useful context.</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Learns efficient organizational communication routes.</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Context Relay Cell</w:t>
            </w:r>
          </w:p>
        </w:tc>
        <w:tc>
          <w:tcPr>
            <w:tcW w:type="dxa" w:w="51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Specialized Cell that translates/redacts/compresses context across trust domains.</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Interoperability without raw data leakage.</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Federated Shadow Arena</w:t>
            </w:r>
          </w:p>
        </w:tc>
        <w:tc>
          <w:tcPr>
            <w:tcW w:type="dxa" w:w="511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Multiple nodes evaluate the same Cell Image/benchmark locally and share signed result summaries.</w:t>
            </w:r>
          </w:p>
        </w:tc>
        <w:tc>
          <w:tcPr>
            <w:tcW w:type="dxa" w:w="26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Diverse evaluation without centralizing private datasets.</w:t>
            </w:r>
          </w:p>
        </w:tc>
      </w:tr>
    </w:tbl>
    <w:p>
      <w:pPr>
        <w:pStyle w:val="SmallNote"/>
      </w:pPr>
    </w:p>
    <w:p>
      <w:pPr>
        <w:pStyle w:val="Heading2"/>
      </w:pPr>
      <w:r>
        <w:t>Mesh consistency philosophy</w:t>
      </w:r>
    </w:p>
    <w:p>
      <w:pPr>
        <w:pStyle w:val="ListBullet"/>
        <w:spacing w:after="40"/>
      </w:pPr>
      <w:r>
        <w:t>Identity, policy, financial/privileged authority and certification state require strong consistency or explicit authority ownership.</w:t>
      </w:r>
    </w:p>
    <w:p>
      <w:pPr>
        <w:pStyle w:val="ListBullet"/>
        <w:spacing w:after="40"/>
      </w:pPr>
      <w:r>
        <w:t>Presence, availability, caches, research advertisements and non-critical reputation can be eventually consistent.</w:t>
      </w:r>
    </w:p>
    <w:p>
      <w:pPr>
        <w:pStyle w:val="ListBullet"/>
        <w:spacing w:after="40"/>
      </w:pPr>
      <w:r>
        <w:t>Knowledge claims retain provenance and timestamps rather than being merged into one “truth” record.</w:t>
      </w:r>
    </w:p>
    <w:p>
      <w:pPr>
        <w:pStyle w:val="ListBullet"/>
        <w:spacing w:after="40"/>
      </w:pPr>
      <w:r>
        <w:t>Conflicts should be represented as conflicts; CRDT-style merge is for collaborative state, not for deciding which scientific/operational claim is true.</w:t>
      </w:r>
    </w:p>
    <w:p>
      <w:r>
        <w:br w:type="page"/>
      </w:r>
    </w:p>
    <w:p>
      <w:pPr>
        <w:pStyle w:val="Heading1"/>
      </w:pPr>
      <w:r>
        <w:t>6. HyperMESH Memory &amp; Context Architecture</w:t>
      </w:r>
    </w:p>
    <w:p>
      <w:pPr>
        <w:jc w:val="center"/>
      </w:pPr>
      <w:r>
        <w:drawing>
          <wp:inline xmlns:a="http://schemas.openxmlformats.org/drawingml/2006/main" xmlns:pic="http://schemas.openxmlformats.org/drawingml/2006/picture">
            <wp:extent cx="5715000" cy="1025449"/>
            <wp:docPr id="5" name="Picture 5"/>
            <wp:cNvGraphicFramePr>
              <a:graphicFrameLocks noChangeAspect="1"/>
            </wp:cNvGraphicFramePr>
            <a:graphic>
              <a:graphicData uri="http://schemas.openxmlformats.org/drawingml/2006/picture">
                <pic:pic>
                  <pic:nvPicPr>
                    <pic:cNvPr id="0" name="memory.png"/>
                    <pic:cNvPicPr/>
                  </pic:nvPicPr>
                  <pic:blipFill>
                    <a:blip r:embed="rId14"/>
                    <a:stretch>
                      <a:fillRect/>
                    </a:stretch>
                  </pic:blipFill>
                  <pic:spPr>
                    <a:xfrm>
                      <a:off x="0" y="0"/>
                      <a:ext cx="5715000" cy="1025449"/>
                    </a:xfrm>
                    <a:prstGeom prst="rect"/>
                  </pic:spPr>
                </pic:pic>
              </a:graphicData>
            </a:graphic>
          </wp:inline>
        </w:drawing>
      </w:r>
    </w:p>
    <w:p>
      <w:pPr>
        <w:pStyle w:val="SmallNote"/>
        <w:jc w:val="center"/>
      </w:pPr>
      <w:r>
        <w:rPr>
          <w:i/>
        </w:rPr>
        <w:t>Figure 5 — Hybrid memory: one evidence/history substrate exposed through multiple optimized projections and a Context Virtual Memory layer.</w:t>
      </w:r>
    </w:p>
    <w:p>
      <w:r>
        <w:t>HyperMESH should be hybrid. No single storage technology is optimal for episodes, claims, metrics, artifacts, relationships and semantic similarity. The architectural rule is “write authoritative evidence once; project it into multiple query-optimized representations.”</w:t>
      </w:r>
    </w:p>
    <w:tbl>
      <w:tblPr>
        <w:tblW w:type="auto" w:w="0"/>
        <w:jc w:val="center"/>
        <w:tblLayout w:type="fixed"/>
        <w:tblLook w:firstColumn="1" w:firstRow="1" w:lastColumn="0" w:lastRow="0" w:noHBand="0" w:noVBand="1" w:val="04A0"/>
      </w:tblPr>
      <w:tblGrid>
        <w:gridCol w:w="3389"/>
        <w:gridCol w:w="3389"/>
        <w:gridCol w:w="3389"/>
      </w:tblGrid>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Layer</w:t>
            </w:r>
          </w:p>
        </w:tc>
        <w:tc>
          <w:tcPr>
            <w:tcW w:type="dxa" w:w="48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Canonical responsibility</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Likely representation</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Working memory</w:t>
            </w:r>
          </w:p>
        </w:tc>
        <w:tc>
          <w:tcPr>
            <w:tcW w:type="dxa" w:w="48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Temporary Operative reasoning state.</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In-memory / short TTL state.</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Mission memory</w:t>
            </w:r>
          </w:p>
        </w:tc>
        <w:tc>
          <w:tcPr>
            <w:tcW w:type="dxa" w:w="48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Live shared state, dependencies, claims, evidence and decisions.</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Mission hypergraph + structured state.</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Episodic memory</w:t>
            </w:r>
          </w:p>
        </w:tc>
        <w:tc>
          <w:tcPr>
            <w:tcW w:type="dxa" w:w="48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What happened in prior missions.</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Event/evidence store + semantic/vector indexes.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Semantic memory</w:t>
            </w:r>
          </w:p>
        </w:tc>
        <w:tc>
          <w:tcPr>
            <w:tcW w:type="dxa" w:w="48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Validated claims and relations with provenance and temporal validity.</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Temporal knowledge graph.</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Procedural memory</w:t>
            </w:r>
          </w:p>
        </w:tc>
        <w:tc>
          <w:tcPr>
            <w:tcW w:type="dxa" w:w="48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How-to knowledge, skills and repeatable procedures.</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Versioned artifacts / skills / deterministic tools.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Relationship/capability memory</w:t>
            </w:r>
          </w:p>
        </w:tc>
        <w:tc>
          <w:tcPr>
            <w:tcW w:type="dxa" w:w="48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Who works well together and what can perform which task.</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Graph projections + registries.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Artifacts</w:t>
            </w:r>
          </w:p>
        </w:tc>
        <w:tc>
          <w:tcPr>
            <w:tcW w:type="dxa" w:w="48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Source files, reports, code, images, datasets and receipts.</w:t>
            </w:r>
          </w:p>
        </w:tc>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Immutable object/content-addressed storage.</w:t>
            </w:r>
          </w:p>
        </w:tc>
      </w:tr>
    </w:tbl>
    <w:p>
      <w:pPr>
        <w:pStyle w:val="SmallNote"/>
      </w:pPr>
    </w:p>
    <w:p>
      <w:pPr>
        <w:pStyle w:val="Heading2"/>
      </w:pPr>
      <w:r>
        <w:t>Context Virtual Memory</w:t>
      </w:r>
    </w:p>
    <w:p>
      <w:r>
        <w:t>The Context MMU provides each Operative a logical address space larger than an LLM context window. It authorizes, ranks, retrieves, compresses and maps only the context pages needed for the current reasoning step. A “context fault” occurs when required knowledge is missing and triggers controlled retrieval rather than forcing the Operative to guess.</w:t>
      </w:r>
    </w:p>
    <w:p>
      <w:pPr>
        <w:pStyle w:val="ListBullet"/>
        <w:spacing w:after="40"/>
      </w:pPr>
      <w:r>
        <w:t>Retrieval signals: mission dependency, semantic similarity, graph proximity, provenance, freshness, contradiction, teammate locality, cost and trust.</w:t>
      </w:r>
    </w:p>
    <w:p>
      <w:pPr>
        <w:pStyle w:val="ListBullet"/>
        <w:spacing w:after="40"/>
      </w:pPr>
      <w:r>
        <w:t>Promotion pipeline: raw observation → episode → candidate claim → verified knowledge → procedure/doctrine.</w:t>
      </w:r>
    </w:p>
    <w:p>
      <w:pPr>
        <w:pStyle w:val="ListBullet"/>
        <w:spacing w:after="40"/>
      </w:pPr>
      <w:r>
        <w:t>Knowledge invalidation: superseded claims can trigger context refresh for Cells that currently cache them.</w:t>
      </w:r>
    </w:p>
    <w:p>
      <w:pPr>
        <w:pStyle w:val="ListBullet"/>
        <w:spacing w:after="40"/>
      </w:pPr>
      <w:r>
        <w:t>Memory architecture itself can be part of a Cell Genome and optimized in the Evolution Chamber.</w:t>
      </w:r>
    </w:p>
    <w:p>
      <w:r>
        <w:br w:type="page"/>
      </w:r>
    </w:p>
    <w:p>
      <w:pPr>
        <w:pStyle w:val="Heading1"/>
      </w:pPr>
      <w:r>
        <w:t>7. Cognitive Architecture: SIHRE-Derived Governance</w:t>
      </w:r>
    </w:p>
    <w:p>
      <w:r>
        <w:t>CELL OS should separate “what may execute” from “how intelligence is allocated.” The deterministic Kernel owns permissions and side effects; a Cognitive Governor / Epistemic Scheduler chooses which reasoning mechanisms deserve attention based on mission state, contextual reliability, uncertainty, disagreement, expected information gain, cost and latency.</w:t>
      </w:r>
    </w:p>
    <w:tbl>
      <w:tblPr>
        <w:tblW w:type="auto" w:w="0"/>
        <w:jc w:val="center"/>
        <w:tblLayout w:type="fixed"/>
        <w:tblLook w:firstColumn="1" w:firstRow="1" w:lastColumn="0" w:lastRow="0" w:noHBand="0" w:noVBand="1" w:val="04A0"/>
      </w:tblPr>
      <w:tblGrid>
        <w:gridCol w:w="5083"/>
        <w:gridCol w:w="5083"/>
      </w:tblGrid>
      <w:tr>
        <w:tc>
          <w:tcPr>
            <w:tcW w:type="dxa" w:w="29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Component</w:t>
            </w:r>
          </w:p>
        </w:tc>
        <w:tc>
          <w:tcPr>
            <w:tcW w:type="dxa" w:w="67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Role</w:t>
            </w:r>
          </w:p>
        </w:tc>
      </w:tr>
      <w:tr>
        <w:tc>
          <w:tcPr>
            <w:tcW w:type="dxa" w:w="29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Cognitive Governor</w:t>
            </w:r>
          </w:p>
        </w:tc>
        <w:tc>
          <w:tcPr>
            <w:tcW w:type="dxa" w:w="67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Meta-controller for reasoning path selection; never overrides Kernel policy.</w:t>
            </w:r>
          </w:p>
        </w:tc>
      </w:tr>
      <w:tr>
        <w:tc>
          <w:tcPr>
            <w:tcW w:type="dxa" w:w="29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Epistemic Scheduler</w:t>
            </w:r>
          </w:p>
        </w:tc>
        <w:tc>
          <w:tcPr>
            <w:tcW w:type="dxa" w:w="67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Routes a problem to retrieval, an Operative, a specialist Cell, a solver, simulation or human review.</w:t>
            </w:r>
          </w:p>
        </w:tc>
      </w:tr>
      <w:tr>
        <w:tc>
          <w:tcPr>
            <w:tcW w:type="dxa" w:w="29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Reasoning IR</w:t>
            </w:r>
          </w:p>
        </w:tc>
        <w:tc>
          <w:tcPr>
            <w:tcW w:type="dxa" w:w="67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Typed claims, evidence, confidence/uncertainty, contradictions, requested checks, provenance and proposed action.</w:t>
            </w:r>
          </w:p>
        </w:tc>
      </w:tr>
      <w:tr>
        <w:tc>
          <w:tcPr>
            <w:tcW w:type="dxa" w:w="29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Contextual Trust Model</w:t>
            </w:r>
          </w:p>
        </w:tc>
        <w:tc>
          <w:tcPr>
            <w:tcW w:type="dxa" w:w="67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Tracks competence by mission type/regime/context instead of one global agent score.</w:t>
            </w:r>
          </w:p>
        </w:tc>
      </w:tr>
      <w:tr>
        <w:tc>
          <w:tcPr>
            <w:tcW w:type="dxa" w:w="29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Uncertainty-Driven Cognitive Scaling</w:t>
            </w:r>
          </w:p>
        </w:tc>
        <w:tc>
          <w:tcPr>
            <w:tcW w:type="dxa" w:w="67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Escalates cheap → richer cognition only when uncertainty/risk warrants it.</w:t>
            </w:r>
          </w:p>
        </w:tc>
      </w:tr>
      <w:tr>
        <w:tc>
          <w:tcPr>
            <w:tcW w:type="dxa" w:w="29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Disagreement Controller</w:t>
            </w:r>
          </w:p>
        </w:tc>
        <w:tc>
          <w:tcPr>
            <w:tcW w:type="dxa" w:w="67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Treats high-quality disagreement as a trigger for targeted verification rather than blind voting.</w:t>
            </w:r>
          </w:p>
        </w:tc>
      </w:tr>
    </w:tbl>
    <w:p>
      <w:pPr>
        <w:pStyle w:val="SmallNote"/>
      </w:pPr>
    </w:p>
    <w:p>
      <w:pPr>
        <w:pStyle w:val="Heading2"/>
      </w:pPr>
      <w:r>
        <w:t>Hot / Warm / Cold cognitive paths</w:t>
      </w:r>
    </w:p>
    <w:tbl>
      <w:tblPr>
        <w:tblW w:type="auto" w:w="0"/>
        <w:jc w:val="center"/>
        <w:tblLayout w:type="fixed"/>
        <w:tblLook w:firstColumn="1" w:firstRow="1" w:lastColumn="0" w:lastRow="0" w:noHBand="0" w:noVBand="1" w:val="04A0"/>
      </w:tblPr>
      <w:tblGrid>
        <w:gridCol w:w="3389"/>
        <w:gridCol w:w="3389"/>
        <w:gridCol w:w="3389"/>
      </w:tblGrid>
      <w:tr>
        <w:tc>
          <w:tcPr>
            <w:tcW w:type="dxa" w:w="12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Path</w:t>
            </w:r>
          </w:p>
        </w:tc>
        <w:tc>
          <w:tcPr>
            <w:tcW w:type="dxa" w:w="44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Typical work</w:t>
            </w:r>
          </w:p>
        </w:tc>
        <w:tc>
          <w:tcPr>
            <w:tcW w:type="dxa" w:w="40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Examples</w:t>
            </w:r>
          </w:p>
        </w:tc>
      </w:tr>
      <w:tr>
        <w:tc>
          <w:tcPr>
            <w:tcW w:type="dxa" w:w="12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HOT</w:t>
            </w:r>
          </w:p>
        </w:tc>
        <w:tc>
          <w:tcPr>
            <w:tcW w:type="dxa" w:w="44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Cheap deterministic and cached operations.</w:t>
            </w:r>
          </w:p>
        </w:tc>
        <w:tc>
          <w:tcPr>
            <w:tcW w:type="dxa" w:w="40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Schema checks, policy, known lookups, health tests, routine transformations.</w:t>
            </w:r>
          </w:p>
        </w:tc>
      </w:tr>
      <w:tr>
        <w:tc>
          <w:tcPr>
            <w:tcW w:type="dxa" w:w="12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WARM</w:t>
            </w:r>
          </w:p>
        </w:tc>
        <w:tc>
          <w:tcPr>
            <w:tcW w:type="dxa" w:w="44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Moderate reasoning and targeted retrieval.</w:t>
            </w:r>
          </w:p>
        </w:tc>
        <w:tc>
          <w:tcPr>
            <w:tcW w:type="dxa" w:w="40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LLM synthesis, graph traversal, specialist diagnosis, brief research.</w:t>
            </w:r>
          </w:p>
        </w:tc>
      </w:tr>
      <w:tr>
        <w:tc>
          <w:tcPr>
            <w:tcW w:type="dxa" w:w="12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COLD</w:t>
            </w:r>
          </w:p>
        </w:tc>
        <w:tc>
          <w:tcPr>
            <w:tcW w:type="dxa" w:w="446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High-cost uncertainty reduction.</w:t>
            </w:r>
          </w:p>
        </w:tc>
        <w:tc>
          <w:tcPr>
            <w:tcW w:type="dxa" w:w="40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Deep research, adversarial challenge, synthetic scenarios, multiple shadows, human review.</w:t>
            </w:r>
          </w:p>
        </w:tc>
      </w:tr>
    </w:tbl>
    <w:p>
      <w:pPr>
        <w:pStyle w:val="SmallNote"/>
      </w:pPr>
    </w:p>
    <w:p>
      <w:r>
        <w:br w:type="page"/>
      </w:r>
    </w:p>
    <w:p>
      <w:pPr>
        <w:pStyle w:val="Heading1"/>
      </w:pPr>
      <w:r>
        <w:t>8. CELL Kernel &amp; Runtime Architecture</w:t>
      </w:r>
    </w:p>
    <w:tbl>
      <w:tblPr>
        <w:tblW w:type="auto" w:w="0"/>
        <w:jc w:val="center"/>
        <w:tblLayout w:type="fixed"/>
        <w:tblLook w:firstColumn="1" w:firstRow="1" w:lastColumn="0" w:lastRow="0" w:noHBand="0" w:noVBand="1" w:val="04A0"/>
      </w:tblPr>
      <w:tblGrid>
        <w:gridCol w:w="5083"/>
        <w:gridCol w:w="5083"/>
      </w:tblGrid>
      <w:tr>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Kernel service</w:t>
            </w:r>
          </w:p>
        </w:tc>
        <w:tc>
          <w:tcPr>
            <w:tcW w:type="dxa" w:w="74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Responsibility</w:t>
            </w:r>
          </w:p>
        </w:tc>
      </w:tr>
      <w:tr>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Lifecycle Controller</w:t>
            </w:r>
          </w:p>
        </w:tc>
        <w:tc>
          <w:tcPr>
            <w:tcW w:type="dxa" w:w="74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Spawn, load, pause, resume, checkpoint, terminate and recover Cells.</w:t>
            </w:r>
          </w:p>
        </w:tc>
      </w:tr>
      <w:tr>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Mission Scheduler</w:t>
            </w:r>
          </w:p>
        </w:tc>
        <w:tc>
          <w:tcPr>
            <w:tcW w:type="dxa" w:w="74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Select runnable Cells/Operatives and allocate work according to priority/dependencies.</w:t>
            </w:r>
          </w:p>
        </w:tc>
      </w:tr>
      <w:tr>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Resource Governor</w:t>
            </w:r>
          </w:p>
        </w:tc>
        <w:tc>
          <w:tcPr>
            <w:tcW w:type="dxa" w:w="74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Token, cost, concurrency, time, model, compute and tool-call envelopes.</w:t>
            </w:r>
          </w:p>
        </w:tc>
      </w:tr>
      <w:tr>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Policy / Admission</w:t>
            </w:r>
          </w:p>
        </w:tc>
        <w:tc>
          <w:tcPr>
            <w:tcW w:type="dxa" w:w="74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Reject Cell Images or missions that violate authority, data, risk or certification rules.</w:t>
            </w:r>
          </w:p>
        </w:tc>
      </w:tr>
      <w:tr>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Identity / Namespace</w:t>
            </w:r>
          </w:p>
        </w:tc>
        <w:tc>
          <w:tcPr>
            <w:tcW w:type="dxa" w:w="74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Strong identity for users, Cells, Operatives, organizations and federation boundaries.</w:t>
            </w:r>
          </w:p>
        </w:tc>
      </w:tr>
      <w:tr>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Capability Router</w:t>
            </w:r>
          </w:p>
        </w:tc>
        <w:tc>
          <w:tcPr>
            <w:tcW w:type="dxa" w:w="74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Kernel-mediated access to tools, APIs, models, secrets and other Cells.</w:t>
            </w:r>
          </w:p>
        </w:tc>
      </w:tr>
      <w:tr>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Cell Supervisor</w:t>
            </w:r>
          </w:p>
        </w:tc>
        <w:tc>
          <w:tcPr>
            <w:tcW w:type="dxa" w:w="74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Heartbeats, deadlock/stall detection, restart/quarantine/rollback and escalation.</w:t>
            </w:r>
          </w:p>
        </w:tc>
      </w:tr>
      <w:tr>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Evidence Hooks</w:t>
            </w:r>
          </w:p>
        </w:tc>
        <w:tc>
          <w:tcPr>
            <w:tcW w:type="dxa" w:w="74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Ensure consequential actions emit structured evidence, traces and receipts.</w:t>
            </w:r>
          </w:p>
        </w:tc>
      </w:tr>
    </w:tbl>
    <w:p>
      <w:pPr>
        <w:pStyle w:val="SmallNote"/>
      </w:pPr>
    </w:p>
    <w:p>
      <w:pPr>
        <w:pStyle w:val="Heading2"/>
      </w:pPr>
      <w:r>
        <w:t>Capability descriptors</w:t>
      </w:r>
    </w:p>
    <w:p>
      <w:r>
        <w:t>Capabilities should be granted as scoped, expiring handles rather than broad “agent has access” flags. A descriptor identifies the resource, permitted operations, context, expiration and delegation rules. Subordinate Cells may receive reduced rights but cannot expand them.</w:t>
      </w:r>
    </w:p>
    <w:p>
      <w:pPr>
        <w:pStyle w:val="Heading2"/>
      </w:pPr>
      <w:r>
        <w:t>Runtime adapters</w:t>
      </w:r>
    </w:p>
    <w:p>
      <w:pPr>
        <w:pStyle w:val="ListBullet"/>
        <w:spacing w:after="40"/>
      </w:pPr>
      <w:r>
        <w:t>Prefect or equivalent workflow runtime for deterministic/agentic DAG stages.</w:t>
      </w:r>
    </w:p>
    <w:p>
      <w:pPr>
        <w:pStyle w:val="ListBullet"/>
        <w:spacing w:after="40"/>
      </w:pPr>
      <w:r>
        <w:t>LLM runtimes for interactive and long-running reasoning.</w:t>
      </w:r>
    </w:p>
    <w:p>
      <w:pPr>
        <w:pStyle w:val="ListBullet"/>
        <w:spacing w:after="40"/>
      </w:pPr>
      <w:r>
        <w:t>Python/deterministic workers for validation, extraction, transforms and policy checks.</w:t>
      </w:r>
    </w:p>
    <w:p>
      <w:pPr>
        <w:pStyle w:val="ListBullet"/>
        <w:spacing w:after="40"/>
      </w:pPr>
      <w:r>
        <w:t>MCP/capability servers for standardized tool exposure.</w:t>
      </w:r>
    </w:p>
    <w:p>
      <w:pPr>
        <w:pStyle w:val="ListBullet"/>
        <w:spacing w:after="40"/>
      </w:pPr>
      <w:r>
        <w:t>CI/CD and repository adapters for software-development missions.</w:t>
      </w:r>
    </w:p>
    <w:p>
      <w:pPr>
        <w:pStyle w:val="ListBullet"/>
        <w:spacing w:after="40"/>
      </w:pPr>
      <w:r>
        <w:t>Future edge/local runtimes through Cognitive HAL and node adapters.</w:t>
      </w:r>
    </w:p>
    <w:p>
      <w:r>
        <w:br w:type="page"/>
      </w:r>
    </w:p>
    <w:p>
      <w:pPr>
        <w:pStyle w:val="Heading1"/>
      </w:pPr>
      <w:r>
        <w:t>9. Assurance, Replay, Shadow &amp; Evolution</w:t>
      </w:r>
    </w:p>
    <w:p>
      <w:pPr>
        <w:jc w:val="center"/>
      </w:pPr>
      <w:r>
        <w:drawing>
          <wp:inline xmlns:a="http://schemas.openxmlformats.org/drawingml/2006/main" xmlns:pic="http://schemas.openxmlformats.org/drawingml/2006/picture">
            <wp:extent cx="5989320" cy="432599"/>
            <wp:docPr id="6" name="Picture 6"/>
            <wp:cNvGraphicFramePr>
              <a:graphicFrameLocks noChangeAspect="1"/>
            </wp:cNvGraphicFramePr>
            <a:graphic>
              <a:graphicData uri="http://schemas.openxmlformats.org/drawingml/2006/picture">
                <pic:pic>
                  <pic:nvPicPr>
                    <pic:cNvPr id="0" name="evolution.png"/>
                    <pic:cNvPicPr/>
                  </pic:nvPicPr>
                  <pic:blipFill>
                    <a:blip r:embed="rId15"/>
                    <a:stretch>
                      <a:fillRect/>
                    </a:stretch>
                  </pic:blipFill>
                  <pic:spPr>
                    <a:xfrm>
                      <a:off x="0" y="0"/>
                      <a:ext cx="5989320" cy="432599"/>
                    </a:xfrm>
                    <a:prstGeom prst="rect"/>
                  </pic:spPr>
                </pic:pic>
              </a:graphicData>
            </a:graphic>
          </wp:inline>
        </w:drawing>
      </w:r>
    </w:p>
    <w:p>
      <w:pPr>
        <w:pStyle w:val="SmallNote"/>
        <w:jc w:val="center"/>
      </w:pPr>
      <w:r>
        <w:rPr>
          <w:i/>
        </w:rPr>
        <w:t>Figure 6 — Production is pinned; experimental improvements happen in replay/shadow space and require evidence before promotion.</w:t>
      </w:r>
    </w:p>
    <w:p>
      <w:pPr>
        <w:pStyle w:val="Heading2"/>
      </w:pPr>
      <w:r>
        <w:t>Mission Assurance Contract</w:t>
      </w:r>
    </w:p>
    <w:p>
      <w:r>
        <w:t>A mission succeeds only when its assertions are proven. Status alone is insufficient. Contracts define positive success evidence, regressions that must remain absent, policy conditions, freshness/traceability requirements and acceptable risk.</w:t>
      </w:r>
    </w:p>
    <w:p>
      <w:pPr>
        <w:pStyle w:val="Heading2"/>
      </w:pPr>
      <w:r>
        <w:t>Shadow Cell principles</w:t>
      </w:r>
    </w:p>
    <w:p>
      <w:pPr>
        <w:pStyle w:val="ListBullet"/>
        <w:spacing w:after="40"/>
      </w:pPr>
      <w:r>
        <w:t>Fork from a reproducible mission/environment snapshot.</w:t>
      </w:r>
    </w:p>
    <w:p>
      <w:pPr>
        <w:pStyle w:val="ListBullet"/>
        <w:spacing w:after="40"/>
      </w:pPr>
      <w:r>
        <w:t>Use copy-on-write semantics conceptually: baseline evidence/state is shared; each candidate records only differences.</w:t>
      </w:r>
    </w:p>
    <w:p>
      <w:pPr>
        <w:pStyle w:val="ListBullet"/>
        <w:spacing w:after="40"/>
      </w:pPr>
      <w:r>
        <w:t>Prevent side effects by default; shadow actions target simulators/sandboxes or are intercepted.</w:t>
      </w:r>
    </w:p>
    <w:p>
      <w:pPr>
        <w:pStyle w:val="ListBullet"/>
        <w:spacing w:after="40"/>
      </w:pPr>
      <w:r>
        <w:t>Compare multiple KPIs and preserve Pareto-optimal configurations instead of one universal score.</w:t>
      </w:r>
    </w:p>
    <w:p>
      <w:pPr>
        <w:pStyle w:val="ListBullet"/>
        <w:spacing w:after="40"/>
      </w:pPr>
      <w:r>
        <w:t>Promote a new Cell Image only after certification and explicit policy/human gates appropriate to the risk.</w:t>
      </w:r>
    </w:p>
    <w:p>
      <w:pPr>
        <w:pStyle w:val="Heading2"/>
      </w:pPr>
      <w:r>
        <w:t>AutoResearcher loop</w:t>
      </w:r>
    </w:p>
    <w:p>
      <w:pPr>
        <w:spacing w:after="40"/>
        <w:ind w:left="230" w:hanging="173"/>
      </w:pPr>
      <w:r>
        <w:rPr>
          <w:b/>
        </w:rPr>
        <w:t xml:space="preserve">1. </w:t>
      </w:r>
      <w:r>
        <w:t>Observe production/eval telemetry and identify a bottleneck, uncertainty or research opportunity.</w:t>
      </w:r>
    </w:p>
    <w:p>
      <w:pPr>
        <w:spacing w:after="40"/>
        <w:ind w:left="230" w:hanging="173"/>
      </w:pPr>
      <w:r>
        <w:rPr>
          <w:b/>
        </w:rPr>
        <w:t xml:space="preserve">2. </w:t>
      </w:r>
      <w:r>
        <w:t>Form a falsifiable hypothesis about a configuration or architecture change.</w:t>
      </w:r>
    </w:p>
    <w:p>
      <w:pPr>
        <w:spacing w:after="40"/>
        <w:ind w:left="230" w:hanging="173"/>
      </w:pPr>
      <w:r>
        <w:rPr>
          <w:b/>
        </w:rPr>
        <w:t xml:space="preserve">3. </w:t>
      </w:r>
      <w:r>
        <w:t>Design controlled mutations and choose a representative mission set.</w:t>
      </w:r>
    </w:p>
    <w:p>
      <w:pPr>
        <w:spacing w:after="40"/>
        <w:ind w:left="230" w:hanging="173"/>
      </w:pPr>
      <w:r>
        <w:rPr>
          <w:b/>
        </w:rPr>
        <w:t xml:space="preserve">4. </w:t>
      </w:r>
      <w:r>
        <w:t>Run shadow/replay experiments with fixed data and outcome evaluators.</w:t>
      </w:r>
    </w:p>
    <w:p>
      <w:pPr>
        <w:spacing w:after="40"/>
        <w:ind w:left="230" w:hanging="173"/>
      </w:pPr>
      <w:r>
        <w:rPr>
          <w:b/>
        </w:rPr>
        <w:t xml:space="preserve">5. </w:t>
      </w:r>
      <w:r>
        <w:t>Store results, including negative evidence, in HyperMESH.</w:t>
      </w:r>
    </w:p>
    <w:p>
      <w:pPr>
        <w:spacing w:after="40"/>
        <w:ind w:left="230" w:hanging="173"/>
      </w:pPr>
      <w:r>
        <w:rPr>
          <w:b/>
        </w:rPr>
        <w:t xml:space="preserve">6. </w:t>
      </w:r>
      <w:r>
        <w:t>Update the performance model and Pareto frontier.</w:t>
      </w:r>
    </w:p>
    <w:p>
      <w:pPr>
        <w:spacing w:after="40"/>
        <w:ind w:left="230" w:hanging="173"/>
      </w:pPr>
      <w:r>
        <w:rPr>
          <w:b/>
        </w:rPr>
        <w:t xml:space="preserve">7. </w:t>
      </w:r>
      <w:r>
        <w:t>Propose promotion only when the candidate meets all constraints and holdout tests.</w:t>
      </w:r>
    </w:p>
    <w:p>
      <w:r>
        <w:br w:type="page"/>
      </w:r>
    </w:p>
    <w:p>
      <w:pPr>
        <w:pStyle w:val="Heading1"/>
      </w:pPr>
      <w:r>
        <w:t>10. OS-Inspired Research Program</w:t>
      </w:r>
    </w:p>
    <w:p>
      <w:r>
        <w:t>The OS metaphor becomes valuable when mechanisms are transferred because the same structural problem exists, not because names sound similar. Each research item must identify the original problem, agentic analogue, hypothesis, prototype and measured outcome.</w:t>
      </w:r>
    </w:p>
    <w:tbl>
      <w:tblPr>
        <w:tblW w:type="auto" w:w="0"/>
        <w:jc w:val="center"/>
        <w:tblLayout w:type="fixed"/>
        <w:tblLook w:firstColumn="1" w:firstRow="1" w:lastColumn="0" w:lastRow="0" w:noHBand="0" w:noVBand="1" w:val="04A0"/>
      </w:tblPr>
      <w:tblGrid>
        <w:gridCol w:w="3389"/>
        <w:gridCol w:w="3389"/>
        <w:gridCol w:w="3389"/>
      </w:tblGrid>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OS / hardware mechanism</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CELL OS hypothesis</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Candidate primitive</w:t>
            </w:r>
          </w:p>
        </w:tc>
      </w:tr>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Virtual memory / page faults</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Operatives need a logical knowledge space larger than their prompt context.</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Context VM + Context Faults</w:t>
            </w:r>
          </w:p>
        </w:tc>
      </w:tr>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Cache coherence / invalidation</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Running Cells can act on stale knowledge after central evidence changes.</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Epistemic Coherence + Context Shootdown</w:t>
            </w:r>
          </w:p>
        </w:tc>
      </w:tr>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NUMA-aware scheduling</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Knowledge locality affects cost/latency as much as model capability.</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Cognitive Locality Scheduler</w:t>
            </w:r>
          </w:p>
        </w:tc>
      </w:tr>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Priority inheritance</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Critical missions can be blocked by low-priority dependency work.</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Mission Priority Inheritance</w:t>
            </w:r>
          </w:p>
        </w:tc>
      </w:tr>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Speculative execution</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Likely future branches can be computed safely before a decision resolves.</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Speculative Shadow Cells</w:t>
            </w:r>
          </w:p>
        </w:tc>
      </w:tr>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Copy-on-write</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Shadow simulations should share immutable baseline state cheaply.</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COW Mission Snapshots</w:t>
            </w:r>
          </w:p>
        </w:tc>
      </w:tr>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Pressure stall information</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More agents do not help when work is blocked on tools/humans/dependencies.</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Cognitive PSI</w:t>
            </w:r>
          </w:p>
        </w:tc>
      </w:tr>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RCU</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Read-mostly doctrine can evolve without destabilizing running missions.</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Epistemic RCU</w:t>
            </w:r>
          </w:p>
        </w:tc>
      </w:tr>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Seccomp/system call filters</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Agent capabilities should be kernel-filtered rather than prompt-enforced.</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Capability Filters</w:t>
            </w:r>
          </w:p>
        </w:tc>
      </w:tr>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Out-of-order execution</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Independent work can proceed while blocked dependencies wait, while commits stay ordered.</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Mission Reorder Buffer</w:t>
            </w:r>
          </w:p>
        </w:tc>
      </w:tr>
      <w:tr>
        <w:tc>
          <w:tcPr>
            <w:tcW w:type="dxa" w:w="24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Atomic transactions</w:t>
            </w:r>
          </w:p>
        </w:tc>
        <w:tc>
          <w:tcPr>
            <w:tcW w:type="dxa" w:w="50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Multiple Cells can otherwise produce half-applied organizational state.</w:t>
            </w:r>
          </w:p>
        </w:tc>
        <w:tc>
          <w:tcPr>
            <w:tcW w:type="dxa" w:w="230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Organizational Transactions</w:t>
            </w:r>
          </w:p>
        </w:tc>
      </w:tr>
    </w:tbl>
    <w:p>
      <w:pPr>
        <w:pStyle w:val="SmallNote"/>
      </w:pPr>
    </w:p>
    <w:p>
      <w:r>
        <w:br w:type="page"/>
      </w:r>
    </w:p>
    <w:p>
      <w:pPr>
        <w:pStyle w:val="Heading1"/>
      </w:pPr>
      <w:r>
        <w:t>11. Operate: Reliability, Security &amp; Self-Maintenance</w:t>
      </w:r>
    </w:p>
    <w:tbl>
      <w:tblPr>
        <w:tblW w:type="auto" w:w="0"/>
        <w:jc w:val="center"/>
        <w:tblLayout w:type="fixed"/>
        <w:tblLook w:firstColumn="1" w:firstRow="1" w:lastColumn="0" w:lastRow="0" w:noHBand="0" w:noVBand="1" w:val="04A0"/>
      </w:tblPr>
      <w:tblGrid>
        <w:gridCol w:w="5083"/>
        <w:gridCol w:w="5083"/>
      </w:tblGrid>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Operating domain</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Required controls</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Reliability</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Cell heartbeats, bounded retries, failure capsules, checkpoints, rollback, idempotency, circuit breakers and degraded modes.</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Observability</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Mission traces, Cell/Operative telemetry, capability calls, cost/latency, evidence lineage, retrieval traces and user approvals.</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Security</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Zero-trust identity, scoped capability descriptors, secret vaulting, namespace isolation, signed Cell Images and audit logs.</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Knowledge health</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Freshness monitors, contradiction detection, provenance quality, stale claim alerts, memory promotion/retraction.</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Evaluation health</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Holdout refresh, contamination checks, evaluator drift, metric gaming detection and regression suites.</w:t>
            </w:r>
          </w:p>
        </w:tc>
      </w:tr>
      <w:tr>
        <w:tc>
          <w:tcPr>
            <w:tcW w:type="dxa" w:w="20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Self-maintenance</w:t>
            </w:r>
          </w:p>
        </w:tc>
        <w:tc>
          <w:tcPr>
            <w:tcW w:type="dxa" w:w="76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Dedicated Reliability/Maintenance Cells can diagnose and propose repairs but privileged self-modification remains gated.</w:t>
            </w:r>
          </w:p>
        </w:tc>
      </w:tr>
    </w:tbl>
    <w:p>
      <w:pPr>
        <w:pStyle w:val="SmallNote"/>
      </w:pPr>
    </w:p>
    <w:p>
      <w:pPr>
        <w:pStyle w:val="Heading2"/>
      </w:pPr>
      <w:r>
        <w:t>Operating SLO examples</w:t>
      </w:r>
    </w:p>
    <w:tbl>
      <w:tblPr>
        <w:tblW w:type="auto" w:w="0"/>
        <w:jc w:val="center"/>
        <w:tblLayout w:type="fixed"/>
        <w:tblLook w:firstColumn="1" w:firstRow="1" w:lastColumn="0" w:lastRow="0" w:noHBand="0" w:noVBand="1" w:val="04A0"/>
      </w:tblPr>
      <w:tblGrid>
        <w:gridCol w:w="5083"/>
        <w:gridCol w:w="5083"/>
      </w:tblGrid>
      <w:tr>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SLO</w:t>
            </w:r>
          </w:p>
        </w:tc>
        <w:tc>
          <w:tcPr>
            <w:tcW w:type="dxa" w:w="65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Example target</w:t>
            </w:r>
          </w:p>
        </w:tc>
      </w:tr>
      <w:tr>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Kernel control-plane availability</w:t>
            </w:r>
          </w:p>
        </w:tc>
        <w:tc>
          <w:tcPr>
            <w:tcW w:type="dxa" w:w="65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 99.9% for production-ready deployment tier.</w:t>
            </w:r>
          </w:p>
        </w:tc>
      </w:tr>
      <w:tr>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Trace completeness</w:t>
            </w:r>
          </w:p>
        </w:tc>
        <w:tc>
          <w:tcPr>
            <w:tcW w:type="dxa" w:w="65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100% of privileged capability calls have identity, policy decision and evidence reference.</w:t>
            </w:r>
          </w:p>
        </w:tc>
      </w:tr>
      <w:tr>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Replayability</w:t>
            </w:r>
          </w:p>
        </w:tc>
        <w:tc>
          <w:tcPr>
            <w:tcW w:type="dxa" w:w="65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Certified missions reproduce their inputs/configuration/evidence references within defined retention policy.</w:t>
            </w:r>
          </w:p>
        </w:tc>
      </w:tr>
      <w:tr>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Knowledge freshness</w:t>
            </w:r>
          </w:p>
        </w:tc>
        <w:tc>
          <w:tcPr>
            <w:tcW w:type="dxa" w:w="65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High-criticality knowledge types have explicit freshness policies and stale-state handling.</w:t>
            </w:r>
          </w:p>
        </w:tc>
      </w:tr>
      <w:tr>
        <w:tc>
          <w:tcPr>
            <w:tcW w:type="dxa" w:w="316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Shadow containment</w:t>
            </w:r>
          </w:p>
        </w:tc>
        <w:tc>
          <w:tcPr>
            <w:tcW w:type="dxa" w:w="65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0 unintended production side effects from shadow executions.</w:t>
            </w:r>
          </w:p>
        </w:tc>
      </w:tr>
    </w:tbl>
    <w:p>
      <w:pPr>
        <w:pStyle w:val="SmallNote"/>
      </w:pPr>
    </w:p>
    <w:p>
      <w:r>
        <w:br w:type="page"/>
      </w:r>
    </w:p>
    <w:p>
      <w:pPr>
        <w:pStyle w:val="Heading1"/>
      </w:pPr>
      <w:r>
        <w:t>12. Build Plan — Recommended Sequence</w:t>
      </w:r>
    </w:p>
    <w:tbl>
      <w:tblPr>
        <w:tblW w:type="auto" w:w="0"/>
        <w:jc w:val="center"/>
        <w:tblLook w:firstColumn="1" w:firstRow="1" w:lastColumn="0" w:lastRow="0" w:noHBand="0" w:noVBand="1" w:val="04A0"/>
      </w:tblPr>
      <w:tblGrid>
        <w:gridCol w:w="10166"/>
      </w:tblGrid>
      <w:tr>
        <w:tc>
          <w:tcPr>
            <w:tcW w:type="dxa" w:w="10166"/>
            <w:shd w:fill="EAF1F8"/>
            <w:tcBorders>
              <w:top w:val="single" w:sz="10" w:space="0" w:color="356A9A"/>
              <w:left w:val="single" w:sz="10" w:space="0" w:color="356A9A"/>
              <w:bottom w:val="single" w:sz="10" w:space="0" w:color="356A9A"/>
              <w:right w:val="single" w:sz="10" w:space="0" w:color="356A9A"/>
              <w:insideH w:val="single" w:sz="10" w:space="0" w:color="356A9A"/>
              <w:insideV w:val="single" w:sz="10" w:space="0" w:color="356A9A"/>
            </w:tcBorders>
            <w:tcMar>
              <w:top w:w="100" w:type="dxa"/>
              <w:start w:w="130" w:type="dxa"/>
              <w:bottom w:w="100" w:type="dxa"/>
              <w:end w:w="130" w:type="dxa"/>
            </w:tcMar>
          </w:tcPr>
          <w:p>
            <w:pPr>
              <w:pStyle w:val="Callout"/>
            </w:pPr>
            <w:r>
              <w:t>Do not start with the mesh, avatar world or autonomous evolution. Build a narrow trusted Cell runtime first, then expand outward. The roadmap workbook shipped with this document contains the detailed task plan.</w:t>
            </w:r>
          </w:p>
        </w:tc>
      </w:tr>
    </w:tbl>
    <w:p>
      <w:pPr>
        <w:pStyle w:val="SmallNote"/>
      </w:pPr>
    </w:p>
    <w:tbl>
      <w:tblPr>
        <w:tblW w:type="auto" w:w="0"/>
        <w:jc w:val="center"/>
        <w:tblLayout w:type="fixed"/>
        <w:tblLook w:firstColumn="1" w:firstRow="1" w:lastColumn="0" w:lastRow="0" w:noHBand="0" w:noVBand="1" w:val="04A0"/>
      </w:tblPr>
      <w:tblGrid>
        <w:gridCol w:w="3389"/>
        <w:gridCol w:w="3389"/>
        <w:gridCol w:w="3389"/>
      </w:tblGrid>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Phase</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Goal</w:t>
            </w:r>
          </w:p>
        </w:tc>
        <w:tc>
          <w:tcPr>
            <w:tcW w:type="dxa" w:w="38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Exit condition</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0 — Architecture contract</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Freeze terminology, schemas and implementation truth rules.</w:t>
            </w:r>
          </w:p>
        </w:tc>
        <w:tc>
          <w:tcPr>
            <w:tcW w:type="dxa" w:w="38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Cell/Operative/Mission/Capability contracts approved; ADRs recorded.</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1 — Cell Runtime MVP</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Run one versioned Cell using existing orchestration/runtime.</w:t>
            </w:r>
          </w:p>
        </w:tc>
        <w:tc>
          <w:tcPr>
            <w:tcW w:type="dxa" w:w="38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 Cell Image can execute a mission end-to-end with evidence and budget tracking.</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2 — Mission Control + Cell Studio</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Operate and configure Cells visually.</w:t>
            </w:r>
          </w:p>
        </w:tc>
        <w:tc>
          <w:tcPr>
            <w:tcW w:type="dxa" w:w="38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Operator can inspect, version, diff, launch and stop Cells from UI.</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3 — Assurance + Replay</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Make outcomes provable/reproducible.</w:t>
            </w:r>
          </w:p>
        </w:tc>
        <w:tc>
          <w:tcPr>
            <w:tcW w:type="dxa" w:w="38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Positive success contracts, replay fixtures and assurance receipts work.</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4 — HyperMESH</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Unify episodic/semantic/procedural knowledge under one evidence model.</w:t>
            </w:r>
          </w:p>
        </w:tc>
        <w:tc>
          <w:tcPr>
            <w:tcW w:type="dxa" w:w="38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Retrieval is provenance-aware and memory promotion is governed.</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5 — Shadow/Evolution</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Compare candidate Cell Genomes safely.</w:t>
            </w:r>
          </w:p>
        </w:tc>
        <w:tc>
          <w:tcPr>
            <w:tcW w:type="dxa" w:w="38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Shadow containment proven; multi-KPI experiment harness operational.</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6 — Avatar World + Social</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Add synchronized spatial UI and evidence-based community mechanics.</w:t>
            </w:r>
          </w:p>
        </w:tc>
        <w:tc>
          <w:tcPr>
            <w:tcW w:type="dxa" w:w="38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All critical avatar actions map to audited runtime operations.</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7 — CELL Mesh Alpha</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Federate two independent CELL Nodes.</w:t>
            </w:r>
          </w:p>
        </w:tc>
        <w:tc>
          <w:tcPr>
            <w:tcW w:type="dxa" w:w="38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Identity, policy, capability discovery, knowledge query and artifact exchange work across nodes.</w:t>
            </w:r>
          </w:p>
        </w:tc>
      </w:tr>
      <w:tr>
        <w:tc>
          <w:tcPr>
            <w:tcW w:type="dxa" w:w="19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8 — Organism Layer</w:t>
            </w:r>
          </w:p>
        </w:tc>
        <w:tc>
          <w:tcPr>
            <w:tcW w:type="dxa" w:w="46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Persistent organizations allocate/restructure Cells.</w:t>
            </w:r>
          </w:p>
        </w:tc>
        <w:tc>
          <w:tcPr>
            <w:tcW w:type="dxa" w:w="38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Organism health targets and human-gated structural proposals operational.</w:t>
            </w:r>
          </w:p>
        </w:tc>
      </w:tr>
    </w:tbl>
    <w:p>
      <w:pPr>
        <w:pStyle w:val="SmallNote"/>
      </w:pPr>
    </w:p>
    <w:p>
      <w:pPr>
        <w:pStyle w:val="Heading2"/>
      </w:pPr>
      <w:r>
        <w:t>Minimum viable product boundary</w:t>
      </w:r>
    </w:p>
    <w:p>
      <w:pPr>
        <w:pStyle w:val="ListBullet"/>
        <w:spacing w:after="40"/>
      </w:pPr>
      <w:r>
        <w:t>One Cell blueprint compiler and immutable Cell Image format.</w:t>
      </w:r>
    </w:p>
    <w:p>
      <w:pPr>
        <w:pStyle w:val="ListBullet"/>
        <w:spacing w:after="40"/>
      </w:pPr>
      <w:r>
        <w:t>One production runtime adapter (reuse the current proven workflow engine).</w:t>
      </w:r>
    </w:p>
    <w:p>
      <w:pPr>
        <w:pStyle w:val="ListBullet"/>
        <w:spacing w:after="40"/>
      </w:pPr>
      <w:r>
        <w:t>Mission Control with live state, evidence, approvals and costs.</w:t>
      </w:r>
    </w:p>
    <w:p>
      <w:pPr>
        <w:pStyle w:val="ListBullet"/>
        <w:spacing w:after="40"/>
      </w:pPr>
      <w:r>
        <w:t>Capability descriptors and deterministic policy enforcement.</w:t>
      </w:r>
    </w:p>
    <w:p>
      <w:pPr>
        <w:pStyle w:val="ListBullet"/>
        <w:spacing w:after="40"/>
      </w:pPr>
      <w:r>
        <w:t>Positive mission assurance contract plus replay fixture.</w:t>
      </w:r>
    </w:p>
    <w:p>
      <w:pPr>
        <w:pStyle w:val="ListBullet"/>
        <w:spacing w:after="40"/>
      </w:pPr>
      <w:r>
        <w:t>Basic episodic memory and provenance-aware retrieval.</w:t>
      </w:r>
    </w:p>
    <w:p>
      <w:pPr>
        <w:pStyle w:val="ListBullet"/>
        <w:spacing w:after="40"/>
      </w:pPr>
      <w:r>
        <w:t>No autonomous mesh, no organizational self-rewrite, no mandatory avatar layer in MVP.</w:t>
      </w:r>
    </w:p>
    <w:p>
      <w:r>
        <w:br w:type="page"/>
      </w:r>
    </w:p>
    <w:p>
      <w:pPr>
        <w:pStyle w:val="Heading1"/>
      </w:pPr>
      <w:r>
        <w:t>13. Detailed UI / IX Flow Specification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6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Step</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Screen</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User action</w:t>
            </w:r>
          </w:p>
        </w:tc>
        <w:tc>
          <w:tcPr>
            <w:tcW w:type="dxa" w:w="43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System response</w:t>
            </w:r>
          </w:p>
        </w:tc>
      </w:tr>
      <w:tr>
        <w:tc>
          <w:tcPr>
            <w:tcW w:type="dxa" w:w="6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1</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Organization Home</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Create / choose organization.</w:t>
            </w:r>
          </w:p>
        </w:tc>
        <w:tc>
          <w:tcPr>
            <w:tcW w:type="dxa" w:w="43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Loads goals, health, active Cells, budget and outstanding decisions.</w:t>
            </w:r>
          </w:p>
        </w:tc>
      </w:tr>
      <w:tr>
        <w:tc>
          <w:tcPr>
            <w:tcW w:type="dxa" w:w="6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2</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New Mission</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Describe desired result in plain language.</w:t>
            </w:r>
          </w:p>
        </w:tc>
        <w:tc>
          <w:tcPr>
            <w:tcW w:type="dxa" w:w="43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Intent parser drafts objective, constraints, unknowns and proposed success assertions.</w:t>
            </w:r>
          </w:p>
        </w:tc>
      </w:tr>
      <w:tr>
        <w:tc>
          <w:tcPr>
            <w:tcW w:type="dxa" w:w="6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3</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Briefing Room</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Answer only unresolved high-value questions.</w:t>
            </w:r>
          </w:p>
        </w:tc>
        <w:tc>
          <w:tcPr>
            <w:tcW w:type="dxa" w:w="43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Intent Contract becomes complete; compiler proposes organization/Cell plan.</w:t>
            </w:r>
          </w:p>
        </w:tc>
      </w:tr>
      <w:tr>
        <w:tc>
          <w:tcPr>
            <w:tcW w:type="dxa" w:w="6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4</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Plan Review</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Inspect Cell formation, capabilities, memory, cost and risk.</w:t>
            </w:r>
          </w:p>
        </w:tc>
        <w:tc>
          <w:tcPr>
            <w:tcW w:type="dxa" w:w="43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Shows alternatives and rationale; privileged capabilities highlighted.</w:t>
            </w:r>
          </w:p>
        </w:tc>
      </w:tr>
      <w:tr>
        <w:tc>
          <w:tcPr>
            <w:tcW w:type="dxa" w:w="6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5</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Simulation Preview</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Optionally run dry-run/shadow.</w:t>
            </w:r>
          </w:p>
        </w:tc>
        <w:tc>
          <w:tcPr>
            <w:tcW w:type="dxa" w:w="43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Reports likely blockers, missing capabilities and estimated resource range.</w:t>
            </w:r>
          </w:p>
        </w:tc>
      </w:tr>
      <w:tr>
        <w:tc>
          <w:tcPr>
            <w:tcW w:type="dxa" w:w="6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6</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Launch</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Approve mission.</w:t>
            </w:r>
          </w:p>
        </w:tc>
        <w:tc>
          <w:tcPr>
            <w:tcW w:type="dxa" w:w="43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Kernel admits Cell Image and starts execution.</w:t>
            </w:r>
          </w:p>
        </w:tc>
      </w:tr>
      <w:tr>
        <w:tc>
          <w:tcPr>
            <w:tcW w:type="dxa" w:w="6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7</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Live Mission</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Watch graph/avatar/table view.</w:t>
            </w:r>
          </w:p>
        </w:tc>
        <w:tc>
          <w:tcPr>
            <w:tcW w:type="dxa" w:w="43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Streams events, dependencies, evidence and requests.</w:t>
            </w:r>
          </w:p>
        </w:tc>
      </w:tr>
      <w:tr>
        <w:tc>
          <w:tcPr>
            <w:tcW w:type="dxa" w:w="6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8</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Decision Gate</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Approve/reject/edit consequential proposal.</w:t>
            </w:r>
          </w:p>
        </w:tc>
        <w:tc>
          <w:tcPr>
            <w:tcW w:type="dxa" w:w="43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Action is signed/audited; mission continues or replans.</w:t>
            </w:r>
          </w:p>
        </w:tc>
      </w:tr>
      <w:tr>
        <w:tc>
          <w:tcPr>
            <w:tcW w:type="dxa" w:w="6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9</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Completion</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Review outcome and assurance receipt.</w:t>
            </w:r>
          </w:p>
        </w:tc>
        <w:tc>
          <w:tcPr>
            <w:tcW w:type="dxa" w:w="43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Stores episode, artifacts and candidate knowledge.</w:t>
            </w:r>
          </w:p>
        </w:tc>
      </w:tr>
      <w:tr>
        <w:tc>
          <w:tcPr>
            <w:tcW w:type="dxa" w:w="64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10</w:t>
            </w:r>
          </w:p>
        </w:tc>
        <w:tc>
          <w:tcPr>
            <w:tcW w:type="dxa" w:w="16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Evolution</w:t>
            </w:r>
          </w:p>
        </w:tc>
        <w:tc>
          <w:tcPr>
            <w:tcW w:type="dxa" w:w="381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Review suggested improvement.</w:t>
            </w:r>
          </w:p>
        </w:tc>
        <w:tc>
          <w:tcPr>
            <w:tcW w:type="dxa" w:w="43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Shadow experiment compares current and candidate Cell Genome.</w:t>
            </w:r>
          </w:p>
        </w:tc>
      </w:tr>
    </w:tbl>
    <w:p>
      <w:pPr>
        <w:pStyle w:val="SmallNote"/>
      </w:pPr>
    </w:p>
    <w:p>
      <w:pPr>
        <w:pStyle w:val="Heading2"/>
      </w:pPr>
      <w:r>
        <w:t>Professional mode information hierarchy</w:t>
      </w:r>
    </w:p>
    <w:p>
      <w:pPr>
        <w:pStyle w:val="ListBullet"/>
        <w:spacing w:after="40"/>
      </w:pPr>
      <w:r>
        <w:t>Top bar: organization, environment, global health, budget pressure, alerts, pending approvals.</w:t>
      </w:r>
    </w:p>
    <w:p>
      <w:pPr>
        <w:pStyle w:val="ListBullet"/>
        <w:spacing w:after="40"/>
      </w:pPr>
      <w:r>
        <w:t>Left rail: Home, Missions, Cells, HyperMESH, Evolution, Avatar, Social/Network, Settings.</w:t>
      </w:r>
    </w:p>
    <w:p>
      <w:pPr>
        <w:pStyle w:val="ListBullet"/>
        <w:spacing w:after="40"/>
      </w:pPr>
      <w:r>
        <w:t>Center canvas: current task-specific visualization (mission graph, Cell topology, evidence, experiment).</w:t>
      </w:r>
    </w:p>
    <w:p>
      <w:pPr>
        <w:pStyle w:val="ListBullet"/>
        <w:spacing w:after="40"/>
      </w:pPr>
      <w:r>
        <w:t>Right inspector: selected object state, version, permissions, context, costs, actions.</w:t>
      </w:r>
    </w:p>
    <w:p>
      <w:pPr>
        <w:pStyle w:val="ListBullet"/>
        <w:spacing w:after="40"/>
      </w:pPr>
      <w:r>
        <w:t>Bottom timeline: deterministic event stream / replay cursor for debugging.</w:t>
      </w:r>
    </w:p>
    <w:p>
      <w:pPr>
        <w:pStyle w:val="Heading2"/>
      </w:pPr>
      <w:r>
        <w:t>Avatar mode information hierarchy</w:t>
      </w:r>
    </w:p>
    <w:p>
      <w:pPr>
        <w:pStyle w:val="ListBullet"/>
        <w:spacing w:after="40"/>
      </w:pPr>
      <w:r>
        <w:t>World map represents organization topology; zoom level controls Organism → Cell → Operative detail.</w:t>
      </w:r>
    </w:p>
    <w:p>
      <w:pPr>
        <w:pStyle w:val="ListBullet"/>
        <w:spacing w:after="40"/>
      </w:pPr>
      <w:r>
        <w:t>Buildings reflect persistent Cells; temporary mission tents/rooms represent Burst Cells.</w:t>
      </w:r>
    </w:p>
    <w:p>
      <w:pPr>
        <w:pStyle w:val="ListBullet"/>
        <w:spacing w:after="40"/>
      </w:pPr>
      <w:r>
        <w:t>Visual health states are redundant with text/icon labels; color is never the only indicator.</w:t>
      </w:r>
    </w:p>
    <w:p>
      <w:pPr>
        <w:pStyle w:val="ListBullet"/>
        <w:spacing w:after="40"/>
      </w:pPr>
      <w:r>
        <w:t>Clicking an avatar opens the same inspector used in professional mode.</w:t>
      </w:r>
    </w:p>
    <w:p>
      <w:pPr>
        <w:pStyle w:val="ListBullet"/>
        <w:spacing w:after="40"/>
      </w:pPr>
      <w:r>
        <w:t>A replay slider lets the user watch how the organization changed over time.</w:t>
      </w:r>
    </w:p>
    <w:p>
      <w:r>
        <w:br w:type="page"/>
      </w:r>
    </w:p>
    <w:p>
      <w:pPr>
        <w:pStyle w:val="Heading1"/>
      </w:pPr>
      <w:r>
        <w:t>14. CELL Mesh + Social UX</w:t>
      </w:r>
    </w:p>
    <w:p>
      <w:r>
        <w:t>Network features should be layered by trust. A user can stay fully private; join a private team mesh; join a trusted federation; or publish selected Cell Images/knowledge artifacts to a community directory. The platform should never imply that “connected” means “shared by default.”</w:t>
      </w:r>
    </w:p>
    <w:tbl>
      <w:tblPr>
        <w:tblW w:type="auto" w:w="0"/>
        <w:jc w:val="center"/>
        <w:tblLayout w:type="fixed"/>
        <w:tblLook w:firstColumn="1" w:firstRow="1" w:lastColumn="0" w:lastRow="0" w:noHBand="0" w:noVBand="1" w:val="04A0"/>
      </w:tblPr>
      <w:tblGrid>
        <w:gridCol w:w="3389"/>
        <w:gridCol w:w="3389"/>
        <w:gridCol w:w="3389"/>
      </w:tblGrid>
      <w:tr>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Connectivity tier</w:t>
            </w:r>
          </w:p>
        </w:tc>
        <w:tc>
          <w:tcPr>
            <w:tcW w:type="dxa" w:w="61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Visible/shared</w:t>
            </w:r>
          </w:p>
        </w:tc>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Default</w:t>
            </w:r>
          </w:p>
        </w:tc>
      </w:tr>
      <w:tr>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Private Node</w:t>
            </w:r>
          </w:p>
        </w:tc>
        <w:tc>
          <w:tcPr>
            <w:tcW w:type="dxa" w:w="61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Nothing external.</w:t>
            </w:r>
          </w:p>
        </w:tc>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Recommended starting mode.</w:t>
            </w:r>
          </w:p>
        </w:tc>
      </w:tr>
      <w:tr>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Team Node</w:t>
            </w:r>
          </w:p>
        </w:tc>
        <w:tc>
          <w:tcPr>
            <w:tcW w:type="dxa" w:w="61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Organization-approved profiles, Cells, knowledge and artifacts.</w:t>
            </w:r>
          </w:p>
        </w:tc>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Opt-in per workspace.</w:t>
            </w:r>
          </w:p>
        </w:tc>
      </w:tr>
      <w:tr>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Federated Trust Group</w:t>
            </w:r>
          </w:p>
        </w:tc>
        <w:tc>
          <w:tcPr>
            <w:tcW w:type="dxa" w:w="61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Signed capability/knowledge advertisements and explicitly shared artifacts.</w:t>
            </w:r>
          </w:p>
        </w:tc>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Admin-controlled.</w:t>
            </w:r>
          </w:p>
        </w:tc>
      </w:tr>
      <w:tr>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Community/Public</w:t>
            </w:r>
          </w:p>
        </w:tc>
        <w:tc>
          <w:tcPr>
            <w:tcW w:type="dxa" w:w="619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Selected Cell Profiles, challenges, eval results, blueprints and contributions.</w:t>
            </w:r>
          </w:p>
        </w:tc>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Explicit publication only.</w:t>
            </w:r>
          </w:p>
        </w:tc>
      </w:tr>
    </w:tbl>
    <w:p>
      <w:pPr>
        <w:pStyle w:val="SmallNote"/>
      </w:pPr>
    </w:p>
    <w:p>
      <w:pPr>
        <w:pStyle w:val="Heading2"/>
      </w:pPr>
      <w:r>
        <w:t>Social challenge flow</w:t>
      </w:r>
    </w:p>
    <w:p>
      <w:pPr>
        <w:spacing w:after="40"/>
        <w:ind w:left="230" w:hanging="173"/>
      </w:pPr>
      <w:r>
        <w:rPr>
          <w:b/>
        </w:rPr>
        <w:t xml:space="preserve">1. </w:t>
      </w:r>
      <w:r>
        <w:t>Challenge owner publishes a standardized mission contract, fixture/eval interface and rules.</w:t>
      </w:r>
    </w:p>
    <w:p>
      <w:pPr>
        <w:spacing w:after="40"/>
        <w:ind w:left="230" w:hanging="173"/>
      </w:pPr>
      <w:r>
        <w:rPr>
          <w:b/>
        </w:rPr>
        <w:t xml:space="preserve">2. </w:t>
      </w:r>
      <w:r>
        <w:t>Participants choose a Cell Image or allow a shadow candidate to enter.</w:t>
      </w:r>
    </w:p>
    <w:p>
      <w:pPr>
        <w:spacing w:after="40"/>
        <w:ind w:left="230" w:hanging="173"/>
      </w:pPr>
      <w:r>
        <w:rPr>
          <w:b/>
        </w:rPr>
        <w:t xml:space="preserve">3. </w:t>
      </w:r>
      <w:r>
        <w:t>Execution occurs in a constrained evaluation environment; participants do not grade themselves.</w:t>
      </w:r>
    </w:p>
    <w:p>
      <w:pPr>
        <w:spacing w:after="40"/>
        <w:ind w:left="230" w:hanging="173"/>
      </w:pPr>
      <w:r>
        <w:rPr>
          <w:b/>
        </w:rPr>
        <w:t xml:space="preserve">4. </w:t>
      </w:r>
      <w:r>
        <w:t>Results publish signed outcome/evidence summaries rather than hidden chain-of-thought.</w:t>
      </w:r>
    </w:p>
    <w:p>
      <w:pPr>
        <w:spacing w:after="40"/>
        <w:ind w:left="230" w:hanging="173"/>
      </w:pPr>
      <w:r>
        <w:rPr>
          <w:b/>
        </w:rPr>
        <w:t xml:space="preserve">5. </w:t>
      </w:r>
      <w:r>
        <w:t>Leaderboards can filter by quality, cost, speed, robustness and reproducibility rather than one popularity score.</w:t>
      </w:r>
    </w:p>
    <w:p>
      <w:pPr>
        <w:spacing w:after="40"/>
        <w:ind w:left="230" w:hanging="173"/>
      </w:pPr>
      <w:r>
        <w:rPr>
          <w:b/>
        </w:rPr>
        <w:t xml:space="preserve">6. </w:t>
      </w:r>
      <w:r>
        <w:t>High-value failures may earn research reputation when they reveal a benchmark flaw or important limitation.</w:t>
      </w:r>
    </w:p>
    <w:p>
      <w:r>
        <w:br w:type="page"/>
      </w:r>
    </w:p>
    <w:p>
      <w:pPr>
        <w:pStyle w:val="Heading1"/>
      </w:pPr>
      <w:r>
        <w:t>15. Core Contracts &amp; Events</w:t>
      </w:r>
    </w:p>
    <w:tbl>
      <w:tblPr>
        <w:tblW w:type="auto" w:w="0"/>
        <w:jc w:val="center"/>
        <w:tblLayout w:type="fixed"/>
        <w:tblLook w:firstColumn="1" w:firstRow="1" w:lastColumn="0" w:lastRow="0" w:noHBand="0" w:noVBand="1" w:val="04A0"/>
      </w:tblPr>
      <w:tblGrid>
        <w:gridCol w:w="5083"/>
        <w:gridCol w:w="5083"/>
      </w:tblGrid>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Contract</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Required fields (minimum)</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IntentContract</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mission_id, objective, constraints, environment, risk, unknowns, success_contract_ref, authority_profile.</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OperativeSpec</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id/version, role, cognition policy, tools/capabilities, memory policy, communication policy, resource envelope.</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CellGenome</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id/version, topology, seats/workers, authority, memory mounts, communication, resources, lifecycle, adaptation policy.</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CellImage</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resolved versions/hashes, capabilities, policy, runtime adapter, behavior digest, certification metadata.</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ReasoningIR</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claim/proposal, evidence refs, uncertainty, contradictions, provenance, requested verification/action.</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MissionAssuranceContract</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positive assertions, prohibited regressions, evidence requirements, policy gates, freshness rules.</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AssuranceReceipt</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exact Cell Image, mission snapshot, assertions, evidence refs, policy decisions, outcome, cost/latency.</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MeshAdvertisement</w:t>
            </w:r>
          </w:p>
        </w:tc>
        <w:tc>
          <w:tcPr>
            <w:tcW w:type="dxa" w:w="748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node identity, advertised capability/knowledge summary, policy scope, expiry, signature, endpoint/route.</w:t>
            </w:r>
          </w:p>
        </w:tc>
      </w:tr>
    </w:tbl>
    <w:p>
      <w:pPr>
        <w:pStyle w:val="SmallNote"/>
      </w:pPr>
    </w:p>
    <w:p>
      <w:pPr>
        <w:pStyle w:val="Heading2"/>
      </w:pPr>
      <w:r>
        <w:t>Canonical event vocabulary</w:t>
      </w:r>
    </w:p>
    <w:p>
      <w:r>
        <w:t>At minimum: MissionCreated, IntentUpdated, CellPlanned, CellAdmitted, CellStarted, OperativeStarted, CapabilityRequested, CapabilityGranted/Denied, EvidenceObserved, ClaimProposed, ContradictionRaised, DecisionRequested, HumanApproved/Rejected, CellPaused, CellRecovered, AssertionPassed/Failed, MissionCompleted, KnowledgePromoted, ShadowForked, ExperimentEvaluated, CellImageCertified, MeshPeerJoined/Left.</w:t>
      </w:r>
    </w:p>
    <w:p>
      <w:r>
        <w:br w:type="page"/>
      </w:r>
    </w:p>
    <w:p>
      <w:pPr>
        <w:pStyle w:val="Heading1"/>
      </w:pPr>
      <w:r>
        <w:t>16. Research Program &amp; Experiment Portfolio</w:t>
      </w:r>
    </w:p>
    <w:tbl>
      <w:tblPr>
        <w:tblW w:type="auto" w:w="0"/>
        <w:jc w:val="center"/>
        <w:tblLayout w:type="fixed"/>
        <w:tblLook w:firstColumn="1" w:firstRow="1" w:lastColumn="0" w:lastRow="0" w:noHBand="0" w:noVBand="1" w:val="04A0"/>
      </w:tblPr>
      <w:tblGrid>
        <w:gridCol w:w="3389"/>
        <w:gridCol w:w="3389"/>
        <w:gridCol w:w="3389"/>
      </w:tblGrid>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Theme</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Primary research question</w:t>
            </w:r>
          </w:p>
        </w:tc>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First experiment</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Cell topology</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Which organization formation wins for which mission class?</w:t>
            </w:r>
          </w:p>
        </w:tc>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Replay same private benchmark across solo, hierarchy, council and hierarchical-swarm Cells.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Memory</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Does graph+episodic retrieval outperform semantic-only retrieval after controlling for token budget?</w:t>
            </w:r>
          </w:p>
        </w:tc>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A/B retrieval policies with identical model and mission fixtures.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Epistemic scheduling</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Can uncertainty/disagreement-triggered escalation improve quality per dollar?</w:t>
            </w:r>
          </w:p>
        </w:tc>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Compare always-debate, never-debate and selective escalation.</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Cognitive locality</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Does routing to context-rich Operatives reduce cost/latency without lowering quality?</w:t>
            </w:r>
          </w:p>
        </w:tc>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Context-locality scheduler vs best-agent scheduler.</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Mesh retrieval</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Can node summaries route queries accurately without centralizing private indexes?</w:t>
            </w:r>
          </w:p>
        </w:tc>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Federated semantic routing over synthetic independent nodes.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Knowledge coherence</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Can stale-claim invalidation reduce errors from superseded knowledge?</w:t>
            </w:r>
          </w:p>
        </w:tc>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Inject knowledge updates and measure stale-action rate.</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Social incentives</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Do evidence-weighted rewards improve contribution quality?</w:t>
            </w:r>
          </w:p>
        </w:tc>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Private alpha with reputation tied to eval survival rather than likes.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Avatar mode</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Does spatial representation improve understanding without hiding critical state?</w:t>
            </w:r>
          </w:p>
        </w:tc>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Task completion/usability study vs professional mode for novice users.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Organism adaptation</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Can structural proposals improve workload handling without uncontrolled complexity?</w:t>
            </w:r>
          </w:p>
        </w:tc>
        <w:tc>
          <w:tcPr>
            <w:tcW w:type="dxa" w:w="288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Shadow Organism compares static vs autoscaled Cell topology.</w:t>
            </w:r>
          </w:p>
        </w:tc>
      </w:tr>
    </w:tbl>
    <w:p>
      <w:pPr>
        <w:pStyle w:val="SmallNote"/>
      </w:pPr>
    </w:p>
    <w:p>
      <w:pPr>
        <w:pStyle w:val="Heading2"/>
      </w:pPr>
      <w:r>
        <w:t>Research governance</w:t>
      </w:r>
    </w:p>
    <w:p>
      <w:pPr>
        <w:pStyle w:val="ListBullet"/>
        <w:spacing w:after="40"/>
      </w:pPr>
      <w:r>
        <w:t>Every frontier concept gets an explicit hypothesis, baseline and falsification criterion.</w:t>
      </w:r>
    </w:p>
    <w:p>
      <w:pPr>
        <w:pStyle w:val="ListBullet"/>
        <w:spacing w:after="40"/>
      </w:pPr>
      <w:r>
        <w:t>Negative results are retained as institutional knowledge.</w:t>
      </w:r>
    </w:p>
    <w:p>
      <w:pPr>
        <w:pStyle w:val="ListBullet"/>
        <w:spacing w:after="40"/>
      </w:pPr>
      <w:r>
        <w:t>AutoResearcher may propose experiments but deterministic evaluators/human review own acceptance.</w:t>
      </w:r>
    </w:p>
    <w:p>
      <w:pPr>
        <w:pStyle w:val="ListBullet"/>
        <w:spacing w:after="40"/>
      </w:pPr>
      <w:r>
        <w:t>Holdouts, contamination controls and evaluator independence are mandatory for self-optimization research.</w:t>
      </w:r>
    </w:p>
    <w:p>
      <w:pPr>
        <w:pStyle w:val="ListBullet"/>
        <w:spacing w:after="40"/>
      </w:pPr>
      <w:r>
        <w:t>Research outputs do not silently become production doctrine; promotion is versioned and reversible.</w:t>
      </w:r>
    </w:p>
    <w:p>
      <w:r>
        <w:br w:type="page"/>
      </w:r>
    </w:p>
    <w:p>
      <w:pPr>
        <w:pStyle w:val="Heading1"/>
      </w:pPr>
      <w:r>
        <w:t>17. Product &amp; System KPI Framework</w:t>
      </w:r>
    </w:p>
    <w:tbl>
      <w:tblPr>
        <w:tblW w:type="auto" w:w="0"/>
        <w:jc w:val="center"/>
        <w:tblLayout w:type="fixed"/>
        <w:tblLook w:firstColumn="1" w:firstRow="1" w:lastColumn="0" w:lastRow="0" w:noHBand="0" w:noVBand="1" w:val="04A0"/>
      </w:tblPr>
      <w:tblGrid>
        <w:gridCol w:w="3389"/>
        <w:gridCol w:w="3389"/>
        <w:gridCol w:w="3389"/>
      </w:tblGrid>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Domain</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Primary KPIs</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Guardrail metrics</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Mission outcomes</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Mission success, positive-assertion pass rate, time-to-green, accepted-output rate.</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Regression rate, false-green rate, human rejection.</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Economics</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Cost per accepted mission, model/tool utilization, context-load cost.</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Quality floor, risk, latency ceiling.</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Cognition</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Escalation utility, uncertainty calibration where measurable, disagreement resolution.</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Over-debate, model overuse, self-confidence gaming.</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Memory</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Retrieval utility, stale-claim rate, evidence coverage, knowledge reuse.</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Memory laundering, contradiction suppression, privacy leakage.</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Cell architecture</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Per-topology outcome distribution, coordination cost, seat contribution, bottlenecks.</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Complexity growth, redundant agents, communication explosion.</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Mesh</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Discovery hit rate, federated query latency, cache hit, peer availability.</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Cross-domain leakage, stale advertisements, trust failures.</w:t>
            </w:r>
          </w:p>
        </w:tc>
      </w:tr>
      <w:tr>
        <w:tc>
          <w:tcPr>
            <w:tcW w:type="dxa" w:w="158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UX</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Time-to-first-Cell, operator intervention, decision clarity, avatar/pro mode task completion.</w:t>
            </w:r>
          </w:p>
        </w:tc>
        <w:tc>
          <w:tcPr>
            <w:tcW w:type="dxa" w:w="309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Engagement-for-engagement’s-sake, hidden critical state.</w:t>
            </w:r>
          </w:p>
        </w:tc>
      </w:tr>
    </w:tbl>
    <w:p>
      <w:pPr>
        <w:pStyle w:val="SmallNote"/>
      </w:pPr>
    </w:p>
    <w:p>
      <w:pPr>
        <w:pStyle w:val="Heading2"/>
      </w:pPr>
      <w:r>
        <w:t>Multi-objective optimization</w:t>
      </w:r>
    </w:p>
    <w:p>
      <w:r>
        <w:t>The Evolution Chamber should retain a Pareto frontier rather than compressing all system quality into one score. Mission policy may then choose among high-quality, low-cost, low-latency or low-human-intervention configurations while preserving hard safety/quality constraints.</w:t>
      </w:r>
    </w:p>
    <w:p>
      <w:r>
        <w:br w:type="page"/>
      </w:r>
    </w:p>
    <w:p>
      <w:pPr>
        <w:pStyle w:val="Heading1"/>
      </w:pPr>
      <w:r>
        <w:t>18. Deployment &amp; Environment Model</w:t>
      </w:r>
    </w:p>
    <w:tbl>
      <w:tblPr>
        <w:tblW w:type="auto" w:w="0"/>
        <w:jc w:val="center"/>
        <w:tblLayout w:type="fixed"/>
        <w:tblLook w:firstColumn="1" w:firstRow="1" w:lastColumn="0" w:lastRow="0" w:noHBand="0" w:noVBand="1" w:val="04A0"/>
      </w:tblPr>
      <w:tblGrid>
        <w:gridCol w:w="3389"/>
        <w:gridCol w:w="3389"/>
        <w:gridCol w:w="3389"/>
      </w:tblGrid>
      <w:tr>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Environment</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Purpose</w:t>
            </w:r>
          </w:p>
        </w:tc>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Autonomy</w:t>
            </w:r>
          </w:p>
        </w:tc>
      </w:tr>
      <w:tr>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Local / Developer</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Schema, UI and capability development; deterministic test fixtures.</w:t>
            </w:r>
          </w:p>
        </w:tc>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High freedom, no production side effects.</w:t>
            </w:r>
          </w:p>
        </w:tc>
      </w:tr>
      <w:tr>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Simulation</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Synthetic environments and shadow mission evaluation.</w:t>
            </w:r>
          </w:p>
        </w:tc>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High autonomy inside containment.</w:t>
            </w:r>
          </w:p>
        </w:tc>
      </w:tr>
      <w:tr>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TEST / Staging</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Integrated services, real-ish data with explicit isolation.</w:t>
            </w:r>
          </w:p>
        </w:tc>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Bounded autonomy.</w:t>
            </w:r>
          </w:p>
        </w:tc>
      </w:tr>
      <w:tr>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Production</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Certified Cell Images against real systems.</w:t>
            </w:r>
          </w:p>
        </w:tc>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Policy-constrained; privileged actions gated by configured authority.</w:t>
            </w:r>
          </w:p>
        </w:tc>
      </w:tr>
      <w:tr>
        <w:tc>
          <w:tcPr>
            <w:tcW w:type="dxa" w:w="21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Mesh Federation Sandbox</w:t>
            </w:r>
          </w:p>
        </w:tc>
        <w:tc>
          <w:tcPr>
            <w:tcW w:type="dxa" w:w="525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Two or more nodes testing trust, routing and federation.</w:t>
            </w:r>
          </w:p>
        </w:tc>
        <w:tc>
          <w:tcPr>
            <w:tcW w:type="dxa" w:w="252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No implicit trust; explicit shared namespaces.</w:t>
            </w:r>
          </w:p>
        </w:tc>
      </w:tr>
    </w:tbl>
    <w:p>
      <w:pPr>
        <w:pStyle w:val="SmallNote"/>
      </w:pPr>
    </w:p>
    <w:p>
      <w:pPr>
        <w:pStyle w:val="Heading2"/>
      </w:pPr>
      <w:r>
        <w:t>Repository direction</w:t>
      </w:r>
    </w:p>
    <w:p>
      <w:r>
        <w:t>Use a platform monorepo for CELL OS shared contracts, runtime, UI, research harnesses and core services; keep externally managed client/workload repositories federated when repository-level isolation and independent lifecycles matter. Enforce domain boundaries mechanically so agents cannot treat the monorepo as an unstructured global namespace.</w:t>
      </w:r>
    </w:p>
    <w:p>
      <w:r>
        <w:br w:type="page"/>
      </w:r>
    </w:p>
    <w:p>
      <w:pPr>
        <w:pStyle w:val="Heading1"/>
      </w:pPr>
      <w:r>
        <w:t>19. Major Risks &amp; Design Responses</w:t>
      </w:r>
    </w:p>
    <w:tbl>
      <w:tblPr>
        <w:tblW w:type="auto" w:w="0"/>
        <w:jc w:val="center"/>
        <w:tblLayout w:type="fixed"/>
        <w:tblLook w:firstColumn="1" w:firstRow="1" w:lastColumn="0" w:lastRow="0" w:noHBand="0" w:noVBand="1" w:val="04A0"/>
      </w:tblPr>
      <w:tblGrid>
        <w:gridCol w:w="3389"/>
        <w:gridCol w:w="3389"/>
        <w:gridCol w:w="3389"/>
      </w:tblGrid>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Risk</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Failure mode</w:t>
            </w:r>
          </w:p>
        </w:tc>
        <w:tc>
          <w:tcPr>
            <w:tcW w:type="dxa" w:w="460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Design response</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Architecture outruns implementation</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Vision documents claim features that do not exist.</w:t>
            </w:r>
          </w:p>
        </w:tc>
        <w:tc>
          <w:tcPr>
            <w:tcW w:type="dxa" w:w="460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Implementation-truth ledger, repo audits, maturity labels and ADRs.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Memory laundering</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Agent guesses become repeated “facts.”</w:t>
            </w:r>
          </w:p>
        </w:tc>
        <w:tc>
          <w:tcPr>
            <w:tcW w:type="dxa" w:w="460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Evidence-backed promotion, provenance, contradictions and retractions.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Agent over-privilege</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Prompt-level restrictions fail.</w:t>
            </w:r>
          </w:p>
        </w:tc>
        <w:tc>
          <w:tcPr>
            <w:tcW w:type="dxa" w:w="460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Kernel-enforced capability descriptors, namespaces and signed Cell Images.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Goodhart / KPI gaming</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Optimizer learns shortcuts that look good on metrics.</w:t>
            </w:r>
          </w:p>
        </w:tc>
        <w:tc>
          <w:tcPr>
            <w:tcW w:type="dxa" w:w="460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Guardrails, adversarial metrics, holdouts, evaluator independence.</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Mesh privacy leakage</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Discovery/index metadata reveals sensitive context.</w:t>
            </w:r>
          </w:p>
        </w:tc>
        <w:tc>
          <w:tcPr>
            <w:tcW w:type="dxa" w:w="460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Minimal signed advertisements, policy filters, private-by-default nodes.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Coordination explosion</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More agents increase cost and communication without quality.</w:t>
            </w:r>
          </w:p>
        </w:tc>
        <w:tc>
          <w:tcPr>
            <w:tcW w:type="dxa" w:w="460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Selective multi-agent escalation, communication budgets and topology experiments.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Avatar hides reality</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Game view makes serious state ambiguous.</w:t>
            </w:r>
          </w:p>
        </w:tc>
        <w:tc>
          <w:tcPr>
            <w:tcW w:type="dxa" w:w="460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One runtime state, synchronized inspector, professional-mode parity.</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Self-evolution instability</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System changes itself faster than it can verify.</w:t>
            </w:r>
          </w:p>
        </w:tc>
        <w:tc>
          <w:tcPr>
            <w:tcW w:type="dxa" w:w="460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Pinned production, shadow-only mutation, certification and rollback.</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Social popularity bias</w:t>
            </w:r>
          </w:p>
        </w:tc>
        <w:tc>
          <w:tcPr>
            <w:tcW w:type="dxa" w:w="36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Likes/followers overpower evidence quality.</w:t>
            </w:r>
          </w:p>
        </w:tc>
        <w:tc>
          <w:tcPr>
            <w:tcW w:type="dxa" w:w="460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Outcome/evidence-weighted reputation and multi-dimensional leaderboards.</w:t>
            </w:r>
          </w:p>
        </w:tc>
      </w:tr>
    </w:tbl>
    <w:p>
      <w:pPr>
        <w:pStyle w:val="SmallNote"/>
      </w:pPr>
    </w:p>
    <w:p>
      <w:r>
        <w:br w:type="page"/>
      </w:r>
    </w:p>
    <w:p>
      <w:pPr>
        <w:pStyle w:val="Heading1"/>
      </w:pPr>
      <w:r>
        <w:t>20. North-Star Architecture Summary</w:t>
      </w:r>
    </w:p>
    <w:p>
      <w:pPr>
        <w:jc w:val="center"/>
      </w:pPr>
      <w:r>
        <w:drawing>
          <wp:inline xmlns:a="http://schemas.openxmlformats.org/drawingml/2006/main" xmlns:pic="http://schemas.openxmlformats.org/drawingml/2006/picture">
            <wp:extent cx="4343400" cy="7859486"/>
            <wp:docPr id="7" name="Picture 7"/>
            <wp:cNvGraphicFramePr>
              <a:graphicFrameLocks noChangeAspect="1"/>
            </wp:cNvGraphicFramePr>
            <a:graphic>
              <a:graphicData uri="http://schemas.openxmlformats.org/drawingml/2006/picture">
                <pic:pic>
                  <pic:nvPicPr>
                    <pic:cNvPr id="0" name="layers.png"/>
                    <pic:cNvPicPr/>
                  </pic:nvPicPr>
                  <pic:blipFill>
                    <a:blip r:embed="rId11"/>
                    <a:stretch>
                      <a:fillRect/>
                    </a:stretch>
                  </pic:blipFill>
                  <pic:spPr>
                    <a:xfrm>
                      <a:off x="0" y="0"/>
                      <a:ext cx="4343400" cy="7859486"/>
                    </a:xfrm>
                    <a:prstGeom prst="rect"/>
                  </pic:spPr>
                </pic:pic>
              </a:graphicData>
            </a:graphic>
          </wp:inline>
        </w:drawing>
      </w:r>
    </w:p>
    <w:p>
      <w:pPr>
        <w:pStyle w:val="SmallNote"/>
        <w:jc w:val="center"/>
      </w:pPr>
      <w:r>
        <w:rPr>
          <w:i/>
        </w:rPr>
        <w:t>Figure 7 — North-star runtime hierarchy.</w:t>
      </w:r>
    </w:p>
    <w:p>
      <w:pPr>
        <w:jc w:val="center"/>
      </w:pPr>
      <w:r>
        <w:drawing>
          <wp:inline xmlns:a="http://schemas.openxmlformats.org/drawingml/2006/main" xmlns:pic="http://schemas.openxmlformats.org/drawingml/2006/picture">
            <wp:extent cx="5760720" cy="2764528"/>
            <wp:docPr id="8" name="Picture 8"/>
            <wp:cNvGraphicFramePr>
              <a:graphicFrameLocks noChangeAspect="1"/>
            </wp:cNvGraphicFramePr>
            <a:graphic>
              <a:graphicData uri="http://schemas.openxmlformats.org/drawingml/2006/picture">
                <pic:pic>
                  <pic:nvPicPr>
                    <pic:cNvPr id="0" name="mesh.png"/>
                    <pic:cNvPicPr/>
                  </pic:nvPicPr>
                  <pic:blipFill>
                    <a:blip r:embed="rId13"/>
                    <a:stretch>
                      <a:fillRect/>
                    </a:stretch>
                  </pic:blipFill>
                  <pic:spPr>
                    <a:xfrm>
                      <a:off x="0" y="0"/>
                      <a:ext cx="5760720" cy="2764528"/>
                    </a:xfrm>
                    <a:prstGeom prst="rect"/>
                  </pic:spPr>
                </pic:pic>
              </a:graphicData>
            </a:graphic>
          </wp:inline>
        </w:drawing>
      </w:r>
    </w:p>
    <w:p>
      <w:pPr>
        <w:pStyle w:val="SmallNote"/>
        <w:jc w:val="center"/>
      </w:pPr>
      <w:r>
        <w:rPr>
          <w:i/>
        </w:rPr>
        <w:t>Figure 8 — Optional federation layer for knowledge, capability and resource sharing.</w:t>
      </w:r>
    </w:p>
    <w:tbl>
      <w:tblPr>
        <w:tblW w:type="auto" w:w="0"/>
        <w:jc w:val="center"/>
        <w:tblLook w:firstColumn="1" w:firstRow="1" w:lastColumn="0" w:lastRow="0" w:noHBand="0" w:noVBand="1" w:val="04A0"/>
      </w:tblPr>
      <w:tblGrid>
        <w:gridCol w:w="10166"/>
      </w:tblGrid>
      <w:tr>
        <w:tc>
          <w:tcPr>
            <w:tcW w:type="dxa" w:w="10166"/>
            <w:shd w:fill="EAF1F8"/>
            <w:tcBorders>
              <w:top w:val="single" w:sz="10" w:space="0" w:color="356A9A"/>
              <w:left w:val="single" w:sz="10" w:space="0" w:color="356A9A"/>
              <w:bottom w:val="single" w:sz="10" w:space="0" w:color="356A9A"/>
              <w:right w:val="single" w:sz="10" w:space="0" w:color="356A9A"/>
              <w:insideH w:val="single" w:sz="10" w:space="0" w:color="356A9A"/>
              <w:insideV w:val="single" w:sz="10" w:space="0" w:color="356A9A"/>
            </w:tcBorders>
            <w:tcMar>
              <w:top w:w="100" w:type="dxa"/>
              <w:start w:w="130" w:type="dxa"/>
              <w:bottom w:w="100" w:type="dxa"/>
              <w:end w:w="130" w:type="dxa"/>
            </w:tcMar>
          </w:tcPr>
          <w:p>
            <w:pPr>
              <w:pStyle w:val="Callout"/>
            </w:pPr>
            <w:r>
              <w:t>Recommended architectural spine: Mission → Intent Contract → Org/Cell Compiler → immutable Cell Image → CELL Kernel → Cell runtime → Reasoning IR / Cognitive Governor → HyperMESH + Capability Fabric → Evidence Ledger → Assurance Receipt → Replay/Shadow/Evolution. CELL Mesh federates independent nodes only when useful.</w:t>
            </w:r>
          </w:p>
        </w:tc>
      </w:tr>
    </w:tbl>
    <w:p>
      <w:pPr>
        <w:pStyle w:val="SmallNote"/>
      </w:pPr>
    </w:p>
    <w:p>
      <w:pPr>
        <w:pStyle w:val="Heading2"/>
      </w:pPr>
      <w:r>
        <w:t>What to build first</w:t>
      </w:r>
    </w:p>
    <w:p>
      <w:pPr>
        <w:spacing w:after="40"/>
        <w:ind w:left="230" w:hanging="173"/>
      </w:pPr>
      <w:r>
        <w:rPr>
          <w:b/>
        </w:rPr>
        <w:t xml:space="preserve">1. </w:t>
      </w:r>
      <w:r>
        <w:t>Typed Cell/Operative/Mission/Capability contracts.</w:t>
      </w:r>
    </w:p>
    <w:p>
      <w:pPr>
        <w:spacing w:after="40"/>
        <w:ind w:left="230" w:hanging="173"/>
      </w:pPr>
      <w:r>
        <w:rPr>
          <w:b/>
        </w:rPr>
        <w:t xml:space="preserve">2. </w:t>
      </w:r>
      <w:r>
        <w:t>A compatibility wrapper that expresses the current proven workflow as Cell v0.</w:t>
      </w:r>
    </w:p>
    <w:p>
      <w:pPr>
        <w:spacing w:after="40"/>
        <w:ind w:left="230" w:hanging="173"/>
      </w:pPr>
      <w:r>
        <w:rPr>
          <w:b/>
        </w:rPr>
        <w:t xml:space="preserve">3. </w:t>
      </w:r>
      <w:r>
        <w:t>Mission Control and evidence/assurance before advanced autonomy.</w:t>
      </w:r>
    </w:p>
    <w:p>
      <w:pPr>
        <w:spacing w:after="40"/>
        <w:ind w:left="230" w:hanging="173"/>
      </w:pPr>
      <w:r>
        <w:rPr>
          <w:b/>
        </w:rPr>
        <w:t xml:space="preserve">4. </w:t>
      </w:r>
      <w:r>
        <w:t>HyperMESH consolidation before adding more memory stores.</w:t>
      </w:r>
    </w:p>
    <w:p>
      <w:pPr>
        <w:spacing w:after="40"/>
        <w:ind w:left="230" w:hanging="173"/>
      </w:pPr>
      <w:r>
        <w:rPr>
          <w:b/>
        </w:rPr>
        <w:t xml:space="preserve">5. </w:t>
      </w:r>
      <w:r>
        <w:t>Shadow/Evolution after replay fixtures and outcome evals are trustworthy.</w:t>
      </w:r>
    </w:p>
    <w:p>
      <w:pPr>
        <w:spacing w:after="40"/>
        <w:ind w:left="230" w:hanging="173"/>
      </w:pPr>
      <w:r>
        <w:rPr>
          <w:b/>
        </w:rPr>
        <w:t xml:space="preserve">6. </w:t>
      </w:r>
      <w:r>
        <w:t>Avatar/social after the runtime can expose stable live state.</w:t>
      </w:r>
    </w:p>
    <w:p>
      <w:pPr>
        <w:spacing w:after="40"/>
        <w:ind w:left="230" w:hanging="173"/>
      </w:pPr>
      <w:r>
        <w:rPr>
          <w:b/>
        </w:rPr>
        <w:t xml:space="preserve">7. </w:t>
      </w:r>
      <w:r>
        <w:t>Mesh only after node identity, policy, evidence and interoperability contracts are mature.</w:t>
      </w:r>
    </w:p>
    <w:p>
      <w:r>
        <w:br w:type="page"/>
      </w:r>
    </w:p>
    <w:p>
      <w:pPr>
        <w:pStyle w:val="Heading1"/>
      </w:pPr>
      <w:r>
        <w:t>Appendix A — Research References</w:t>
      </w:r>
    </w:p>
    <w:p>
      <w:r>
        <w:t>These references support the external distributed-systems patterns used to evaluate CELL Mesh. They do not prove the CELL OS transpositions; those remain hypotheses to test.</w:t>
      </w:r>
    </w:p>
    <w:tbl>
      <w:tblPr>
        <w:tblW w:type="auto" w:w="0"/>
        <w:jc w:val="center"/>
        <w:tblLayout w:type="fixed"/>
        <w:tblLook w:firstColumn="1" w:firstRow="1" w:lastColumn="0" w:lastRow="0" w:noHBand="0" w:noVBand="1" w:val="04A0"/>
      </w:tblPr>
      <w:tblGrid>
        <w:gridCol w:w="3389"/>
        <w:gridCol w:w="3389"/>
        <w:gridCol w:w="3389"/>
      </w:tblGrid>
      <w:tr>
        <w:tc>
          <w:tcPr>
            <w:tcW w:type="dxa" w:w="93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ID</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Reference</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URL</w:t>
            </w:r>
          </w:p>
        </w:tc>
      </w:tr>
      <w:tr>
        <w:tc>
          <w:tcPr>
            <w:tcW w:type="dxa" w:w="93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EXT-1</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IPFS Distributed Hash Tables — content/provider routing using a DHT.</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https://docs.ipfs.tech/concepts/dht/</w:t>
            </w:r>
          </w:p>
        </w:tc>
      </w:tr>
      <w:tr>
        <w:tc>
          <w:tcPr>
            <w:tcW w:type="dxa" w:w="93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EXT-2</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IPFS Privacy and Encryption — content addressing, DHT metadata and privacy considerations.</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https://docs.ipfs.tech/concepts/privacy-and-encryption/</w:t>
            </w:r>
          </w:p>
        </w:tc>
      </w:tr>
      <w:tr>
        <w:tc>
          <w:tcPr>
            <w:tcW w:type="dxa" w:w="93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EXT-3</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Hyperledger Fabric Gossip — peer discovery, signed dissemination and state synchronization.</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https://hyperledger-fabric.readthedocs.io/en/latest/gossip.html</w:t>
            </w:r>
          </w:p>
        </w:tc>
      </w:tr>
      <w:tr>
        <w:tc>
          <w:tcPr>
            <w:tcW w:type="dxa" w:w="93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EXT-4</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Istio Architecture — control plane/data plane separation in a service mesh.</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https://istio.io/latest/docs/ops/deployment/architecture/</w:t>
            </w:r>
          </w:p>
        </w:tc>
      </w:tr>
      <w:tr>
        <w:tc>
          <w:tcPr>
            <w:tcW w:type="dxa" w:w="93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EXT-5</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W3C SPARQL Federated Query — distributed graph query across endpoints.</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https://www.w3.org/TR/sparql11-federated-query/</w:t>
            </w:r>
          </w:p>
        </w:tc>
      </w:tr>
      <w:tr>
        <w:tc>
          <w:tcPr>
            <w:tcW w:type="dxa" w:w="93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EXT-6</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Automerge — local-first storage/synchronization and concurrent change merging.</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https://automerge.org/docs/hello/</w:t>
            </w:r>
          </w:p>
        </w:tc>
      </w:tr>
      <w:tr>
        <w:tc>
          <w:tcPr>
            <w:tcW w:type="dxa" w:w="93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EXT-7</w:t>
            </w:r>
          </w:p>
        </w:tc>
        <w:tc>
          <w:tcPr>
            <w:tcW w:type="dxa" w:w="547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NATS Documentation — distributed messaging/pub-sub concepts for event fabrics.</w:t>
            </w:r>
          </w:p>
        </w:tc>
        <w:tc>
          <w:tcPr>
            <w:tcW w:type="dxa" w:w="374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https://docs.nats.io/</w:t>
            </w:r>
          </w:p>
        </w:tc>
      </w:tr>
    </w:tbl>
    <w:p>
      <w:pPr>
        <w:pStyle w:val="SmallNote"/>
      </w:pPr>
    </w:p>
    <w:p>
      <w:pPr>
        <w:pStyle w:val="Heading2"/>
      </w:pPr>
      <w:r>
        <w:t>Project source basis</w:t>
      </w:r>
    </w:p>
    <w:p>
      <w:pPr>
        <w:pStyle w:val="ListBullet"/>
        <w:spacing w:after="40"/>
      </w:pPr>
      <w:r>
        <w:t>Agent Factory Vision.txt — project direction: platform monorepo + federated workload estate, Agent Factory as first vertical, organizational compiler, cognition fabric, simulation/evaluation and self-maintenance loop.</w:t>
      </w:r>
    </w:p>
    <w:p>
      <w:pPr>
        <w:pStyle w:val="ListBullet"/>
        <w:spacing w:after="40"/>
      </w:pPr>
      <w:r>
        <w:t>CELL OS working research — Cell/Operative/Organism ontology, Cell Kernel, HyperMESH, Context Virtual Memory, CellBus, Shadow Cells, Evolution Chamber and OS-mechanism transposition.</w:t>
      </w:r>
    </w:p>
    <w:p>
      <w:pPr>
        <w:pStyle w:val="ListBullet"/>
        <w:spacing w:after="40"/>
      </w:pPr>
      <w:r>
        <w:t>SIHRE / NeuroFusion working research — heterogeneous reasoning, meta-orchestration, uncertainty/disagreement routing and evidence-driven expert governance as inspiration for the Cognitive Governor.</w:t>
      </w:r>
    </w:p>
    <w:p>
      <w:r>
        <w:br w:type="page"/>
      </w:r>
    </w:p>
    <w:p>
      <w:pPr>
        <w:pStyle w:val="Heading1"/>
      </w:pPr>
      <w:r>
        <w:t>Appendix B — Screen Inventory</w:t>
      </w:r>
    </w:p>
    <w:tbl>
      <w:tblPr>
        <w:tblW w:type="auto" w:w="0"/>
        <w:jc w:val="center"/>
        <w:tblLayout w:type="fixed"/>
        <w:tblLook w:firstColumn="1" w:firstRow="1" w:lastColumn="0" w:lastRow="0" w:noHBand="0" w:noVBand="1" w:val="04A0"/>
      </w:tblPr>
      <w:tblGrid>
        <w:gridCol w:w="3389"/>
        <w:gridCol w:w="3389"/>
        <w:gridCol w:w="3389"/>
      </w:tblGrid>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Screen</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MVP?</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5"/>
              </w:rPr>
              <w:t>Key objects</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Organization Home</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Yes</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Goals, health, active missions, active Cells, cost, decisions.</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Mission Builder</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Yes</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Intent Contract, constraints, success assertions, authority.</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Briefing Room</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Yes</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Unknowns, questions, options, evidence, decisions.</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Mission Control</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Yes</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Mission graph, live state, gates, events, rollback.</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Cell Studio</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Yes</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Cell Genome, topology, capabilities, memory, budgets, versions.</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Cell Inspector</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Yes</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State, Operatives, tools, context, evidence, costs.</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HyperMESH Explorer</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Phase 4</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Graph, episodes, evidence, artifacts, contradictions, retrieval trace.</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Evolution Chamber</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Phase 5</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Experiments, shadows, distributions, Pareto, promotion.</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Avatar World</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Phase 6</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Spatial organization, avatars, Cells, missions, alerts.</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Social / Blueprint Library</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Phase 6</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Profiles, public Cells, challenges, reputation.</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Mesh Console</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Phase 7</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5"/>
              </w:rPr>
              <w:t>Peers, trust, advertisements, routes, shared namespaces, health.</w:t>
            </w:r>
          </w:p>
        </w:tc>
      </w:tr>
      <w:tr>
        <w:tc>
          <w:tcPr>
            <w:tcW w:type="dxa" w:w="223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Organism Designer</w:t>
            </w:r>
          </w:p>
        </w:tc>
        <w:tc>
          <w:tcPr>
            <w:tcW w:type="dxa" w:w="115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Phase 8</w:t>
            </w:r>
          </w:p>
        </w:tc>
        <w:tc>
          <w:tcPr>
            <w:tcW w:type="dxa" w:w="684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5"/>
              </w:rPr>
              <w:t>Persistent Cell topology, homeostasis and structural proposals.</w:t>
            </w:r>
          </w:p>
        </w:tc>
      </w:tr>
    </w:tbl>
    <w:p>
      <w:pPr>
        <w:pStyle w:val="SmallNote"/>
      </w:pPr>
    </w:p>
    <w:p>
      <w:r>
        <w:br w:type="page"/>
      </w:r>
    </w:p>
    <w:p>
      <w:pPr>
        <w:pStyle w:val="Heading1"/>
      </w:pPr>
      <w:r>
        <w:t>Appendix C — Product Acceptance Gates</w:t>
      </w:r>
    </w:p>
    <w:tbl>
      <w:tblPr>
        <w:tblW w:type="auto" w:w="0"/>
        <w:jc w:val="center"/>
        <w:tblLayout w:type="fixed"/>
        <w:tblLook w:firstColumn="1" w:firstRow="1" w:lastColumn="0" w:lastRow="0" w:noHBand="0" w:noVBand="1" w:val="04A0"/>
      </w:tblPr>
      <w:tblGrid>
        <w:gridCol w:w="5083"/>
        <w:gridCol w:w="5083"/>
      </w:tblGrid>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Gate</w:t>
            </w:r>
          </w:p>
        </w:tc>
        <w:tc>
          <w:tcPr>
            <w:tcW w:type="dxa" w:w="84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17324D"/>
          </w:tcPr>
          <w:p>
            <w:pPr>
              <w:spacing w:after="0"/>
            </w:pPr>
            <w:r>
              <w:rPr>
                <w:rFonts w:ascii="Aptos" w:hAnsi="Aptos"/>
                <w:b/>
                <w:color w:val="FFFFFF"/>
                <w:sz w:val="16"/>
              </w:rPr>
              <w:t>Must be true before proceeding</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G0 Architecture</w:t>
            </w:r>
          </w:p>
        </w:tc>
        <w:tc>
          <w:tcPr>
            <w:tcW w:type="dxa" w:w="84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Core schemas versioned; implementation-truth rules and ADR process active.</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G1 Cell Runtime</w:t>
            </w:r>
          </w:p>
        </w:tc>
        <w:tc>
          <w:tcPr>
            <w:tcW w:type="dxa" w:w="84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One real mission executes through a Cell Image with deterministic policy and resource tracking.</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G2 Operator UX</w:t>
            </w:r>
          </w:p>
        </w:tc>
        <w:tc>
          <w:tcPr>
            <w:tcW w:type="dxa" w:w="84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User can create, inspect, stop and reproduce a Cell without direct database/manual runtime intervention.</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G3 Assurance</w:t>
            </w:r>
          </w:p>
        </w:tc>
        <w:tc>
          <w:tcPr>
            <w:tcW w:type="dxa" w:w="84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Positive assertions, replay fixture and receipt prove what ran and why it is considered successful.</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G4 HyperMESH</w:t>
            </w:r>
          </w:p>
        </w:tc>
        <w:tc>
          <w:tcPr>
            <w:tcW w:type="dxa" w:w="84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Authoritative evidence remains distinct from derived/vector/graph views; memory promotion is governed.</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G5 Evolution</w:t>
            </w:r>
          </w:p>
        </w:tc>
        <w:tc>
          <w:tcPr>
            <w:tcW w:type="dxa" w:w="84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Shadows cannot cause production side effects; evaluations are independent and reproducible.</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G6 Social/Avatar</w:t>
            </w:r>
          </w:p>
        </w:tc>
        <w:tc>
          <w:tcPr>
            <w:tcW w:type="dxa" w:w="84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Professional and avatar modes are state-equivalent; social rewards are evidence/outcome weighted.</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G7 Mesh</w:t>
            </w:r>
          </w:p>
        </w:tc>
        <w:tc>
          <w:tcPr>
            <w:tcW w:type="dxa" w:w="84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shd w:fill="F5F8FB"/>
          </w:tcPr>
          <w:p>
            <w:pPr>
              <w:spacing w:after="0"/>
            </w:pPr>
            <w:r>
              <w:rPr>
                <w:rFonts w:ascii="Aptos" w:hAnsi="Aptos"/>
                <w:sz w:val="16"/>
              </w:rPr>
              <w:t>Two nodes federate identity/policy/knowledge/capability without private-by-default violations.</w:t>
            </w:r>
          </w:p>
        </w:tc>
      </w:tr>
      <w:tr>
        <w:tc>
          <w:tcPr>
            <w:tcW w:type="dxa" w:w="1728"/>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G8 Organism</w:t>
            </w:r>
          </w:p>
        </w:tc>
        <w:tc>
          <w:tcPr>
            <w:tcW w:type="dxa" w:w="8424"/>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Mar>
              <w:top w:w="70" w:type="dxa"/>
              <w:start w:w="90" w:type="dxa"/>
              <w:bottom w:w="70" w:type="dxa"/>
              <w:end w:w="90" w:type="dxa"/>
            </w:tcMar>
            <w:vAlign w:val="center"/>
          </w:tcPr>
          <w:p>
            <w:pPr>
              <w:spacing w:after="0"/>
            </w:pPr>
            <w:r>
              <w:rPr>
                <w:rFonts w:ascii="Aptos" w:hAnsi="Aptos"/>
                <w:sz w:val="16"/>
              </w:rPr>
              <w:t>Organizational restructuring is proposed/evaluated in shadow before production change.</w:t>
            </w:r>
          </w:p>
        </w:tc>
      </w:tr>
    </w:tbl>
    <w:p>
      <w:pPr>
        <w:pStyle w:val="SmallNote"/>
      </w:pP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88C"/>
        <w:sz w:val="14"/>
      </w:rPr>
      <w:t>Design baseline — September 2026  |  Research / architecture working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88C"/>
        <w:sz w:val="15"/>
      </w:rPr>
      <w:t>CELL OS  |  PRODUCT + TECHNICAL DESIGN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356A9A"/>
      <w:sz w:val="29"/>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b/>
      <w:bCs/>
      <w:color w:val="1E2B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4788C"/>
      <w:sz w:val="16"/>
    </w:rPr>
  </w:style>
  <w:style w:type="paragraph" w:customStyle="1" w:styleId="Callout">
    <w:name w:val="Callout"/>
    <w:pPr>
      <w:spacing w:before="100" w:after="100"/>
      <w:ind w:left="259"/>
    </w:pPr>
    <w:rPr>
      <w:rFonts w:ascii="Aptos" w:hAnsi="Aptos"/>
      <w:b/>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