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p>
    <w:p>
      <w:pPr>
        <w:spacing w:after="140"/>
      </w:pPr>
    </w:p>
    <w:p>
      <w:pPr>
        <w:spacing w:after="140"/>
      </w:pPr>
    </w:p>
    <w:p>
      <w:pPr>
        <w:spacing w:after="140"/>
      </w:pPr>
    </w:p>
    <w:p>
      <w:pPr>
        <w:pStyle w:val="Kicker"/>
        <w:spacing w:after="360"/>
        <w:jc w:val="center"/>
      </w:pPr>
      <w:r>
        <w:t>DEEP RESEARCH · ARCHITECTURE DECISION</w:t>
      </w:r>
    </w:p>
    <w:p>
      <w:pPr>
        <w:pStyle w:val="ReportTitle"/>
        <w:spacing w:after="200"/>
        <w:jc w:val="center"/>
      </w:pPr>
      <w:r>
        <w:t>CELL // OS</w:t>
      </w:r>
    </w:p>
    <w:p>
      <w:pPr>
        <w:pStyle w:val="ReportTitle"/>
        <w:spacing w:after="160"/>
        <w:jc w:val="center"/>
      </w:pPr>
      <w:r>
        <w:rPr>
          <w:rFonts w:ascii="Calibri" w:hAnsi="Calibri"/>
          <w:b/>
          <w:color w:val="203748"/>
          <w:sz w:val="46"/>
        </w:rPr>
        <w:t>Quantum-Principles Architecture Audit</w:t>
      </w:r>
    </w:p>
    <w:p>
      <w:pPr>
        <w:pStyle w:val="ReportSubtitle"/>
        <w:spacing w:after="520"/>
        <w:jc w:val="center"/>
      </w:pPr>
      <w:r>
        <w:t>Where the ideas are real, where the metaphors stop,</w:t>
        <w:br/>
        <w:t>and which changes can improve the platform now</w:t>
      </w:r>
    </w:p>
    <w:p>
      <w:pPr>
        <w:spacing w:after="440"/>
        <w:pBdr>
          <w:bottom w:val="single" w:sz="18" w:space="1" w:color="2E74B5"/>
        </w:pBdr>
      </w:pP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3120"/>
        <w:gridCol w:w="3120"/>
        <w:gridCol w:w="3120"/>
      </w:tblGrid>
      <w:tr>
        <w:trPr>
          <w:tblHeader w:val="true"/>
        </w:trPr>
        <w:tc>
          <w:tcPr>
            <w:tcW w:type="dxa" w:w="3120"/>
            <w:tcMar>
              <w:top w:w="80" w:type="dxa"/>
              <w:start w:w="120" w:type="dxa"/>
              <w:bottom w:w="80" w:type="dxa"/>
              <w:end w:w="120" w:type="dxa"/>
            </w:tcMar>
            <w:shd w:fill="E8EEF5" w:val="clear"/>
            <w:vAlign w:val="center"/>
          </w:tcPr>
          <w:p>
            <w:pPr>
              <w:spacing w:after="0"/>
              <w:jc w:val="center"/>
            </w:pPr>
            <w:r>
              <w:rPr>
                <w:rFonts w:ascii="Calibri" w:hAnsi="Calibri"/>
                <w:b/>
                <w:color w:val="2E74B5"/>
                <w:sz w:val="17"/>
              </w:rPr>
              <w:t>USE NOW</w:t>
            </w:r>
          </w:p>
        </w:tc>
        <w:tc>
          <w:tcPr>
            <w:tcW w:type="dxa" w:w="3120"/>
            <w:tcMar>
              <w:top w:w="80" w:type="dxa"/>
              <w:start w:w="120" w:type="dxa"/>
              <w:bottom w:w="80" w:type="dxa"/>
              <w:end w:w="120" w:type="dxa"/>
            </w:tcMar>
            <w:shd w:fill="E8EEF5" w:val="clear"/>
            <w:vAlign w:val="center"/>
          </w:tcPr>
          <w:p>
            <w:pPr>
              <w:spacing w:after="0"/>
              <w:jc w:val="center"/>
            </w:pPr>
            <w:r>
              <w:rPr>
                <w:rFonts w:ascii="Calibri" w:hAnsi="Calibri"/>
                <w:b/>
                <w:color w:val="2E74B5"/>
                <w:sz w:val="17"/>
              </w:rPr>
              <w:t>TEST NARROWLY</w:t>
            </w:r>
          </w:p>
        </w:tc>
        <w:tc>
          <w:tcPr>
            <w:tcW w:type="dxa" w:w="3120"/>
            <w:tcMar>
              <w:top w:w="80" w:type="dxa"/>
              <w:start w:w="120" w:type="dxa"/>
              <w:bottom w:w="80" w:type="dxa"/>
              <w:end w:w="120" w:type="dxa"/>
            </w:tcMar>
            <w:shd w:fill="E8EEF5" w:val="clear"/>
            <w:vAlign w:val="center"/>
          </w:tcPr>
          <w:p>
            <w:pPr>
              <w:spacing w:after="0"/>
              <w:jc w:val="center"/>
            </w:pPr>
            <w:r>
              <w:rPr>
                <w:rFonts w:ascii="Calibri" w:hAnsi="Calibri"/>
                <w:b/>
                <w:color w:val="2E74B5"/>
                <w:sz w:val="17"/>
              </w:rPr>
              <w:t>DEFER</w:t>
            </w:r>
          </w:p>
        </w:tc>
      </w:tr>
      <w:tr>
        <w:tc>
          <w:tcPr>
            <w:tcW w:type="dxa" w:w="3120"/>
            <w:tcMar>
              <w:top w:w="80" w:type="dxa"/>
              <w:start w:w="120" w:type="dxa"/>
              <w:bottom w:w="80" w:type="dxa"/>
              <w:end w:w="120" w:type="dxa"/>
            </w:tcMar>
            <w:vAlign w:val="center"/>
          </w:tcPr>
          <w:p>
            <w:pPr>
              <w:spacing w:after="0"/>
              <w:jc w:val="center"/>
            </w:pPr>
            <w:r>
              <w:rPr>
                <w:rFonts w:ascii="Calibri" w:hAnsi="Calibri"/>
                <w:b/>
                <w:color w:val="203748"/>
                <w:sz w:val="20"/>
              </w:rPr>
              <w:t>Classical mechanisms</w:t>
            </w:r>
          </w:p>
        </w:tc>
        <w:tc>
          <w:tcPr>
            <w:tcW w:type="dxa" w:w="3120"/>
            <w:tcMar>
              <w:top w:w="80" w:type="dxa"/>
              <w:start w:w="120" w:type="dxa"/>
              <w:bottom w:w="80" w:type="dxa"/>
              <w:end w:w="120" w:type="dxa"/>
            </w:tcMar>
            <w:vAlign w:val="center"/>
          </w:tcPr>
          <w:p>
            <w:pPr>
              <w:spacing w:after="0"/>
              <w:jc w:val="center"/>
            </w:pPr>
            <w:r>
              <w:rPr>
                <w:rFonts w:ascii="Calibri" w:hAnsi="Calibri"/>
                <w:b/>
                <w:color w:val="203748"/>
                <w:sz w:val="20"/>
              </w:rPr>
              <w:t>Quantum probability</w:t>
            </w:r>
          </w:p>
        </w:tc>
        <w:tc>
          <w:tcPr>
            <w:tcW w:type="dxa" w:w="3120"/>
            <w:tcMar>
              <w:top w:w="80" w:type="dxa"/>
              <w:start w:w="120" w:type="dxa"/>
              <w:bottom w:w="80" w:type="dxa"/>
              <w:end w:w="120" w:type="dxa"/>
            </w:tcMar>
            <w:vAlign w:val="center"/>
          </w:tcPr>
          <w:p>
            <w:pPr>
              <w:spacing w:after="0"/>
              <w:jc w:val="center"/>
            </w:pPr>
            <w:r>
              <w:rPr>
                <w:rFonts w:ascii="Calibri" w:hAnsi="Calibri"/>
                <w:b/>
                <w:color w:val="203748"/>
                <w:sz w:val="20"/>
              </w:rPr>
              <w:t>Quantum hardware</w:t>
            </w:r>
          </w:p>
        </w:tc>
      </w:tr>
    </w:tbl>
    <w:p>
      <w:pPr>
        <w:spacing w:before="560" w:after="80"/>
        <w:jc w:val="center"/>
      </w:pPr>
      <w:r>
        <w:rPr>
          <w:rFonts w:ascii="Calibri" w:hAnsi="Calibri"/>
          <w:b/>
          <w:color w:val="5F6B76"/>
          <w:sz w:val="17"/>
        </w:rPr>
        <w:t>Platform scope</w:t>
      </w:r>
    </w:p>
    <w:p>
      <w:pPr>
        <w:spacing w:after="320"/>
        <w:jc w:val="center"/>
      </w:pPr>
      <w:r>
        <w:rPr>
          <w:rFonts w:ascii="Calibri" w:hAnsi="Calibri"/>
          <w:color w:val="1C2733"/>
          <w:sz w:val="19"/>
        </w:rPr>
        <w:t>Core · Operatives · Cells · HyperMESH · SIHRE · Assurance · ADAPT · NERVE · CELL-Q</w:t>
      </w:r>
    </w:p>
    <w:p>
      <w:pPr>
        <w:spacing w:after="40"/>
        <w:jc w:val="center"/>
      </w:pPr>
      <w:r>
        <w:rPr>
          <w:rFonts w:ascii="Calibri" w:hAnsi="Calibri"/>
          <w:b/>
          <w:color w:val="9B1C1C"/>
          <w:sz w:val="17"/>
        </w:rPr>
        <w:t>Research-only boundary for CELL-Q: historical replay, synthetic simulation, and paper environments</w:t>
      </w:r>
    </w:p>
    <w:p>
      <w:pPr>
        <w:jc w:val="center"/>
      </w:pPr>
      <w:r>
        <w:rPr>
          <w:rFonts w:ascii="Calibri" w:hAnsi="Calibri"/>
          <w:color w:val="5F6B76"/>
          <w:sz w:val="17"/>
        </w:rPr>
        <w:t>Evidence current through 4 September 2026</w:t>
      </w:r>
      <w:r>
        <w:br w:type="page"/>
      </w:r>
    </w:p>
    <w:p>
      <w:pPr>
        <w:pStyle w:val="Heading1"/>
        <w:keepNext/>
        <w:pageBreakBefore w:val="0"/>
      </w:pPr>
      <w:r>
        <w:rPr>
          <w:rFonts w:ascii="Calibri" w:hAnsi="Calibri"/>
          <w:color w:val="2E74B5"/>
          <w:sz w:val="32"/>
        </w:rPr>
        <w:t>Executive decision</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60" w:type="dxa"/>
              <w:start w:w="120" w:type="dxa"/>
              <w:bottom w:w="160" w:type="dxa"/>
              <w:end w:w="120" w:type="dxa"/>
            </w:tcMar>
            <w:shd w:fill="F4F8FC" w:val="clear"/>
          </w:tcPr>
          <w:p>
            <w:pPr>
              <w:spacing w:after="80"/>
            </w:pPr>
            <w:r>
              <w:rPr>
                <w:rFonts w:ascii="Calibri" w:hAnsi="Calibri"/>
                <w:b/>
                <w:color w:val="2E74B5"/>
                <w:sz w:val="17"/>
              </w:rPr>
              <w:t>VERDICT</w:t>
            </w:r>
          </w:p>
          <w:p>
            <w:pPr>
              <w:spacing w:after="0" w:line="269" w:lineRule="auto"/>
            </w:pPr>
            <w:r>
              <w:rPr>
                <w:rFonts w:ascii="Calibri" w:hAnsi="Calibri"/>
                <w:color w:val="1C2733"/>
                <w:sz w:val="21"/>
              </w:rPr>
              <w:t>Keep the "quantum-principled Operative" as a design lens, not as a new platform layer and not as a claim of quantum computation. Implement six concrete, classical mechanisms now: a Hypothesis Envelope, Commitment Gate, Measurement Firewall, Coupling Graph, uncertainty-triggered deliberation/architecture selector, and Drift Sentinel. Add budget racing and a diversity-preserving candidate archive when ADAPT becomes active. Run one narrow quantum-probability experiment for stable order effects. Keep quantum hardware behind a future solver adapter and promote it only if it wins a preregistered end-to-end benchmark.</w:t>
            </w:r>
          </w:p>
        </w:tc>
      </w:tr>
    </w:tbl>
    <w:p>
      <w:pPr>
        <w:spacing w:after="20"/>
      </w:pPr>
    </w:p>
    <w:p>
      <w:pPr>
        <w:widowControl/>
      </w:pPr>
      <w:r>
        <w:rPr>
          <w:rFonts w:ascii="Calibri" w:hAnsi="Calibri"/>
          <w:color w:val="1C2733"/>
        </w:rPr>
        <w:t>The most dramatic likely gain is not a quantum algorithm. It is preventing false improvement. CELL OS is designed to learn, evaluate, and promote its own configurations; without a strict measurement firewall, ADAPT and its Operatives can gradually overfit the evaluator, hidden test set, or proxy metric. That failure can produce impressive-looking gains that disappear under fresh evidence. The second largest opportunity is routing each mission to the cheapest architecture that is likely to work: solo first, with extra branches or agents only when decomposability, uncertainty, and expected value justify their coordination cost.</w:t>
      </w:r>
    </w:p>
    <w:p>
      <w:pPr>
        <w:widowControl/>
      </w:pPr>
      <w:r>
        <w:rPr>
          <w:rFonts w:ascii="Calibri" w:hAnsi="Calibri"/>
          <w:color w:val="1C2733"/>
        </w:rPr>
        <w:t xml:space="preserve">This report does </w:t>
      </w:r>
      <w:r>
        <w:rPr>
          <w:rFonts w:ascii="Calibri" w:hAnsi="Calibri"/>
          <w:b/>
          <w:color w:val="1C2733"/>
        </w:rPr>
        <w:t>not</w:t>
      </w:r>
      <w:r>
        <w:rPr>
          <w:rFonts w:ascii="Calibri" w:hAnsi="Calibri"/>
          <w:color w:val="1C2733"/>
        </w:rPr>
        <w:t xml:space="preserve"> recommend renaming CELL OS to QUANTA//OS, creating a "quantum kernel," representing ordinary shared state as entanglement, or treating quantum language as implementation evidence. In the quantitative research vertical, every proposal remains limited to historical replay, synthetic simulation, and paper environments; there is no live execution, brokerage integration, or investment recommendation.</w:t>
      </w:r>
    </w:p>
    <w:tbl>
      <w:tblPr>
        <w:tblW w:type="dxa" w:w="9360"/>
        <w:jc w:val="left"/>
        <w:tblLayout w:type="fixed"/>
        <w:tblLook w:firstColumn="1" w:firstRow="1" w:lastColumn="0" w:lastRow="0" w:noHBand="0" w:noVBand="1" w:val="04A0"/>
        <w:tblInd w:w="120" w:type="dxa"/>
        <w:tblBorders>
          <w:top w:val="single" w:sz="3" w:space="0" w:color="D8E0E8"/>
          <w:left w:val="single" w:sz="3" w:space="0" w:color="D8E0E8"/>
          <w:bottom w:val="single" w:sz="3" w:space="0" w:color="D8E0E8"/>
          <w:right w:val="single" w:sz="3" w:space="0" w:color="D8E0E8"/>
          <w:insideH w:val="single" w:sz="3" w:space="0" w:color="D8E0E8"/>
          <w:insideV w:val="single" w:sz="3" w:space="0" w:color="D8E0E8"/>
        </w:tblBorders>
      </w:tblPr>
      <w:tblGrid>
        <w:gridCol w:w="900"/>
        <w:gridCol w:w="8460"/>
      </w:tblGrid>
      <w:tr>
        <w:tc>
          <w:tcPr>
            <w:tcW w:type="dxa" w:w="900"/>
            <w:tcMar>
              <w:top w:w="80" w:type="dxa"/>
              <w:start w:w="120" w:type="dxa"/>
              <w:bottom w:w="80" w:type="dxa"/>
              <w:end w:w="120" w:type="dxa"/>
            </w:tcMar>
            <w:shd w:fill="E8EEF5" w:val="clear"/>
          </w:tcPr>
          <w:p>
            <w:pPr>
              <w:spacing w:after="0"/>
              <w:jc w:val="center"/>
            </w:pPr>
            <w:r>
              <w:rPr>
                <w:rFonts w:ascii="Calibri" w:hAnsi="Calibri"/>
                <w:b/>
                <w:color w:val="2E74B5"/>
                <w:sz w:val="17"/>
              </w:rPr>
              <w:t>01</w:t>
            </w:r>
          </w:p>
        </w:tc>
        <w:tc>
          <w:tcPr>
            <w:tcW w:type="dxa" w:w="8460"/>
            <w:tcMar>
              <w:top w:w="80" w:type="dxa"/>
              <w:start w:w="120" w:type="dxa"/>
              <w:bottom w:w="80" w:type="dxa"/>
              <w:end w:w="120" w:type="dxa"/>
            </w:tcMar>
          </w:tcPr>
          <w:p>
            <w:pPr>
              <w:spacing w:after="0"/>
            </w:pPr>
            <w:r>
              <w:rPr>
                <w:rFonts w:ascii="Calibri" w:hAnsi="Calibri"/>
                <w:b/>
                <w:color w:val="203748"/>
                <w:sz w:val="19"/>
              </w:rPr>
              <w:t>Decisions and evidence</w:t>
            </w:r>
          </w:p>
        </w:tc>
      </w:tr>
      <w:tr>
        <w:tc>
          <w:tcPr>
            <w:tcW w:type="dxa" w:w="900"/>
            <w:shd w:fill="E8EEF5" w:val="clear"/>
          </w:tcPr>
          <w:p>
            <w:pPr>
              <w:spacing w:after="0"/>
              <w:jc w:val="center"/>
            </w:pPr>
            <w:r>
              <w:rPr>
                <w:rFonts w:ascii="Calibri" w:hAnsi="Calibri"/>
                <w:b/>
                <w:color w:val="2E74B5"/>
                <w:sz w:val="17"/>
              </w:rPr>
              <w:t>02</w:t>
            </w:r>
          </w:p>
        </w:tc>
        <w:tc>
          <w:tcPr>
            <w:tcW w:type="dxa" w:w="8460"/>
          </w:tcPr>
          <w:p>
            <w:pPr>
              <w:spacing w:after="0"/>
            </w:pPr>
            <w:r>
              <w:rPr>
                <w:rFonts w:ascii="Calibri" w:hAnsi="Calibri"/>
                <w:b/>
                <w:color w:val="203748"/>
                <w:sz w:val="19"/>
              </w:rPr>
              <w:t>Cross-cutting architecture</w:t>
            </w:r>
          </w:p>
        </w:tc>
      </w:tr>
      <w:tr>
        <w:tc>
          <w:tcPr>
            <w:tcW w:type="dxa" w:w="900"/>
            <w:shd w:fill="E8EEF5" w:val="clear"/>
          </w:tcPr>
          <w:p>
            <w:pPr>
              <w:spacing w:after="0"/>
              <w:jc w:val="center"/>
            </w:pPr>
            <w:r>
              <w:rPr>
                <w:rFonts w:ascii="Calibri" w:hAnsi="Calibri"/>
                <w:b/>
                <w:color w:val="2E74B5"/>
                <w:sz w:val="17"/>
              </w:rPr>
              <w:t>03</w:t>
            </w:r>
          </w:p>
        </w:tc>
        <w:tc>
          <w:tcPr>
            <w:tcW w:type="dxa" w:w="8460"/>
          </w:tcPr>
          <w:p>
            <w:pPr>
              <w:spacing w:after="0"/>
            </w:pPr>
            <w:r>
              <w:rPr>
                <w:rFonts w:ascii="Calibri" w:hAnsi="Calibri"/>
                <w:b/>
                <w:color w:val="203748"/>
                <w:sz w:val="19"/>
              </w:rPr>
              <w:t>All planes, components, and genome domains</w:t>
            </w:r>
          </w:p>
        </w:tc>
      </w:tr>
      <w:tr>
        <w:tc>
          <w:tcPr>
            <w:tcW w:type="dxa" w:w="900"/>
            <w:shd w:fill="E8EEF5" w:val="clear"/>
          </w:tcPr>
          <w:p>
            <w:pPr>
              <w:spacing w:after="0"/>
              <w:jc w:val="center"/>
            </w:pPr>
            <w:r>
              <w:rPr>
                <w:rFonts w:ascii="Calibri" w:hAnsi="Calibri"/>
                <w:b/>
                <w:color w:val="2E74B5"/>
                <w:sz w:val="17"/>
              </w:rPr>
              <w:t>04</w:t>
            </w:r>
          </w:p>
        </w:tc>
        <w:tc>
          <w:tcPr>
            <w:tcW w:type="dxa" w:w="8460"/>
          </w:tcPr>
          <w:p>
            <w:pPr>
              <w:spacing w:after="0"/>
            </w:pPr>
            <w:r>
              <w:rPr>
                <w:rFonts w:ascii="Calibri" w:hAnsi="Calibri"/>
                <w:b/>
                <w:color w:val="203748"/>
                <w:sz w:val="19"/>
              </w:rPr>
              <w:t>Quick wins, experiments, and roadmap</w:t>
            </w:r>
          </w:p>
        </w:tc>
      </w:tr>
      <w:tr>
        <w:tc>
          <w:tcPr>
            <w:tcW w:type="dxa" w:w="900"/>
            <w:shd w:fill="E8EEF5" w:val="clear"/>
          </w:tcPr>
          <w:p>
            <w:pPr>
              <w:spacing w:after="0"/>
              <w:jc w:val="center"/>
            </w:pPr>
            <w:r>
              <w:rPr>
                <w:rFonts w:ascii="Calibri" w:hAnsi="Calibri"/>
                <w:b/>
                <w:color w:val="2E74B5"/>
                <w:sz w:val="17"/>
              </w:rPr>
              <w:t>05</w:t>
            </w:r>
          </w:p>
        </w:tc>
        <w:tc>
          <w:tcPr>
            <w:tcW w:type="dxa" w:w="8460"/>
          </w:tcPr>
          <w:p>
            <w:pPr>
              <w:spacing w:after="0"/>
            </w:pPr>
            <w:r>
              <w:rPr>
                <w:rFonts w:ascii="Calibri" w:hAnsi="Calibri"/>
                <w:b/>
                <w:color w:val="203748"/>
                <w:sz w:val="19"/>
              </w:rPr>
              <w:t>CELL-Q mapping and sources</w:t>
            </w:r>
          </w:p>
        </w:tc>
      </w:tr>
    </w:tbl>
    <w:p>
      <w:r>
        <w:br w:type="page"/>
      </w:r>
    </w:p>
    <w:p>
      <w:pPr>
        <w:pStyle w:val="Heading1"/>
        <w:keepNext/>
        <w:pageBreakBefore w:val="0"/>
      </w:pPr>
      <w:r>
        <w:rPr>
          <w:rFonts w:ascii="Calibri" w:hAnsi="Calibri"/>
          <w:color w:val="2E74B5"/>
          <w:sz w:val="32"/>
        </w:rPr>
        <w:t>1. Decisions at a glance</w:t>
      </w:r>
    </w:p>
    <w:p>
      <w:pPr>
        <w:pStyle w:val="Heading2"/>
        <w:keepNext/>
        <w:pageBreakBefore w:val="0"/>
      </w:pPr>
      <w:r>
        <w:rPr>
          <w:rFonts w:ascii="Calibri" w:hAnsi="Calibri"/>
          <w:color w:val="2E74B5"/>
          <w:sz w:val="26"/>
        </w:rPr>
        <w:t>1.1 What to adopt</w:t>
      </w:r>
    </w:p>
    <w:p>
      <w:pPr>
        <w:numPr>
          <w:ilvl w:val="0"/>
          <w:numId w:val="12"/>
        </w:numPr>
        <w:spacing w:after="160" w:line="280" w:lineRule="auto"/>
      </w:pPr>
      <w:r>
        <w:rPr>
          <w:rFonts w:ascii="Calibri" w:hAnsi="Calibri"/>
          <w:b/>
          <w:color w:val="1C2733"/>
        </w:rPr>
        <w:t>Hypothesis Envelope (superposition made concrete).</w:t>
      </w:r>
      <w:r>
        <w:rPr>
          <w:rFonts w:ascii="Calibri" w:hAnsi="Calibri"/>
          <w:color w:val="1C2733"/>
        </w:rPr>
        <w:t xml:space="preserve"> Preserve several explicit hypotheses, probabilities or intervals, supporting and contradicting evidence, provenance, and a correlation group until a decision boundary is reached. The representation is classical unless an experiment proves that a quantum-probability model predicts stable order effects better than classical alternatives.</w:t>
      </w:r>
    </w:p>
    <w:p>
      <w:pPr>
        <w:numPr>
          <w:ilvl w:val="0"/>
          <w:numId w:val="12"/>
        </w:numPr>
        <w:spacing w:after="160" w:line="280" w:lineRule="auto"/>
      </w:pPr>
      <w:r>
        <w:rPr>
          <w:rFonts w:ascii="Calibri" w:hAnsi="Calibri"/>
          <w:b/>
          <w:color w:val="1C2733"/>
        </w:rPr>
        <w:t>Commitment Gate and Commitment Receipt (collapse made concrete).</w:t>
      </w:r>
      <w:r>
        <w:rPr>
          <w:rFonts w:ascii="Calibri" w:hAnsi="Calibri"/>
          <w:color w:val="1C2733"/>
        </w:rPr>
        <w:t xml:space="preserve"> Bind an action only at the last responsible point, after value-of-information, cost, deadline, authority, and reversibility checks. The Kernel receives one resolved action and stays deterministic.</w:t>
      </w:r>
    </w:p>
    <w:p>
      <w:pPr>
        <w:numPr>
          <w:ilvl w:val="0"/>
          <w:numId w:val="12"/>
        </w:numPr>
        <w:spacing w:after="160" w:line="280" w:lineRule="auto"/>
      </w:pPr>
      <w:r>
        <w:rPr>
          <w:rFonts w:ascii="Calibri" w:hAnsi="Calibri"/>
          <w:b/>
          <w:color w:val="1C2733"/>
        </w:rPr>
        <w:t>Measurement Firewall (uncertainty/observer effect made concrete).</w:t>
      </w:r>
      <w:r>
        <w:rPr>
          <w:rFonts w:ascii="Calibri" w:hAnsi="Calibri"/>
          <w:color w:val="1C2733"/>
        </w:rPr>
        <w:t xml:space="preserve"> Separate candidate authors from evaluator identity, frozen rubrics, hidden data, promotion thresholds, and final certification. Meter adaptive queries, rotate fresh shadow cohorts, and use sequentially valid inference.</w:t>
      </w:r>
    </w:p>
    <w:p>
      <w:pPr>
        <w:numPr>
          <w:ilvl w:val="0"/>
          <w:numId w:val="12"/>
        </w:numPr>
        <w:spacing w:after="160" w:line="280" w:lineRule="auto"/>
      </w:pPr>
      <w:r>
        <w:rPr>
          <w:rFonts w:ascii="Calibri" w:hAnsi="Calibri"/>
          <w:b/>
          <w:color w:val="1C2733"/>
        </w:rPr>
        <w:t>Coupling Graph (entanglement made concrete and renamed).</w:t>
      </w:r>
      <w:r>
        <w:rPr>
          <w:rFonts w:ascii="Calibri" w:hAnsi="Calibri"/>
          <w:color w:val="1C2733"/>
        </w:rPr>
        <w:t xml:space="preserve"> Measure shared prompts, models, providers, retrieval sources, context, tools, training lineage, communication, and correlated failure. Use it to diversify teams and discount duplicated evidence.</w:t>
      </w:r>
    </w:p>
    <w:p>
      <w:pPr>
        <w:numPr>
          <w:ilvl w:val="0"/>
          <w:numId w:val="12"/>
        </w:numPr>
        <w:spacing w:after="160" w:line="280" w:lineRule="auto"/>
      </w:pPr>
      <w:r>
        <w:rPr>
          <w:rFonts w:ascii="Calibri" w:hAnsi="Calibri"/>
          <w:b/>
          <w:color w:val="1C2733"/>
        </w:rPr>
        <w:t>Uncertainty-triggered deliberation plus a solo-vs-Cell selector.</w:t>
      </w:r>
      <w:r>
        <w:rPr>
          <w:rFonts w:ascii="Calibri" w:hAnsi="Calibri"/>
          <w:color w:val="1C2733"/>
        </w:rPr>
        <w:t xml:space="preserve"> Spend extra samples, verifiers, agents, or tool calls only when expected information value exceeds cost and a held-out architecture selector predicts a positive lower confidence bound.</w:t>
      </w:r>
    </w:p>
    <w:p>
      <w:pPr>
        <w:numPr>
          <w:ilvl w:val="0"/>
          <w:numId w:val="12"/>
        </w:numPr>
        <w:spacing w:after="160" w:line="280" w:lineRule="auto"/>
      </w:pPr>
      <w:r>
        <w:rPr>
          <w:rFonts w:ascii="Calibri" w:hAnsi="Calibri"/>
          <w:b/>
          <w:color w:val="1C2733"/>
        </w:rPr>
        <w:t>Drift Sentinel (decoherence made concrete).</w:t>
      </w:r>
      <w:r>
        <w:rPr>
          <w:rFonts w:ascii="Calibri" w:hAnsi="Calibri"/>
          <w:color w:val="1C2733"/>
        </w:rPr>
        <w:t xml:space="preserve"> Detect changes in outcome quality, calibration, retrieval freshness, contradiction rate, tool reliability, latency, cost, and correlation structure. Drift creates an evidence event and state transition; it does not silently rewrite policy.</w:t>
      </w:r>
    </w:p>
    <w:p>
      <w:pPr>
        <w:numPr>
          <w:ilvl w:val="0"/>
          <w:numId w:val="12"/>
        </w:numPr>
        <w:spacing w:after="160" w:line="280" w:lineRule="auto"/>
      </w:pPr>
      <w:r>
        <w:rPr>
          <w:rFonts w:ascii="Calibri" w:hAnsi="Calibri"/>
          <w:b/>
          <w:color w:val="1C2733"/>
        </w:rPr>
        <w:t>Budget racing and diversity-preserving search (tunneling made concrete).</w:t>
      </w:r>
      <w:r>
        <w:rPr>
          <w:rFonts w:ascii="Calibri" w:hAnsi="Calibri"/>
          <w:color w:val="1C2733"/>
        </w:rPr>
        <w:t xml:space="preserve"> Use successive halving/ASHA or Hyperband to stop weak candidates early, then preserve a Pareto or MAP-Elites repertoire by mission/regime niche. Simulated annealing, restarts, and mutation are ordinary search operators available to ADAPT.</w:t>
      </w:r>
    </w:p>
    <w:p>
      <w:pPr>
        <w:pStyle w:val="Heading2"/>
        <w:keepNext/>
        <w:pageBreakBefore w:val="0"/>
      </w:pPr>
      <w:r>
        <w:rPr>
          <w:rFonts w:ascii="Calibri" w:hAnsi="Calibri"/>
          <w:color w:val="2E74B5"/>
          <w:sz w:val="26"/>
        </w:rPr>
        <w:t>1.2 What to experiment with</w:t>
      </w:r>
    </w:p>
    <w:p>
      <w:pPr>
        <w:numPr>
          <w:ilvl w:val="0"/>
          <w:numId w:val="10"/>
        </w:numPr>
        <w:spacing w:after="160" w:line="280" w:lineRule="auto"/>
      </w:pPr>
      <w:r>
        <w:rPr>
          <w:rFonts w:ascii="Calibri" w:hAnsi="Calibri"/>
          <w:b/>
          <w:color w:val="1C2733"/>
        </w:rPr>
        <w:t>Contextual Inference Adapter.</w:t>
      </w:r>
      <w:r>
        <w:rPr>
          <w:rFonts w:ascii="Calibri" w:hAnsi="Calibri"/>
          <w:color w:val="1C2733"/>
        </w:rPr>
        <w:t xml:space="preserve"> A research-only Hilbert-space/quantum-probability model for decisions where AB and BA evidence sequences produce repeatable, materially different judgments. It must beat Bayesian, Markov, and sequence-feature baselines out of sample after accounting for direct order influence and parameter count.</w:t>
      </w:r>
    </w:p>
    <w:p>
      <w:pPr>
        <w:numPr>
          <w:ilvl w:val="0"/>
          <w:numId w:val="10"/>
        </w:numPr>
        <w:spacing w:after="160" w:line="280" w:lineRule="auto"/>
      </w:pPr>
      <w:r>
        <w:rPr>
          <w:rFonts w:ascii="Calibri" w:hAnsi="Calibri"/>
          <w:b/>
          <w:color w:val="1C2733"/>
        </w:rPr>
        <w:t>QUBO Solver Adapter.</w:t>
      </w:r>
      <w:r>
        <w:rPr>
          <w:rFonts w:ascii="Calibri" w:hAnsi="Calibri"/>
          <w:color w:val="1C2733"/>
        </w:rPr>
        <w:t xml:space="preserve"> A provider-neutral interface for binary quadratic subproblems such as constrained topology or assignment. It should support classical CP-SAT, MILP, simulated annealing, and later quantum/hybrid backends under identical budgets and full end-to-end timing.</w:t>
      </w:r>
    </w:p>
    <w:p>
      <w:pPr>
        <w:numPr>
          <w:ilvl w:val="0"/>
          <w:numId w:val="10"/>
        </w:numPr>
        <w:spacing w:after="160" w:line="280" w:lineRule="auto"/>
      </w:pPr>
      <w:r>
        <w:rPr>
          <w:rFonts w:ascii="Calibri" w:hAnsi="Calibri"/>
          <w:b/>
          <w:color w:val="1C2733"/>
        </w:rPr>
        <w:t>Communication-free quantum multi-agent reinforcement learning.</w:t>
      </w:r>
      <w:r>
        <w:rPr>
          <w:rFonts w:ascii="Calibri" w:hAnsi="Calibri"/>
          <w:color w:val="1C2733"/>
        </w:rPr>
        <w:t xml:space="preserve"> Laboratory only, and only if CELL OS later controls distributed physical or edge agents that cannot communicate during an episode. It is not relevant to current message-rich LLM Operatives.</w:t>
      </w:r>
    </w:p>
    <w:p>
      <w:pPr>
        <w:pStyle w:val="Heading2"/>
        <w:keepNext/>
        <w:pageBreakBefore w:val="0"/>
      </w:pPr>
      <w:r>
        <w:rPr>
          <w:rFonts w:ascii="Calibri" w:hAnsi="Calibri"/>
          <w:color w:val="2E74B5"/>
          <w:sz w:val="26"/>
        </w:rPr>
        <w:t>1.3 What to reject</w:t>
      </w:r>
    </w:p>
    <w:p>
      <w:pPr>
        <w:numPr>
          <w:ilvl w:val="0"/>
          <w:numId w:val="10"/>
        </w:numPr>
        <w:spacing w:after="160" w:line="280" w:lineRule="auto"/>
      </w:pPr>
      <w:r>
        <w:rPr>
          <w:rFonts w:ascii="Calibri" w:hAnsi="Calibri"/>
          <w:color w:val="1C2733"/>
        </w:rPr>
        <w:t>A quantum-branded core layer, "wavefunction" in production schemas, or complex amplitudes for ordinary confidence scores.</w:t>
      </w:r>
    </w:p>
    <w:p>
      <w:pPr>
        <w:numPr>
          <w:ilvl w:val="0"/>
          <w:numId w:val="10"/>
        </w:numPr>
        <w:spacing w:after="160" w:line="280" w:lineRule="auto"/>
      </w:pPr>
      <w:r>
        <w:rPr>
          <w:rFonts w:ascii="Calibri" w:hAnsi="Calibri"/>
          <w:color w:val="1C2733"/>
        </w:rPr>
        <w:t>"Entanglement" as a synonym for CellBus, shared memory, pub/sub, or synchronized state.</w:t>
      </w:r>
    </w:p>
    <w:p>
      <w:pPr>
        <w:numPr>
          <w:ilvl w:val="0"/>
          <w:numId w:val="10"/>
        </w:numPr>
        <w:spacing w:after="160" w:line="280" w:lineRule="auto"/>
      </w:pPr>
      <w:r>
        <w:rPr>
          <w:rFonts w:ascii="Calibri" w:hAnsi="Calibri"/>
          <w:color w:val="1C2733"/>
        </w:rPr>
        <w:t>Naive constructive/destructive interference by summing signed signals without calibration, dependence correction, or a proper scoring rule.</w:t>
      </w:r>
    </w:p>
    <w:p>
      <w:pPr>
        <w:numPr>
          <w:ilvl w:val="0"/>
          <w:numId w:val="10"/>
        </w:numPr>
        <w:spacing w:after="160" w:line="280" w:lineRule="auto"/>
      </w:pPr>
      <w:r>
        <w:rPr>
          <w:rFonts w:ascii="Calibri" w:hAnsi="Calibri"/>
          <w:color w:val="1C2733"/>
        </w:rPr>
        <w:t>Quantum annealing as a general replacement for constraint programming, mixed-integer optimization, evolutionary search, or Bayesian optimization.</w:t>
      </w:r>
    </w:p>
    <w:p>
      <w:pPr>
        <w:numPr>
          <w:ilvl w:val="0"/>
          <w:numId w:val="10"/>
        </w:numPr>
        <w:spacing w:after="160" w:line="280" w:lineRule="auto"/>
      </w:pPr>
      <w:r>
        <w:rPr>
          <w:rFonts w:ascii="Calibri" w:hAnsi="Calibri"/>
          <w:color w:val="1C2733"/>
        </w:rPr>
        <w:t>Constant multi-agent deliberation. Strong single agents can outgrow collaboration benefits, and communication cost/error amplification can dominate.</w:t>
      </w:r>
    </w:p>
    <w:p>
      <w:pPr>
        <w:numPr>
          <w:ilvl w:val="0"/>
          <w:numId w:val="10"/>
        </w:numPr>
        <w:spacing w:after="160" w:line="280" w:lineRule="auto"/>
      </w:pPr>
      <w:r>
        <w:rPr>
          <w:rFonts w:ascii="Calibri" w:hAnsi="Calibri"/>
          <w:color w:val="1C2733"/>
        </w:rPr>
        <w:t>"Decoherence" as a catch-all for every runtime failure. Keep the metaphor in product narrative; use specific drift, staleness, calibration, and health metrics in engineering.</w:t>
      </w:r>
    </w:p>
    <w:p>
      <w:pPr>
        <w:pStyle w:val="Heading1"/>
        <w:keepNext/>
        <w:pageBreakBefore w:val="0"/>
      </w:pPr>
      <w:r>
        <w:rPr>
          <w:rFonts w:ascii="Calibri" w:hAnsi="Calibri"/>
          <w:color w:val="2E74B5"/>
          <w:sz w:val="32"/>
        </w:rPr>
        <w:t>2. Research question and method</w:t>
      </w:r>
    </w:p>
    <w:p>
      <w:pPr>
        <w:widowControl/>
      </w:pPr>
      <w:r>
        <w:rPr>
          <w:rFonts w:ascii="Calibri" w:hAnsi="Calibri"/>
          <w:color w:val="1C2733"/>
        </w:rPr>
        <w:t>The audit tested four distinct meanings that are often blurred together:</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750"/>
        <w:gridCol w:w="2760"/>
        <w:gridCol w:w="2800"/>
        <w:gridCol w:w="2050"/>
      </w:tblGrid>
      <w:tr>
        <w:trPr>
          <w:tblHeader w:val="true"/>
          <w:cantSplit/>
        </w:trPr>
        <w:tc>
          <w:tcPr>
            <w:tcW w:type="dxa" w:w="175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Level</w:t>
            </w:r>
          </w:p>
        </w:tc>
        <w:tc>
          <w:tcPr>
            <w:tcW w:type="dxa" w:w="276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Meaning</w:t>
            </w:r>
          </w:p>
        </w:tc>
        <w:tc>
          <w:tcPr>
            <w:tcW w:type="dxa" w:w="28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Standard of evidence</w:t>
            </w:r>
          </w:p>
        </w:tc>
        <w:tc>
          <w:tcPr>
            <w:tcW w:type="dxa" w:w="205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CELL OS disposition</w:t>
            </w:r>
          </w:p>
        </w:tc>
      </w:tr>
      <w:tr>
        <w:trPr>
          <w:cantSplit/>
        </w:trPr>
        <w:tc>
          <w:tcPr>
            <w:tcW w:type="dxa" w:w="17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Quantum hardware</w:t>
            </w:r>
          </w:p>
        </w:tc>
        <w:tc>
          <w:tcPr>
            <w:tcW w:type="dxa" w:w="27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Physical qubits, annealers, or gates execute a workload</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End-to-end advantage over best tuned classical baselines on a preregistered application benchmark</w:t>
            </w:r>
          </w:p>
        </w:tc>
        <w:tc>
          <w:tcPr>
            <w:tcW w:type="dxa" w:w="20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Future adapter only</w:t>
            </w:r>
          </w:p>
        </w:tc>
      </w:tr>
      <w:tr>
        <w:trPr>
          <w:cantSplit/>
        </w:trPr>
        <w:tc>
          <w:tcPr>
            <w:tcW w:type="dxa" w:w="17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Quantum-inspired algorithm</w:t>
            </w:r>
          </w:p>
        </w:tc>
        <w:tc>
          <w:tcPr>
            <w:tcW w:type="dxa" w:w="27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A classical algorithm borrows an idea such as annealing, bifurcation, amplitudes, or tensor structure</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Better quality/cost/latency on CELL workloads; no hardware claim</w:t>
            </w:r>
          </w:p>
        </w:tc>
        <w:tc>
          <w:tcPr>
            <w:tcW w:type="dxa" w:w="20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Selectively useful</w:t>
            </w:r>
          </w:p>
        </w:tc>
      </w:tr>
      <w:tr>
        <w:trPr>
          <w:cantSplit/>
        </w:trPr>
        <w:tc>
          <w:tcPr>
            <w:tcW w:type="dxa" w:w="17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Quantum probability/cognition</w:t>
            </w:r>
          </w:p>
        </w:tc>
        <w:tc>
          <w:tcPr>
            <w:tcW w:type="dxa" w:w="27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Hilbert-space probability models contextual or order-sensitive judgments</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Cross-validated predictive lift over classical probabilistic/sequence models</w:t>
            </w:r>
          </w:p>
        </w:tc>
        <w:tc>
          <w:tcPr>
            <w:tcW w:type="dxa" w:w="20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Narrow experiment</w:t>
            </w:r>
          </w:p>
        </w:tc>
      </w:tr>
      <w:tr>
        <w:trPr>
          <w:cantSplit/>
        </w:trPr>
        <w:tc>
          <w:tcPr>
            <w:tcW w:type="dxa" w:w="17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Quantum metaphor</w:t>
            </w:r>
          </w:p>
        </w:tc>
        <w:tc>
          <w:tcPr>
            <w:tcW w:type="dxa" w:w="27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Words such as superposition, collapse, entanglement, tunneling, and decoherence describe an operating principle</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Every metaphor must compile to a named contract, metric, algorithm, and falsification test</w:t>
            </w:r>
          </w:p>
        </w:tc>
        <w:tc>
          <w:tcPr>
            <w:tcW w:type="dxa" w:w="20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Useful only as design language</w:t>
            </w:r>
          </w:p>
        </w:tc>
      </w:tr>
    </w:tbl>
    <w:p>
      <w:pPr>
        <w:spacing w:after="20"/>
      </w:pPr>
    </w:p>
    <w:p>
      <w:pPr>
        <w:widowControl/>
      </w:pPr>
      <w:r>
        <w:rPr>
          <w:rFonts w:ascii="Calibri" w:hAnsi="Calibri"/>
          <w:color w:val="1C2733"/>
        </w:rPr>
        <w:t>The internal architecture basis is the current CELL OS artifact set: the capability/acronym/HyperMESH scan, v0.1 product/technical cross-reference audit, recursive Operative Genesis review, optimized Deep Research prompt manifest v2, and the project artifact audit dated 3 September 2026 [A1-A5]. These establish the canonical hierarchy, vocabulary, execution boundary, evidence lifecycle, 13 capability planes, seven HyperMESH overlays, and 14 ADAPT Configuration Genome domains.</w:t>
      </w:r>
    </w:p>
    <w:p>
      <w:pPr>
        <w:widowControl/>
      </w:pPr>
      <w:r>
        <w:rPr>
          <w:rFonts w:ascii="Calibri" w:hAnsi="Calibri"/>
          <w:color w:val="1C2733"/>
        </w:rPr>
        <w:t xml:space="preserve">The external review prioritized peer-reviewed research, primary papers, and official solver documentation. It deliberately looked for evidence </w:t>
      </w:r>
      <w:r>
        <w:rPr>
          <w:rFonts w:ascii="Calibri" w:hAnsi="Calibri"/>
          <w:b/>
          <w:color w:val="1C2733"/>
        </w:rPr>
        <w:t>against</w:t>
      </w:r>
      <w:r>
        <w:rPr>
          <w:rFonts w:ascii="Calibri" w:hAnsi="Calibri"/>
          <w:color w:val="1C2733"/>
        </w:rPr>
        <w:t xml:space="preserve"> the quantum framing: classical alternatives for uncertain reasoning, negative and mixed evidence on collaboration, adaptive-evaluation failure, limited quantum-annealing advantage, and tests that distinguish true contextuality from ordinary order effects.</w:t>
      </w:r>
    </w:p>
    <w:p>
      <w:pPr>
        <w:pStyle w:val="Heading1"/>
        <w:keepNext/>
        <w:pageBreakBefore w:val="0"/>
      </w:pPr>
      <w:r>
        <w:rPr>
          <w:rFonts w:ascii="Calibri" w:hAnsi="Calibri"/>
          <w:color w:val="2E74B5"/>
          <w:sz w:val="32"/>
        </w:rPr>
        <w:t>3. Architecture baseline: what is already strong</w:t>
      </w:r>
    </w:p>
    <w:p>
      <w:pPr>
        <w:widowControl/>
      </w:pPr>
      <w:r>
        <w:rPr>
          <w:rFonts w:ascii="Calibri" w:hAnsi="Calibri"/>
          <w:color w:val="1C2733"/>
        </w:rPr>
        <w:t>CELL OS already contains most of the correct architectural primitives. The canonical pipeline is:</w:t>
      </w:r>
    </w:p>
    <w:p>
      <w:pPr>
        <w:widowControl/>
      </w:pPr>
      <w:r>
        <w:rPr>
          <w:rFonts w:ascii="Calibri" w:hAnsi="Calibri"/>
          <w:b/>
          <w:color w:val="1C2733"/>
        </w:rPr>
        <w:t>Mission -&gt; Intent Contract -&gt; Mission Signature and WorkGraph -&gt; Capability Gap -&gt; Genesis Planner -&gt; Org-IR/Cell Genome -&gt; Organization Compiler -&gt; immutable Cell Image -&gt; CELL Kernel -&gt; evidence, replay, learning, and controlled reconfiguration.</w:t>
      </w:r>
    </w:p>
    <w:p>
      <w:pPr>
        <w:widowControl/>
      </w:pPr>
      <w:r>
        <w:rPr>
          <w:rFonts w:ascii="Calibri" w:hAnsi="Calibri"/>
          <w:color w:val="1C2733"/>
        </w:rPr>
        <w:t>The core boundary is sound: an adaptive control plane may propose configurations, but a deterministic Kernel enforces identity, authority, budgets, side effects, idempotency, and runtime state. CellBus and typed Link Contracts connect Operatives, Cells, teams, and organizations through C-MESH, T-MESH, and OS-MESH. HyperMESH is a policy-governed multiplex of organization, mission, communication, knowledge/provenance, capability, authority/trust, and runtime/resource overlays. SIHRE governs cognition and verification; Mission Assurance Receipts, replay, Shadow Twins, and the Evolution Chamber support evidence-backed promotion; ADAPT is explicitly subordinate to frozen policy and an independent evaluator [A2-A4].</w:t>
      </w:r>
    </w:p>
    <w:p>
      <w:pPr>
        <w:widowControl/>
      </w:pPr>
      <w:r>
        <w:rPr>
          <w:rFonts w:ascii="Calibri" w:hAnsi="Calibri"/>
          <w:color w:val="1C2733"/>
        </w:rPr>
        <w:t xml:space="preserve">That design means the best quantum-principled changes are </w:t>
      </w:r>
      <w:r>
        <w:rPr>
          <w:rFonts w:ascii="Calibri" w:hAnsi="Calibri"/>
          <w:b/>
          <w:color w:val="1C2733"/>
        </w:rPr>
        <w:t>cross-cutting contracts and controllers</w:t>
      </w:r>
      <w:r>
        <w:rPr>
          <w:rFonts w:ascii="Calibri" w:hAnsi="Calibri"/>
          <w:color w:val="1C2733"/>
        </w:rPr>
        <w:t>, not another vertical layer. They should strengthen the existing lifecycle:</w:t>
      </w:r>
    </w:p>
    <w:p>
      <w:pPr>
        <w:widowControl/>
      </w:pPr>
      <w:r>
        <w:rPr>
          <w:rFonts w:ascii="Calibri" w:hAnsi="Calibri"/>
          <w:b/>
          <w:color w:val="1C2733"/>
        </w:rPr>
        <w:t>represent uncertainty -&gt; selectively deliberate -&gt; commit -&gt; execute deterministically -&gt; measure behind a firewall -&gt; detect drift -&gt; compare candidates -&gt; promote through independent gates.</w:t>
      </w:r>
    </w:p>
    <w:p>
      <w:pPr>
        <w:pStyle w:val="Heading2"/>
        <w:keepNext/>
        <w:pageBreakBefore w:val="0"/>
      </w:pPr>
      <w:r>
        <w:rPr>
          <w:rFonts w:ascii="Calibri" w:hAnsi="Calibri"/>
          <w:color w:val="2E74B5"/>
          <w:sz w:val="26"/>
        </w:rPr>
        <w:t>3.1 Fit with current invariants</w:t>
      </w:r>
    </w:p>
    <w:p>
      <w:pPr>
        <w:widowControl/>
      </w:pPr>
      <w:r>
        <w:rPr>
          <w:rFonts w:ascii="Calibri" w:hAnsi="Calibri"/>
          <w:color w:val="1C2733"/>
        </w:rPr>
        <w:t>The recommendations preserve the current invariants:</w:t>
      </w:r>
    </w:p>
    <w:p>
      <w:pPr>
        <w:numPr>
          <w:ilvl w:val="0"/>
          <w:numId w:val="10"/>
        </w:numPr>
        <w:spacing w:after="160" w:line="280" w:lineRule="auto"/>
      </w:pPr>
      <w:r>
        <w:rPr>
          <w:rFonts w:ascii="Calibri" w:hAnsi="Calibri"/>
          <w:color w:val="1C2733"/>
        </w:rPr>
        <w:t>immutable constitutional policy, evaluator separation, holdout isolation, audit history, budgets, tenancy, and rollback;</w:t>
      </w:r>
    </w:p>
    <w:p>
      <w:pPr>
        <w:numPr>
          <w:ilvl w:val="0"/>
          <w:numId w:val="10"/>
        </w:numPr>
        <w:spacing w:after="160" w:line="280" w:lineRule="auto"/>
      </w:pPr>
      <w:r>
        <w:rPr>
          <w:rFonts w:ascii="Calibri" w:hAnsi="Calibri"/>
          <w:color w:val="1C2733"/>
        </w:rPr>
        <w:t>minimum sufficient organization and solo-first execution;</w:t>
      </w:r>
    </w:p>
    <w:p>
      <w:pPr>
        <w:numPr>
          <w:ilvl w:val="0"/>
          <w:numId w:val="10"/>
        </w:numPr>
        <w:spacing w:after="160" w:line="280" w:lineRule="auto"/>
      </w:pPr>
      <w:r>
        <w:rPr>
          <w:rFonts w:ascii="Calibri" w:hAnsi="Calibri"/>
          <w:color w:val="1C2733"/>
        </w:rPr>
        <w:t>sparse, typed, observable, mission-shaped meshes rather than full mesh;</w:t>
      </w:r>
    </w:p>
    <w:p>
      <w:pPr>
        <w:numPr>
          <w:ilvl w:val="0"/>
          <w:numId w:val="10"/>
        </w:numPr>
        <w:spacing w:after="160" w:line="280" w:lineRule="auto"/>
      </w:pPr>
      <w:r>
        <w:rPr>
          <w:rFonts w:ascii="Calibri" w:hAnsi="Calibri"/>
          <w:color w:val="1C2733"/>
        </w:rPr>
        <w:t>versioned genotype, observed phenotype, append-only history, and mission-conditioned readiness;</w:t>
      </w:r>
    </w:p>
    <w:p>
      <w:pPr>
        <w:numPr>
          <w:ilvl w:val="0"/>
          <w:numId w:val="10"/>
        </w:numPr>
        <w:spacing w:after="160" w:line="280" w:lineRule="auto"/>
      </w:pPr>
      <w:r>
        <w:rPr>
          <w:rFonts w:ascii="Calibri" w:hAnsi="Calibri"/>
          <w:color w:val="1C2733"/>
        </w:rPr>
        <w:t>no unrestricted recursive spawning, self-certification, authority expansion, or direct production mutation;</w:t>
      </w:r>
    </w:p>
    <w:p>
      <w:pPr>
        <w:numPr>
          <w:ilvl w:val="0"/>
          <w:numId w:val="10"/>
        </w:numPr>
        <w:spacing w:after="160" w:line="280" w:lineRule="auto"/>
      </w:pPr>
      <w:r>
        <w:rPr>
          <w:rFonts w:ascii="Calibri" w:hAnsi="Calibri"/>
          <w:color w:val="1C2733"/>
        </w:rPr>
        <w:t>ADAPT deferred until replay, debugger, simulation, and independent evaluation are mature;</w:t>
      </w:r>
    </w:p>
    <w:p>
      <w:pPr>
        <w:numPr>
          <w:ilvl w:val="0"/>
          <w:numId w:val="10"/>
        </w:numPr>
        <w:spacing w:after="160" w:line="280" w:lineRule="auto"/>
      </w:pPr>
      <w:r>
        <w:rPr>
          <w:rFonts w:ascii="Calibri" w:hAnsi="Calibri"/>
          <w:color w:val="1C2733"/>
        </w:rPr>
        <w:t>OS-MESH federation deferred until identity, policy, interoperability, and evidence contracts mature.</w:t>
      </w:r>
    </w:p>
    <w:p>
      <w:pPr>
        <w:pStyle w:val="Heading1"/>
        <w:keepNext/>
        <w:pageBreakBefore w:val="0"/>
      </w:pPr>
      <w:r>
        <w:rPr>
          <w:rFonts w:ascii="Calibri" w:hAnsi="Calibri"/>
          <w:color w:val="2E74B5"/>
          <w:sz w:val="32"/>
        </w:rPr>
        <w:t>4. Evidence synthesis</w:t>
      </w:r>
    </w:p>
    <w:p>
      <w:pPr>
        <w:pStyle w:val="Heading2"/>
        <w:keepNext/>
        <w:pageBreakBefore w:val="0"/>
      </w:pPr>
      <w:r>
        <w:rPr>
          <w:rFonts w:ascii="Calibri" w:hAnsi="Calibri"/>
          <w:color w:val="2E74B5"/>
          <w:sz w:val="26"/>
        </w:rPr>
        <w:t>4.1 Superposition: useful requirement, classical implementation</w:t>
      </w:r>
    </w:p>
    <w:p>
      <w:pPr>
        <w:widowControl/>
      </w:pPr>
      <w:r>
        <w:rPr>
          <w:rFonts w:ascii="Calibri" w:hAnsi="Calibri"/>
          <w:color w:val="1C2733"/>
        </w:rPr>
        <w:t xml:space="preserve">A partially observable decision system normally maintains a </w:t>
      </w:r>
      <w:r>
        <w:rPr>
          <w:rFonts w:ascii="Calibri" w:hAnsi="Calibri"/>
          <w:b/>
          <w:color w:val="1C2733"/>
        </w:rPr>
        <w:t>belief state</w:t>
      </w:r>
      <w:r>
        <w:rPr>
          <w:rFonts w:ascii="Calibri" w:hAnsi="Calibri"/>
          <w:color w:val="1C2733"/>
        </w:rPr>
        <w:t>: a probability distribution over hidden states that is updated as observations arrive. POMDP theory has provided this classical mechanism for decades [S1]. For LLM reasoning, self-consistency similarly samples diverse paths and marginalizes answers; its original evaluation reported substantial gains on several reasoning benchmarks, although later multi-agent evidence shows that benefits depend on model capability and task structure [S2, S6]. Semantic entropy groups sampled outputs by meaning and detects confabulation better than token-level uncertainty on evaluated tasks [S3]. Deep ensembles offer a simple, parallelizable uncertainty baseline [S4].</w:t>
      </w:r>
    </w:p>
    <w:p>
      <w:pPr>
        <w:widowControl/>
      </w:pPr>
      <w:r>
        <w:rPr>
          <w:rFonts w:ascii="Calibri" w:hAnsi="Calibri"/>
          <w:color w:val="1C2733"/>
        </w:rPr>
        <w:t>Therefore, "hold a superposition" is a good product requirement but not evidence for a quantum representation. CELL OS should first implement calibrated classical beliefs, intervals, ensembles, semantic clusters, and abstention. Quantum probability is justified only if incompatible measurement contexts create stable effects a classical joint distribution or explicit sequence model cannot economically represent.</w:t>
      </w:r>
    </w:p>
    <w:p>
      <w:pPr>
        <w:pStyle w:val="Heading2"/>
        <w:keepNext/>
        <w:pageBreakBefore w:val="0"/>
      </w:pPr>
      <w:r>
        <w:rPr>
          <w:rFonts w:ascii="Calibri" w:hAnsi="Calibri"/>
          <w:color w:val="2E74B5"/>
          <w:sz w:val="26"/>
        </w:rPr>
        <w:t>4.2 Collapse: a strong control principle, not a physical event</w:t>
      </w:r>
    </w:p>
    <w:p>
      <w:pPr>
        <w:widowControl/>
      </w:pPr>
      <w:r>
        <w:rPr>
          <w:rFonts w:ascii="Calibri" w:hAnsi="Calibri"/>
          <w:color w:val="1C2733"/>
        </w:rPr>
        <w:t>Deferring commitment is valuable when new information may arrive and reversibility declines over time. Rational metareasoning formalizes whether another computation is worth its cost [S5]. The architecture implication is a Commitment Gate between probabilistic deliberation and binding execution. It must consider uncertainty, expected information value, deadline, reversibility, risk class, authority, and resource budget. Once the gate resolves a choice, Org-IR or the mission plan is compiled and the immutable Cell Image/Kernel boundary remains unchanged.</w:t>
      </w:r>
    </w:p>
    <w:p>
      <w:pPr>
        <w:widowControl/>
      </w:pPr>
      <w:r>
        <w:rPr>
          <w:rFonts w:ascii="Calibri" w:hAnsi="Calibri"/>
          <w:color w:val="1C2733"/>
        </w:rPr>
        <w:t>Late binding must not become mid-run self-mutation. Reopening a decision creates a new version, Shadow Twin, or controlled replan with a new receipt.</w:t>
      </w:r>
    </w:p>
    <w:p>
      <w:pPr>
        <w:pStyle w:val="Heading2"/>
        <w:keepNext/>
        <w:pageBreakBefore w:val="0"/>
      </w:pPr>
      <w:r>
        <w:rPr>
          <w:rFonts w:ascii="Calibri" w:hAnsi="Calibri"/>
          <w:color w:val="2E74B5"/>
          <w:sz w:val="26"/>
        </w:rPr>
        <w:t>4.3 Entanglement: reject the word in engineering; measure coupling</w:t>
      </w:r>
    </w:p>
    <w:p>
      <w:pPr>
        <w:widowControl/>
      </w:pPr>
      <w:r>
        <w:rPr>
          <w:rFonts w:ascii="Calibri" w:hAnsi="Calibri"/>
          <w:color w:val="1C2733"/>
        </w:rPr>
        <w:t>CellBus and HyperMESH create ordinary information and causal dependencies. They do not create quantum entanglement. The relevant engineering phenomena are shared-cause error, correlated evidence, communication overhead, authority coupling, context contamination, and cascading failure.</w:t>
      </w:r>
    </w:p>
    <w:p>
      <w:pPr>
        <w:widowControl/>
      </w:pPr>
      <w:r>
        <w:rPr>
          <w:rFonts w:ascii="Calibri" w:hAnsi="Calibri"/>
          <w:color w:val="1C2733"/>
        </w:rPr>
        <w:t>A large controlled study of 260 multi-agent configurations found that collaboration value depended strongly on the single-agent baseline and task structure; decomposable work could improve substantially while sequential planning could degrade substantially. It also reported greater independent error amplification in decentralized systems, superlinear communication overhead beyond moderate team sizes, and no general heterogeneous-team advantage [S6]. A separate debate study found that initial answer diversity and calibrated confidence updates mattered more than debate by itself [S7]. Mixture-of-agents evidence also shows that repeatedly sampling a strong model can beat a nominally diverse set of weaker models [S8].</w:t>
      </w:r>
    </w:p>
    <w:p>
      <w:pPr>
        <w:widowControl/>
      </w:pPr>
      <w:r>
        <w:rPr>
          <w:rFonts w:ascii="Calibri" w:hAnsi="Calibri"/>
          <w:color w:val="1C2733"/>
        </w:rPr>
        <w:t xml:space="preserve">CELL OS should therefore store a </w:t>
      </w:r>
      <w:r>
        <w:rPr>
          <w:rFonts w:ascii="Calibri" w:hAnsi="Calibri"/>
          <w:b/>
          <w:color w:val="1C2733"/>
        </w:rPr>
        <w:t>Coupling Profile</w:t>
      </w:r>
      <w:r>
        <w:rPr>
          <w:rFonts w:ascii="Calibri" w:hAnsi="Calibri"/>
          <w:color w:val="1C2733"/>
        </w:rPr>
        <w:t xml:space="preserve"> and select agents for complementary expected error, not role labels or vendor diversity alone. Evaluation and research must remain deliberately disentangled through identity, context, and data barriers.</w:t>
      </w:r>
    </w:p>
    <w:p>
      <w:pPr>
        <w:pStyle w:val="Heading2"/>
        <w:keepNext/>
        <w:pageBreakBefore w:val="0"/>
      </w:pPr>
      <w:r>
        <w:rPr>
          <w:rFonts w:ascii="Calibri" w:hAnsi="Calibri"/>
          <w:color w:val="2E74B5"/>
          <w:sz w:val="26"/>
        </w:rPr>
        <w:t>4.4 Uncertainty/observer effect: the highest-leverage analogy</w:t>
      </w:r>
    </w:p>
    <w:p>
      <w:pPr>
        <w:widowControl/>
      </w:pPr>
      <w:r>
        <w:rPr>
          <w:rFonts w:ascii="Calibri" w:hAnsi="Calibri"/>
          <w:color w:val="1C2733"/>
        </w:rPr>
        <w:t>Repeatedly consulting a holdout and adapting to its result overfits the holdout [S9]. Continuously watching an experiment and deciding when to stop also invalidates ordinary fixed-horizon inference; always-valid sequential methods address that failure mode [S10]. Goodhart failures become more severe as optimization pressure pushes a proxy outside the regime where it tracks the real objective [S11]. Performative prediction adds another loop: actions based on predictions can change the target distribution [S12].</w:t>
      </w:r>
    </w:p>
    <w:p>
      <w:pPr>
        <w:widowControl/>
      </w:pPr>
      <w:r>
        <w:rPr>
          <w:rFonts w:ascii="Calibri" w:hAnsi="Calibri"/>
          <w:color w:val="1C2733"/>
        </w:rPr>
        <w:t>These are not a quantum uncertainty principle, but they are the closest operational analogue and a critical architectural risk. The Measurement Firewall should make evaluation an independently governed capability with query budgets, sealed datasets, blinded evaluator identity, immutable test versions, fresh shadow cohorts, sequentially valid stopping rules, null controls, and an append-only trial ledger.</w:t>
      </w:r>
    </w:p>
    <w:p>
      <w:pPr>
        <w:pStyle w:val="Heading2"/>
        <w:keepNext/>
        <w:pageBreakBefore w:val="0"/>
      </w:pPr>
      <w:r>
        <w:rPr>
          <w:rFonts w:ascii="Calibri" w:hAnsi="Calibri"/>
          <w:color w:val="2E74B5"/>
          <w:sz w:val="26"/>
        </w:rPr>
        <w:t>4.5 Tunneling: good search metaphor; ordinary algorithms win first</w:t>
      </w:r>
    </w:p>
    <w:p>
      <w:pPr>
        <w:widowControl/>
      </w:pPr>
      <w:r>
        <w:rPr>
          <w:rFonts w:ascii="Calibri" w:hAnsi="Calibri"/>
          <w:color w:val="1C2733"/>
        </w:rPr>
        <w:t>Simulated annealing intentionally accepts some worse moves to escape local optima [S13]. Hyperband and ASHA allocate resources adaptively and stop weak candidates early; Hyperband reported order-of-magnitude speedups in its experimental comparisons, while ASHA improves parallelism and avoids synchronization stragglers [S14, S15]. BOHB combines Hyperband-style budgets with model-based search [S16]. MAP-Elites preserves a repertoire of high-performing but behaviorally different solutions [S17]. NSGA-II and modern multi-objective Bayesian optimization maintain Pareto trade-offs rather than collapsing everything into one score [S18, S19].</w:t>
      </w:r>
    </w:p>
    <w:p>
      <w:pPr>
        <w:widowControl/>
      </w:pPr>
      <w:r>
        <w:rPr>
          <w:rFonts w:ascii="Calibri" w:hAnsi="Calibri"/>
          <w:color w:val="1C2733"/>
        </w:rPr>
        <w:t>These methods map directly to ADAPT and the Evolution Chamber. Quantum-inspired simulated bifurcation can be another classical search operator for appropriate Ising/QUBO problems [S20], but it should compete in the same operator portfolio instead of receiving privileged status.</w:t>
      </w:r>
    </w:p>
    <w:p>
      <w:pPr>
        <w:pStyle w:val="Heading2"/>
        <w:keepNext/>
        <w:pageBreakBefore w:val="0"/>
      </w:pPr>
      <w:r>
        <w:rPr>
          <w:rFonts w:ascii="Calibri" w:hAnsi="Calibri"/>
          <w:color w:val="2E74B5"/>
          <w:sz w:val="26"/>
        </w:rPr>
        <w:t>4.6 Interference: dependence-aware evidence fusion, not amplitude theater</w:t>
      </w:r>
    </w:p>
    <w:p>
      <w:pPr>
        <w:widowControl/>
      </w:pPr>
      <w:r>
        <w:rPr>
          <w:rFonts w:ascii="Calibri" w:hAnsi="Calibri"/>
          <w:color w:val="1C2733"/>
        </w:rPr>
        <w:t>Two agents agreeing is only strong evidence when their errors and evidence sources are sufficiently independent. LLM errors can be correlated, including provider/architecture effects that bias LLM-as-judge evaluation [S21]. Evidence fusion should use calibrated likelihoods, Bayesian model averaging/stacking or a learned gating model, dependence penalties, source lineage, and abstention. Continuous signed signals can remain, but every output also needs uncertainty, horizon, validity interval, and correlation group.</w:t>
      </w:r>
    </w:p>
    <w:p>
      <w:pPr>
        <w:widowControl/>
      </w:pPr>
      <w:r>
        <w:rPr>
          <w:rFonts w:ascii="Calibri" w:hAnsi="Calibri"/>
          <w:color w:val="1C2733"/>
        </w:rPr>
        <w:t>Complex probability amplitudes can model order-sensitive judgments, but they should not be the default combiner for ordinary signals. The platform should first compare against logistic stacking, Bayesian model averaging, covariance shrinkage, and regime-conditioned mixtures under proper scoring rules.</w:t>
      </w:r>
    </w:p>
    <w:p>
      <w:pPr>
        <w:pStyle w:val="Heading2"/>
        <w:keepNext/>
        <w:pageBreakBefore w:val="0"/>
      </w:pPr>
      <w:r>
        <w:rPr>
          <w:rFonts w:ascii="Calibri" w:hAnsi="Calibri"/>
          <w:color w:val="2E74B5"/>
          <w:sz w:val="26"/>
        </w:rPr>
        <w:t>4.7 Decoherence: split the metaphor into observable drift types</w:t>
      </w:r>
    </w:p>
    <w:p>
      <w:pPr>
        <w:widowControl/>
      </w:pPr>
      <w:r>
        <w:rPr>
          <w:rFonts w:ascii="Calibri" w:hAnsi="Calibri"/>
          <w:color w:val="1C2733"/>
        </w:rPr>
        <w:t>Concept drift research distinguishes changes in data distributions, target relationships, and performance [S22]. For CELL OS, the monitor should separate:</w:t>
      </w:r>
    </w:p>
    <w:p>
      <w:pPr>
        <w:numPr>
          <w:ilvl w:val="0"/>
          <w:numId w:val="10"/>
        </w:numPr>
        <w:spacing w:after="160" w:line="280" w:lineRule="auto"/>
      </w:pPr>
      <w:r>
        <w:rPr>
          <w:rFonts w:ascii="Calibri" w:hAnsi="Calibri"/>
          <w:color w:val="1C2733"/>
        </w:rPr>
        <w:t>data/schema and retrieval freshness drift;</w:t>
      </w:r>
    </w:p>
    <w:p>
      <w:pPr>
        <w:numPr>
          <w:ilvl w:val="0"/>
          <w:numId w:val="10"/>
        </w:numPr>
        <w:spacing w:after="160" w:line="280" w:lineRule="auto"/>
      </w:pPr>
      <w:r>
        <w:rPr>
          <w:rFonts w:ascii="Calibri" w:hAnsi="Calibri"/>
          <w:color w:val="1C2733"/>
        </w:rPr>
        <w:t>model output, calibration, and abstention drift;</w:t>
      </w:r>
    </w:p>
    <w:p>
      <w:pPr>
        <w:numPr>
          <w:ilvl w:val="0"/>
          <w:numId w:val="10"/>
        </w:numPr>
        <w:spacing w:after="160" w:line="280" w:lineRule="auto"/>
      </w:pPr>
      <w:r>
        <w:rPr>
          <w:rFonts w:ascii="Calibri" w:hAnsi="Calibri"/>
          <w:color w:val="1C2733"/>
        </w:rPr>
        <w:t>tool/API reliability and latency drift;</w:t>
      </w:r>
    </w:p>
    <w:p>
      <w:pPr>
        <w:numPr>
          <w:ilvl w:val="0"/>
          <w:numId w:val="10"/>
        </w:numPr>
        <w:spacing w:after="160" w:line="280" w:lineRule="auto"/>
      </w:pPr>
      <w:r>
        <w:rPr>
          <w:rFonts w:ascii="Calibri" w:hAnsi="Calibri"/>
          <w:color w:val="1C2733"/>
        </w:rPr>
        <w:t>prompt/skill/configuration drift;</w:t>
      </w:r>
    </w:p>
    <w:p>
      <w:pPr>
        <w:numPr>
          <w:ilvl w:val="0"/>
          <w:numId w:val="10"/>
        </w:numPr>
        <w:spacing w:after="160" w:line="280" w:lineRule="auto"/>
      </w:pPr>
      <w:r>
        <w:rPr>
          <w:rFonts w:ascii="Calibri" w:hAnsi="Calibri"/>
          <w:color w:val="1C2733"/>
        </w:rPr>
        <w:t>communication usefulness and correlation drift;</w:t>
      </w:r>
    </w:p>
    <w:p>
      <w:pPr>
        <w:numPr>
          <w:ilvl w:val="0"/>
          <w:numId w:val="10"/>
        </w:numPr>
        <w:spacing w:after="160" w:line="280" w:lineRule="auto"/>
      </w:pPr>
      <w:r>
        <w:rPr>
          <w:rFonts w:ascii="Calibri" w:hAnsi="Calibri"/>
          <w:color w:val="1C2733"/>
        </w:rPr>
        <w:t>evaluator residual and false-green drift;</w:t>
      </w:r>
    </w:p>
    <w:p>
      <w:pPr>
        <w:numPr>
          <w:ilvl w:val="0"/>
          <w:numId w:val="10"/>
        </w:numPr>
        <w:spacing w:after="160" w:line="280" w:lineRule="auto"/>
      </w:pPr>
      <w:r>
        <w:rPr>
          <w:rFonts w:ascii="Calibri" w:hAnsi="Calibri"/>
          <w:color w:val="1C2733"/>
        </w:rPr>
        <w:t>policy, authority, and certification version drift.</w:t>
      </w:r>
    </w:p>
    <w:p>
      <w:pPr>
        <w:widowControl/>
      </w:pPr>
      <w:r>
        <w:rPr>
          <w:rFonts w:ascii="Calibri" w:hAnsi="Calibri"/>
          <w:color w:val="1C2733"/>
        </w:rPr>
        <w:t>Each drift event receives evidence, severity, scope, a response policy, and recovery criteria. The platform can call the aggregate product view "coherence," but the stored events must use precise names.</w:t>
      </w:r>
    </w:p>
    <w:p>
      <w:pPr>
        <w:pStyle w:val="Heading2"/>
        <w:keepNext/>
        <w:pageBreakBefore w:val="0"/>
      </w:pPr>
      <w:r>
        <w:rPr>
          <w:rFonts w:ascii="Calibri" w:hAnsi="Calibri"/>
          <w:color w:val="2E74B5"/>
          <w:sz w:val="26"/>
        </w:rPr>
        <w:t>4.8 Quantization: already present; do not oversell it</w:t>
      </w:r>
    </w:p>
    <w:p>
      <w:pPr>
        <w:widowControl/>
      </w:pPr>
      <w:r>
        <w:rPr>
          <w:rFonts w:ascii="Calibri" w:hAnsi="Calibri"/>
          <w:color w:val="1C2733"/>
        </w:rPr>
        <w:t>CELL OS already uses discrete versions, lifecycle states, gates, leases, verdicts, budgets, retry limits, and resource quanta. Those are good systems design and a useful part of the CELL brand, but not a differentiating quantum mechanism. Keep the state machines; avoid presenting ordinary discretization as scientific novelty.</w:t>
      </w:r>
    </w:p>
    <w:p>
      <w:pPr>
        <w:pStyle w:val="Heading1"/>
        <w:keepNext/>
        <w:pageBreakBefore w:val="0"/>
      </w:pPr>
      <w:r>
        <w:rPr>
          <w:rFonts w:ascii="Calibri" w:hAnsi="Calibri"/>
          <w:color w:val="2E74B5"/>
          <w:sz w:val="32"/>
        </w:rPr>
        <w:t>5. The recommended cross-cutting architecture</w:t>
      </w:r>
    </w:p>
    <w:p>
      <w:pPr>
        <w:pStyle w:val="Heading2"/>
        <w:keepNext/>
        <w:pageBreakBefore w:val="0"/>
      </w:pPr>
      <w:r>
        <w:rPr>
          <w:rFonts w:ascii="Calibri" w:hAnsi="Calibri"/>
          <w:color w:val="2E74B5"/>
          <w:sz w:val="26"/>
        </w:rPr>
        <w:t>5.1 Hypothesis Envelope</w:t>
      </w:r>
    </w:p>
    <w:p>
      <w:pPr>
        <w:widowControl/>
      </w:pPr>
      <w:r>
        <w:rPr>
          <w:rFonts w:ascii="Calibri" w:hAnsi="Calibri"/>
          <w:color w:val="1C2733"/>
        </w:rPr>
        <w:t>Introduce a versioned object at Operative, Cell, and mission scope:</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Field group</w:t>
            </w:r>
          </w:p>
        </w:tc>
        <w:tc>
          <w:tcPr>
            <w:tcW w:type="dxa" w:w="726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Required fields</w:t>
            </w:r>
          </w:p>
        </w:tc>
      </w:tr>
      <w:tr>
        <w:trPr>
          <w:cantSplit/>
        </w:trPr>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Identity</w:t>
            </w:r>
          </w:p>
        </w:tc>
        <w:tc>
          <w:tcPr>
            <w:tcW w:type="dxa" w:w="72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envelope ID/version, mission/task, owner, creation time, expiry</w:t>
            </w:r>
          </w:p>
        </w:tc>
      </w:tr>
      <w:tr>
        <w:trPr>
          <w:cantSplit/>
        </w:trPr>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Candidate state</w:t>
            </w:r>
          </w:p>
        </w:tc>
        <w:tc>
          <w:tcPr>
            <w:tcW w:type="dxa" w:w="72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hypothesis ID, proposition/plan, probability or interval, rank, status</w:t>
            </w:r>
          </w:p>
        </w:tc>
      </w:tr>
      <w:tr>
        <w:trPr>
          <w:cantSplit/>
        </w:trPr>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Evidence</w:t>
            </w:r>
          </w:p>
        </w:tc>
        <w:tc>
          <w:tcPr>
            <w:tcW w:type="dxa" w:w="72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supporting and contradicting claims, source IDs, timestamps, provenance paths</w:t>
            </w:r>
          </w:p>
        </w:tc>
      </w:tr>
      <w:tr>
        <w:trPr>
          <w:cantSplit/>
        </w:trPr>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Dependence</w:t>
            </w:r>
          </w:p>
        </w:tc>
        <w:tc>
          <w:tcPr>
            <w:tcW w:type="dxa" w:w="72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correlation group, shared model/provider/prompt/retrieval/tool lineage</w:t>
            </w:r>
          </w:p>
        </w:tc>
      </w:tr>
      <w:tr>
        <w:trPr>
          <w:cantSplit/>
        </w:trPr>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Quality</w:t>
            </w:r>
          </w:p>
        </w:tc>
        <w:tc>
          <w:tcPr>
            <w:tcW w:type="dxa" w:w="72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calibration class, semantic cluster, test coverage, counterexample status</w:t>
            </w:r>
          </w:p>
        </w:tc>
      </w:tr>
      <w:tr>
        <w:trPr>
          <w:cantSplit/>
        </w:trPr>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Decision</w:t>
            </w:r>
          </w:p>
        </w:tc>
        <w:tc>
          <w:tcPr>
            <w:tcW w:type="dxa" w:w="72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value of information, next measurement, deadline, reversibility, risk class</w:t>
            </w:r>
          </w:p>
        </w:tc>
      </w:tr>
      <w:tr>
        <w:trPr>
          <w:cantSplit/>
        </w:trPr>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Outcome</w:t>
            </w:r>
          </w:p>
        </w:tc>
        <w:tc>
          <w:tcPr>
            <w:tcW w:type="dxa" w:w="72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selected/abstained/escalated, commitment receipt, later calibration result</w:t>
            </w:r>
          </w:p>
        </w:tc>
      </w:tr>
    </w:tbl>
    <w:p>
      <w:pPr>
        <w:spacing w:after="20"/>
      </w:pPr>
    </w:p>
    <w:p>
      <w:pPr>
        <w:widowControl/>
      </w:pPr>
      <w:r>
        <w:rPr>
          <w:rFonts w:ascii="Calibri" w:hAnsi="Calibri"/>
          <w:color w:val="1C2733"/>
        </w:rPr>
        <w:t>Do not force exact probabilities when evidence is weak. Allow intervals or ordered confidence classes, but require the representation type and calibration history to be explicit.</w:t>
      </w:r>
    </w:p>
    <w:p>
      <w:pPr>
        <w:pStyle w:val="Heading2"/>
        <w:keepNext/>
        <w:pageBreakBefore w:val="0"/>
      </w:pPr>
      <w:r>
        <w:rPr>
          <w:rFonts w:ascii="Calibri" w:hAnsi="Calibri"/>
          <w:color w:val="2E74B5"/>
          <w:sz w:val="26"/>
        </w:rPr>
        <w:t>5.2 Commitment Gate and Receipt</w:t>
      </w:r>
    </w:p>
    <w:p>
      <w:pPr>
        <w:widowControl/>
      </w:pPr>
      <w:r>
        <w:rPr>
          <w:rFonts w:ascii="Calibri" w:hAnsi="Calibri"/>
          <w:color w:val="1C2733"/>
        </w:rPr>
        <w:t xml:space="preserve">The gate resolves a Hypothesis Envelope into one of five outcomes: </w:t>
      </w:r>
      <w:r>
        <w:rPr>
          <w:rFonts w:ascii="Calibri" w:hAnsi="Calibri"/>
          <w:b/>
          <w:color w:val="1C2733"/>
        </w:rPr>
        <w:t>commit, gather evidence, branch, abstain, or escalate</w:t>
      </w:r>
      <w:r>
        <w:rPr>
          <w:rFonts w:ascii="Calibri" w:hAnsi="Calibri"/>
          <w:color w:val="1C2733"/>
        </w:rPr>
        <w:t>. Its receipt records inputs, policy version, alternatives considered, uncertainty, information-value calculation, authority, deadline, reversibility class, selected action, and rollback/reopen conditions.</w:t>
      </w:r>
    </w:p>
    <w:p>
      <w:pPr>
        <w:widowControl/>
      </w:pPr>
      <w:r>
        <w:rPr>
          <w:rFonts w:ascii="Calibri" w:hAnsi="Calibri"/>
          <w:color w:val="1C2733"/>
        </w:rPr>
        <w:t>The gate belongs in SIHRE/ORCA at the control-to-runtime boundary. It must not let an LLM directly perform irreversible effects. The Kernel validates the compiled action and normal capability-security rules.</w:t>
      </w:r>
    </w:p>
    <w:p>
      <w:pPr>
        <w:pStyle w:val="Heading2"/>
        <w:keepNext/>
        <w:pageBreakBefore w:val="0"/>
      </w:pPr>
      <w:r>
        <w:rPr>
          <w:rFonts w:ascii="Calibri" w:hAnsi="Calibri"/>
          <w:color w:val="2E74B5"/>
          <w:sz w:val="26"/>
        </w:rPr>
        <w:t>5.3 Measurement Firewall</w:t>
      </w:r>
    </w:p>
    <w:p>
      <w:pPr>
        <w:widowControl/>
      </w:pPr>
      <w:r>
        <w:rPr>
          <w:rFonts w:ascii="Calibri" w:hAnsi="Calibri"/>
          <w:color w:val="1C2733"/>
        </w:rPr>
        <w:t>The firewall consists of five separations:</w:t>
      </w:r>
    </w:p>
    <w:p>
      <w:pPr>
        <w:numPr>
          <w:ilvl w:val="0"/>
          <w:numId w:val="13"/>
        </w:numPr>
        <w:spacing w:after="160" w:line="280" w:lineRule="auto"/>
      </w:pPr>
      <w:r>
        <w:rPr>
          <w:rFonts w:ascii="Calibri" w:hAnsi="Calibri"/>
          <w:b/>
          <w:color w:val="1C2733"/>
        </w:rPr>
        <w:t>Principal separation:</w:t>
      </w:r>
      <w:r>
        <w:rPr>
          <w:rFonts w:ascii="Calibri" w:hAnsi="Calibri"/>
          <w:color w:val="1C2733"/>
        </w:rPr>
        <w:t xml:space="preserve"> candidate author, test orchestrator, evaluator, certifier, and promoter are distinct identities or trust domains.</w:t>
      </w:r>
    </w:p>
    <w:p>
      <w:pPr>
        <w:numPr>
          <w:ilvl w:val="0"/>
          <w:numId w:val="13"/>
        </w:numPr>
        <w:spacing w:after="160" w:line="280" w:lineRule="auto"/>
      </w:pPr>
      <w:r>
        <w:rPr>
          <w:rFonts w:ascii="Calibri" w:hAnsi="Calibri"/>
          <w:b/>
          <w:color w:val="1C2733"/>
        </w:rPr>
        <w:t>Information separation:</w:t>
      </w:r>
      <w:r>
        <w:rPr>
          <w:rFonts w:ascii="Calibri" w:hAnsi="Calibri"/>
          <w:color w:val="1C2733"/>
        </w:rPr>
        <w:t xml:space="preserve"> hidden data, evaluator prompt/rubric, thresholds, and fresh cohorts are not visible to candidate-generating agents.</w:t>
      </w:r>
    </w:p>
    <w:p>
      <w:pPr>
        <w:numPr>
          <w:ilvl w:val="0"/>
          <w:numId w:val="13"/>
        </w:numPr>
        <w:spacing w:after="160" w:line="280" w:lineRule="auto"/>
      </w:pPr>
      <w:r>
        <w:rPr>
          <w:rFonts w:ascii="Calibri" w:hAnsi="Calibri"/>
          <w:b/>
          <w:color w:val="1C2733"/>
        </w:rPr>
        <w:t>Time separation:</w:t>
      </w:r>
      <w:r>
        <w:rPr>
          <w:rFonts w:ascii="Calibri" w:hAnsi="Calibri"/>
          <w:color w:val="1C2733"/>
        </w:rPr>
        <w:t xml:space="preserve"> promotion uses a frozen preregistered protocol; changes create a new experiment version.</w:t>
      </w:r>
    </w:p>
    <w:p>
      <w:pPr>
        <w:numPr>
          <w:ilvl w:val="0"/>
          <w:numId w:val="13"/>
        </w:numPr>
        <w:spacing w:after="160" w:line="280" w:lineRule="auto"/>
      </w:pPr>
      <w:r>
        <w:rPr>
          <w:rFonts w:ascii="Calibri" w:hAnsi="Calibri"/>
          <w:b/>
          <w:color w:val="1C2733"/>
        </w:rPr>
        <w:t>Budget separation:</w:t>
      </w:r>
      <w:r>
        <w:rPr>
          <w:rFonts w:ascii="Calibri" w:hAnsi="Calibri"/>
          <w:color w:val="1C2733"/>
        </w:rPr>
        <w:t xml:space="preserve"> every adaptive query consumes a holdout/evaluator budget and is logged.</w:t>
      </w:r>
    </w:p>
    <w:p>
      <w:pPr>
        <w:numPr>
          <w:ilvl w:val="0"/>
          <w:numId w:val="13"/>
        </w:numPr>
        <w:spacing w:after="160" w:line="280" w:lineRule="auto"/>
      </w:pPr>
      <w:r>
        <w:rPr>
          <w:rFonts w:ascii="Calibri" w:hAnsi="Calibri"/>
          <w:b/>
          <w:color w:val="1C2733"/>
        </w:rPr>
        <w:t>Authority separation:</w:t>
      </w:r>
      <w:r>
        <w:rPr>
          <w:rFonts w:ascii="Calibri" w:hAnsi="Calibri"/>
          <w:color w:val="1C2733"/>
        </w:rPr>
        <w:t xml:space="preserve"> ADAPT may propose; it cannot rewrite policy, evaluator, holdout, evidence history, tenancy, or promotion gates.</w:t>
      </w:r>
    </w:p>
    <w:p>
      <w:pPr>
        <w:widowControl/>
      </w:pPr>
      <w:r>
        <w:rPr>
          <w:rFonts w:ascii="Calibri" w:hAnsi="Calibri"/>
          <w:color w:val="1C2733"/>
        </w:rPr>
        <w:t>For general missions, use null tasks, canaries, negative controls, fresh samples, and sequentially valid confidence bounds. For CELL-Q historical/synthetic research, add point-in-time datasets, immutable data vintages, a complete trial-count ledger, White's Reality Check or a suitable multiple-testing correction, Probability of Backtest Overfitting, and Deflated Sharpe Ratio as diagnostics rather than trusting the best reported simulation [S23-S25].</w:t>
      </w:r>
    </w:p>
    <w:p>
      <w:pPr>
        <w:pStyle w:val="Heading2"/>
        <w:keepNext/>
        <w:pageBreakBefore w:val="0"/>
      </w:pPr>
      <w:r>
        <w:rPr>
          <w:rFonts w:ascii="Calibri" w:hAnsi="Calibri"/>
          <w:color w:val="2E74B5"/>
          <w:sz w:val="26"/>
        </w:rPr>
        <w:t>5.4 Coupling Graph</w:t>
      </w:r>
    </w:p>
    <w:p>
      <w:pPr>
        <w:widowControl/>
      </w:pPr>
      <w:r>
        <w:rPr>
          <w:rFonts w:ascii="Calibri" w:hAnsi="Calibri"/>
          <w:color w:val="1C2733"/>
        </w:rPr>
        <w:t>Add typed edges to the HyperMESH authority/trust, communication, provenance, and capability overlays:</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900"/>
        <w:gridCol w:w="3300"/>
        <w:gridCol w:w="4160"/>
      </w:tblGrid>
      <w:tr>
        <w:trPr>
          <w:tblHeader w:val="true"/>
          <w:cantSplit/>
        </w:trPr>
        <w:tc>
          <w:tcPr>
            <w:tcW w:type="dxa" w:w="19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Coupling edge</w:t>
            </w:r>
          </w:p>
        </w:tc>
        <w:tc>
          <w:tcPr>
            <w:tcW w:type="dxa" w:w="33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Example telemetry</w:t>
            </w:r>
          </w:p>
        </w:tc>
        <w:tc>
          <w:tcPr>
            <w:tcW w:type="dxa" w:w="416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Use</w:t>
            </w:r>
          </w:p>
        </w:tc>
      </w:tr>
      <w:tr>
        <w:trPr>
          <w:cantSplit/>
        </w:trPr>
        <w:tc>
          <w:tcPr>
            <w:tcW w:type="dxa" w:w="1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Shared generator</w:t>
            </w:r>
          </w:p>
        </w:tc>
        <w:tc>
          <w:tcPr>
            <w:tcW w:type="dxa" w:w="3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same model/provider/checkpoint/prompt template</w:t>
            </w:r>
          </w:p>
        </w:tc>
        <w:tc>
          <w:tcPr>
            <w:tcW w:type="dxa" w:w="41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common-mode error penalty</w:t>
            </w:r>
          </w:p>
        </w:tc>
      </w:tr>
      <w:tr>
        <w:trPr>
          <w:cantSplit/>
        </w:trPr>
        <w:tc>
          <w:tcPr>
            <w:tcW w:type="dxa" w:w="1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Shared evidence</w:t>
            </w:r>
          </w:p>
        </w:tc>
        <w:tc>
          <w:tcPr>
            <w:tcW w:type="dxa" w:w="3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same source, document, dataset, retrieval chunk</w:t>
            </w:r>
          </w:p>
        </w:tc>
        <w:tc>
          <w:tcPr>
            <w:tcW w:type="dxa" w:w="41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duplicate-evidence discount</w:t>
            </w:r>
          </w:p>
        </w:tc>
      </w:tr>
      <w:tr>
        <w:trPr>
          <w:cantSplit/>
        </w:trPr>
        <w:tc>
          <w:tcPr>
            <w:tcW w:type="dxa" w:w="1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Communication</w:t>
            </w:r>
          </w:p>
        </w:tc>
        <w:tc>
          <w:tcPr>
            <w:tcW w:type="dxa" w:w="3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messages sent, tokens, wait time, loop count</w:t>
            </w:r>
          </w:p>
        </w:tc>
        <w:tc>
          <w:tcPr>
            <w:tcW w:type="dxa" w:w="41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coordination cost and value</w:t>
            </w:r>
          </w:p>
        </w:tc>
      </w:tr>
      <w:tr>
        <w:trPr>
          <w:cantSplit/>
        </w:trPr>
        <w:tc>
          <w:tcPr>
            <w:tcW w:type="dxa" w:w="1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Error dependence</w:t>
            </w:r>
          </w:p>
        </w:tc>
        <w:tc>
          <w:tcPr>
            <w:tcW w:type="dxa" w:w="3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double-fault rate, residual correlation, disagreement confusion matrix</w:t>
            </w:r>
          </w:p>
        </w:tc>
        <w:tc>
          <w:tcPr>
            <w:tcW w:type="dxa" w:w="41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team selection and assurance</w:t>
            </w:r>
          </w:p>
        </w:tc>
      </w:tr>
      <w:tr>
        <w:trPr>
          <w:cantSplit/>
        </w:trPr>
        <w:tc>
          <w:tcPr>
            <w:tcW w:type="dxa" w:w="1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Authority</w:t>
            </w:r>
          </w:p>
        </w:tc>
        <w:tc>
          <w:tcPr>
            <w:tcW w:type="dxa" w:w="3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shared credentials, tools, approver, tenant scope</w:t>
            </w:r>
          </w:p>
        </w:tc>
        <w:tc>
          <w:tcPr>
            <w:tcW w:type="dxa" w:w="41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blast-radius analysis</w:t>
            </w:r>
          </w:p>
        </w:tc>
      </w:tr>
      <w:tr>
        <w:trPr>
          <w:cantSplit/>
        </w:trPr>
        <w:tc>
          <w:tcPr>
            <w:tcW w:type="dxa" w:w="1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Runtime</w:t>
            </w:r>
          </w:p>
        </w:tc>
        <w:tc>
          <w:tcPr>
            <w:tcW w:type="dxa" w:w="3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shared queue, service, region, cache, rate limit</w:t>
            </w:r>
          </w:p>
        </w:tc>
        <w:tc>
          <w:tcPr>
            <w:tcW w:type="dxa" w:w="41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correlated availability risk</w:t>
            </w:r>
          </w:p>
        </w:tc>
      </w:tr>
    </w:tbl>
    <w:p>
      <w:pPr>
        <w:spacing w:after="20"/>
      </w:pPr>
    </w:p>
    <w:p>
      <w:pPr>
        <w:widowControl/>
      </w:pPr>
      <w:r>
        <w:rPr>
          <w:rFonts w:ascii="Calibri" w:hAnsi="Calibri"/>
          <w:color w:val="1C2733"/>
        </w:rPr>
        <w:t xml:space="preserve">The selection objective should reward </w:t>
      </w:r>
      <w:r>
        <w:rPr>
          <w:rFonts w:ascii="Calibri" w:hAnsi="Calibri"/>
          <w:b/>
          <w:color w:val="1C2733"/>
        </w:rPr>
        <w:t>conditional marginal contribution</w:t>
      </w:r>
      <w:r>
        <w:rPr>
          <w:rFonts w:ascii="Calibri" w:hAnsi="Calibri"/>
          <w:color w:val="1C2733"/>
        </w:rPr>
        <w:t>, not raw agreement. Preserve genuine disagreement until adjudication. For high-assurance work, use a verifier with separated context and, where feasible, a different evidence path.</w:t>
      </w:r>
    </w:p>
    <w:p>
      <w:pPr>
        <w:pStyle w:val="Heading2"/>
        <w:keepNext/>
        <w:pageBreakBefore w:val="0"/>
      </w:pPr>
      <w:r>
        <w:rPr>
          <w:rFonts w:ascii="Calibri" w:hAnsi="Calibri"/>
          <w:color w:val="2E74B5"/>
          <w:sz w:val="26"/>
        </w:rPr>
        <w:t>5.5 Deliberation and architecture selector</w:t>
      </w:r>
    </w:p>
    <w:p>
      <w:pPr>
        <w:widowControl/>
      </w:pPr>
      <w:r>
        <w:rPr>
          <w:rFonts w:ascii="Calibri" w:hAnsi="Calibri"/>
          <w:color w:val="1C2733"/>
        </w:rPr>
        <w:t>Implement two nested decisions:</w:t>
      </w:r>
    </w:p>
    <w:p>
      <w:pPr>
        <w:numPr>
          <w:ilvl w:val="0"/>
          <w:numId w:val="10"/>
        </w:numPr>
        <w:spacing w:after="160" w:line="280" w:lineRule="auto"/>
      </w:pPr>
      <w:r>
        <w:rPr>
          <w:rFonts w:ascii="Calibri" w:hAnsi="Calibri"/>
          <w:b/>
          <w:color w:val="1C2733"/>
        </w:rPr>
        <w:t>Deliberation controller:</w:t>
      </w:r>
      <w:r>
        <w:rPr>
          <w:rFonts w:ascii="Calibri" w:hAnsi="Calibri"/>
          <w:color w:val="1C2733"/>
        </w:rPr>
        <w:t xml:space="preserve"> whether another sample, tool call, test, retrieval, verifier, or human clarification is worth its cost.</w:t>
      </w:r>
    </w:p>
    <w:p>
      <w:pPr>
        <w:numPr>
          <w:ilvl w:val="0"/>
          <w:numId w:val="10"/>
        </w:numPr>
        <w:spacing w:after="160" w:line="280" w:lineRule="auto"/>
      </w:pPr>
      <w:r>
        <w:rPr>
          <w:rFonts w:ascii="Calibri" w:hAnsi="Calibri"/>
          <w:b/>
          <w:color w:val="1C2733"/>
        </w:rPr>
        <w:t>Architecture selector:</w:t>
      </w:r>
      <w:r>
        <w:rPr>
          <w:rFonts w:ascii="Calibri" w:hAnsi="Calibri"/>
          <w:color w:val="1C2733"/>
        </w:rPr>
        <w:t xml:space="preserve"> whether the mission should stay solo, branch inside one Operative, create a Cell, or assemble multiple Cells.</w:t>
      </w:r>
    </w:p>
    <w:p>
      <w:pPr>
        <w:widowControl/>
      </w:pPr>
      <w:r>
        <w:rPr>
          <w:rFonts w:ascii="Calibri" w:hAnsi="Calibri"/>
          <w:color w:val="1C2733"/>
        </w:rPr>
        <w:t>Mission Signature features should include decomposability, sequential dependency, tool density, context locality, uncertainty, single-agent baseline success, expected coordination load, evidence independence, latency/cost ceiling, and risk class. Train the selector on replay data and evaluate against always-solo, always-Cell, and oracle-best architecture. The selector never overrides hard policy or human approval.</w:t>
      </w:r>
    </w:p>
    <w:p>
      <w:pPr>
        <w:pStyle w:val="Heading2"/>
        <w:keepNext/>
        <w:pageBreakBefore w:val="0"/>
      </w:pPr>
      <w:r>
        <w:rPr>
          <w:rFonts w:ascii="Calibri" w:hAnsi="Calibri"/>
          <w:color w:val="2E74B5"/>
          <w:sz w:val="26"/>
        </w:rPr>
        <w:t>5.6 Drift Sentinel</w:t>
      </w:r>
    </w:p>
    <w:p>
      <w:pPr>
        <w:widowControl/>
      </w:pPr>
      <w:r>
        <w:rPr>
          <w:rFonts w:ascii="Calibri" w:hAnsi="Calibri"/>
          <w:color w:val="1C2733"/>
        </w:rPr>
        <w:t xml:space="preserve">Use independent detectors per metric family rather than one "coherence score." Each detector emits </w:t>
      </w:r>
      <w:r>
        <w:rPr>
          <w:rFonts w:ascii="Liberation Mono" w:hAnsi="Liberation Mono"/>
          <w:color w:val="1F4D78"/>
          <w:sz w:val="21"/>
        </w:rPr>
        <w:t>DriftEvidence</w:t>
      </w:r>
      <w:r>
        <w:rPr>
          <w:rFonts w:ascii="Calibri" w:hAnsi="Calibri"/>
          <w:color w:val="1C2733"/>
        </w:rPr>
        <w:t xml:space="preserve"> with metric, baseline window, current window, effect size, uncertainty, suspected cause, affected lineage, and recommended response. Hysteresis and minimum sample requirements prevent thrashing. Responses are staged: observe -&gt; reduce authority/weight -&gt; shadow retest -&gt; quarantine -&gt; rollback/retire. Re-entry requires fresh evidence.</w:t>
      </w:r>
    </w:p>
    <w:p>
      <w:pPr>
        <w:pStyle w:val="Heading2"/>
        <w:keepNext/>
        <w:pageBreakBefore w:val="0"/>
      </w:pPr>
      <w:r>
        <w:rPr>
          <w:rFonts w:ascii="Calibri" w:hAnsi="Calibri"/>
          <w:color w:val="2E74B5"/>
          <w:sz w:val="26"/>
        </w:rPr>
        <w:t>5.7 ADAPT search portfolio</w:t>
      </w:r>
    </w:p>
    <w:p>
      <w:pPr>
        <w:widowControl/>
      </w:pPr>
      <w:r>
        <w:rPr>
          <w:rFonts w:ascii="Calibri" w:hAnsi="Calibri"/>
          <w:color w:val="1C2733"/>
        </w:rPr>
        <w:t>ADAPT should select an optimizer from the structure of each subproblem:</w:t>
      </w:r>
    </w:p>
    <w:p>
      <w:pPr>
        <w:numPr>
          <w:ilvl w:val="0"/>
          <w:numId w:val="10"/>
        </w:numPr>
        <w:spacing w:after="160" w:line="280" w:lineRule="auto"/>
      </w:pPr>
      <w:r>
        <w:rPr>
          <w:rFonts w:ascii="Calibri" w:hAnsi="Calibri"/>
          <w:color w:val="1C2733"/>
        </w:rPr>
        <w:t>CP-SAT/MILP for discrete constraints, scheduling, assignment, and topology with hard invariants;</w:t>
      </w:r>
    </w:p>
    <w:p>
      <w:pPr>
        <w:numPr>
          <w:ilvl w:val="0"/>
          <w:numId w:val="10"/>
        </w:numPr>
        <w:spacing w:after="160" w:line="280" w:lineRule="auto"/>
      </w:pPr>
      <w:r>
        <w:rPr>
          <w:rFonts w:ascii="Calibri" w:hAnsi="Calibri"/>
          <w:color w:val="1C2733"/>
        </w:rPr>
        <w:t>ASHA/Hyperband or BOHB for multi-fidelity candidates with meaningful intermediate scores;</w:t>
      </w:r>
    </w:p>
    <w:p>
      <w:pPr>
        <w:numPr>
          <w:ilvl w:val="0"/>
          <w:numId w:val="10"/>
        </w:numPr>
        <w:spacing w:after="160" w:line="280" w:lineRule="auto"/>
      </w:pPr>
      <w:r>
        <w:rPr>
          <w:rFonts w:ascii="Calibri" w:hAnsi="Calibri"/>
          <w:color w:val="1C2733"/>
        </w:rPr>
        <w:t>multi-objective Bayesian optimization for expensive, low-to-moderate-dimensional continuous/mixed spaces;</w:t>
      </w:r>
    </w:p>
    <w:p>
      <w:pPr>
        <w:numPr>
          <w:ilvl w:val="0"/>
          <w:numId w:val="10"/>
        </w:numPr>
        <w:spacing w:after="160" w:line="280" w:lineRule="auto"/>
      </w:pPr>
      <w:r>
        <w:rPr>
          <w:rFonts w:ascii="Calibri" w:hAnsi="Calibri"/>
          <w:color w:val="1C2733"/>
        </w:rPr>
        <w:t>NSGA-II or other evolutionary methods for irregular, discontinuous spaces;</w:t>
      </w:r>
    </w:p>
    <w:p>
      <w:pPr>
        <w:numPr>
          <w:ilvl w:val="0"/>
          <w:numId w:val="10"/>
        </w:numPr>
        <w:spacing w:after="160" w:line="280" w:lineRule="auto"/>
      </w:pPr>
      <w:r>
        <w:rPr>
          <w:rFonts w:ascii="Calibri" w:hAnsi="Calibri"/>
          <w:color w:val="1C2733"/>
        </w:rPr>
        <w:t>MAP-Elites/quality diversity for mission- or regime-specialist repertoires;</w:t>
      </w:r>
    </w:p>
    <w:p>
      <w:pPr>
        <w:numPr>
          <w:ilvl w:val="0"/>
          <w:numId w:val="10"/>
        </w:numPr>
        <w:spacing w:after="160" w:line="280" w:lineRule="auto"/>
      </w:pPr>
      <w:r>
        <w:rPr>
          <w:rFonts w:ascii="Calibri" w:hAnsi="Calibri"/>
          <w:color w:val="1C2733"/>
        </w:rPr>
        <w:t>simulated annealing, parallel tempering, restarts, mutations, and simulated bifurcation as escape operators;</w:t>
      </w:r>
    </w:p>
    <w:p>
      <w:pPr>
        <w:numPr>
          <w:ilvl w:val="0"/>
          <w:numId w:val="10"/>
        </w:numPr>
        <w:spacing w:after="160" w:line="280" w:lineRule="auto"/>
      </w:pPr>
      <w:r>
        <w:rPr>
          <w:rFonts w:ascii="Calibri" w:hAnsi="Calibri"/>
          <w:color w:val="1C2733"/>
        </w:rPr>
        <w:t>QUBO/quantum/hybrid backends only through the benchmarked Solver Adapter.</w:t>
      </w:r>
    </w:p>
    <w:p>
      <w:pPr>
        <w:widowControl/>
      </w:pPr>
      <w:r>
        <w:rPr>
          <w:rFonts w:ascii="Calibri" w:hAnsi="Calibri"/>
          <w:color w:val="1C2733"/>
        </w:rPr>
        <w:t>All operators write the same trial schema, consume the same budget abstraction, and are judged by the independent promotion pipeline.</w:t>
      </w:r>
    </w:p>
    <w:p>
      <w:pPr>
        <w:pStyle w:val="Heading1"/>
        <w:keepNext/>
        <w:pageBreakBefore w:val="0"/>
      </w:pPr>
      <w:r>
        <w:rPr>
          <w:rFonts w:ascii="Calibri" w:hAnsi="Calibri"/>
          <w:color w:val="2E74B5"/>
          <w:sz w:val="32"/>
        </w:rPr>
        <w:t>6. Layer-by-layer platform disposition</w:t>
      </w:r>
    </w:p>
    <w:p>
      <w:pPr>
        <w:widowControl/>
      </w:pPr>
      <w:r>
        <w:rPr>
          <w:rFonts w:ascii="Calibri" w:hAnsi="Calibri"/>
          <w:color w:val="1C2733"/>
        </w:rPr>
        <w:t>The following matrix covers all 13 capability planes in the current CELL OS architecture. "Add" means implement with classical mechanisms now or in the plane's scheduled build stage. "Experiment" means an isolated research adapter behind a maturity flag. "Reject" means do not encode the quantum interpretation in the platform contract.</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650"/>
        <w:gridCol w:w="2920"/>
        <w:gridCol w:w="1600"/>
        <w:gridCol w:w="3190"/>
      </w:tblGrid>
      <w:tr>
        <w:trPr>
          <w:tblHeader w:val="true"/>
          <w:cantSplit/>
        </w:trPr>
        <w:tc>
          <w:tcPr>
            <w:tcW w:type="dxa" w:w="165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Capability plane</w:t>
            </w:r>
          </w:p>
        </w:tc>
        <w:tc>
          <w:tcPr>
            <w:tcW w:type="dxa" w:w="292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Concrete application</w:t>
            </w:r>
          </w:p>
        </w:tc>
        <w:tc>
          <w:tcPr>
            <w:tcW w:type="dxa" w:w="16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Disposition</w:t>
            </w:r>
          </w:p>
        </w:tc>
        <w:tc>
          <w:tcPr>
            <w:tcW w:type="dxa" w:w="319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Main acceptance gate</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Intent and compilation</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Intent Contract carries ambiguity, hypotheses, evidence needs, deadline, reversibility, and decision policy. Org-IR supports unresolved choice sets; compiler resolves them before Cell Image creation.</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Add</w:t>
            </w:r>
            <w:r>
              <w:rPr>
                <w:rFonts w:ascii="Calibri" w:hAnsi="Calibri"/>
                <w:color w:val="1C2733"/>
                <w:sz w:val="16"/>
              </w:rPr>
              <w:t xml:space="preserve"> Hypothesis/Commitment contracts; </w:t>
            </w:r>
            <w:r>
              <w:rPr>
                <w:rFonts w:ascii="Calibri" w:hAnsi="Calibri"/>
                <w:b/>
                <w:color w:val="1C2733"/>
                <w:sz w:val="16"/>
              </w:rPr>
              <w:t>reject</w:t>
            </w:r>
            <w:r>
              <w:rPr>
                <w:rFonts w:ascii="Calibri" w:hAnsi="Calibri"/>
                <w:color w:val="1C2733"/>
                <w:sz w:val="16"/>
              </w:rPr>
              <w:t xml:space="preserve"> mutable wavefunction state in the Image.</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Every unresolved choice is resolved, explicitly deferred, abstained, or escalated before execution; replay reproduces the resolution.</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Operative configuration</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Uncertainty method, branch budget, calibration profile, evidence independence, and abstention behavior become configurable capabilities.</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Add</w:t>
            </w:r>
            <w:r>
              <w:rPr>
                <w:rFonts w:ascii="Calibri" w:hAnsi="Calibri"/>
                <w:color w:val="1C2733"/>
                <w:sz w:val="16"/>
              </w:rPr>
              <w:t>, but keep safety/evaluator controls locked.</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On held-out tasks, branch only where cost-adjusted expected value is positive; no material low-uncertainty regression.</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Mission execution</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WorkGraph may contain bounded hypothesis branches and evidence-acquisition nodes; Commitment Gate selects the executable path.</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Add</w:t>
            </w:r>
            <w:r>
              <w:rPr>
                <w:rFonts w:ascii="Calibri" w:hAnsi="Calibri"/>
                <w:color w:val="1C2733"/>
                <w:sz w:val="16"/>
              </w:rPr>
              <w:t xml:space="preserve"> bounded branch semantics; </w:t>
            </w:r>
            <w:r>
              <w:rPr>
                <w:rFonts w:ascii="Calibri" w:hAnsi="Calibri"/>
                <w:b/>
                <w:color w:val="1C2733"/>
                <w:sz w:val="16"/>
              </w:rPr>
              <w:t>reject</w:t>
            </w:r>
            <w:r>
              <w:rPr>
                <w:rFonts w:ascii="Calibri" w:hAnsi="Calibri"/>
                <w:color w:val="1C2733"/>
                <w:sz w:val="16"/>
              </w:rPr>
              <w:t xml:space="preserve"> runtime self-mutation.</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Branch fan-out, depth, time, and cost obey the Recursion Envelope; Kernel executes a single versioned plan.</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Communication</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Messages carry claim, confidence/interval, evidence IDs, correlation group, freshness, and requested decision effect.</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Add</w:t>
            </w:r>
            <w:r>
              <w:rPr>
                <w:rFonts w:ascii="Calibri" w:hAnsi="Calibri"/>
                <w:color w:val="1C2733"/>
                <w:sz w:val="16"/>
              </w:rPr>
              <w:t xml:space="preserve"> to Cognitive ABI/CellBus.</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Duplicate evidence is detectable; loops and unsupported confidence are blocked or downgraded.</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HyperMESH cognition</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Store alternative claims, contradiction edges, evidence dependence, context/order, and resolution history across the seven overlays.</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Add</w:t>
            </w:r>
            <w:r>
              <w:rPr>
                <w:rFonts w:ascii="Calibri" w:hAnsi="Calibri"/>
                <w:color w:val="1C2733"/>
                <w:sz w:val="16"/>
              </w:rPr>
              <w:t xml:space="preserve"> coupling and hypothesis overlays; </w:t>
            </w:r>
            <w:r>
              <w:rPr>
                <w:rFonts w:ascii="Calibri" w:hAnsi="Calibri"/>
                <w:b/>
                <w:color w:val="1C2733"/>
                <w:sz w:val="16"/>
              </w:rPr>
              <w:t>experiment</w:t>
            </w:r>
            <w:r>
              <w:rPr>
                <w:rFonts w:ascii="Calibri" w:hAnsi="Calibri"/>
                <w:color w:val="1C2733"/>
                <w:sz w:val="16"/>
              </w:rPr>
              <w:t xml:space="preserve"> with contextual model only.</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Provenance and contradiction paths are queryable; no all-to-all topology or single-database shortcut.</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Memory and data</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Append-only observation and experiment histories; versioned context snapshots; derived probability/calibration indexes are rebuildable.</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Add</w:t>
            </w:r>
            <w:r>
              <w:rPr>
                <w:rFonts w:ascii="Calibri" w:hAnsi="Calibri"/>
                <w:color w:val="1C2733"/>
                <w:sz w:val="16"/>
              </w:rPr>
              <w:t xml:space="preserve"> measurement and calibration ledgers.</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A replay can reconstruct what was knowable at decision time; embeddings never become authoritative evidence.</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Governance and assurance</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Measurement Firewall, evaluator principal, holdout/query budget, sequential inference, Commitment Receipt, and independent certification.</w:t>
            </w:r>
          </w:p>
        </w:tc>
        <w:tc>
          <w:tcPr>
            <w:tcW w:type="dxa" w:w="1600"/>
            <w:tcMar>
              <w:top w:w="80" w:type="dxa"/>
              <w:start w:w="120" w:type="dxa"/>
              <w:bottom w:w="80" w:type="dxa"/>
              <w:end w:w="120" w:type="dxa"/>
            </w:tcMar>
            <w:vAlign w:val="center"/>
            <w:shd w:fill="EEF7F1" w:val="clear"/>
          </w:tcPr>
          <w:p>
            <w:pPr>
              <w:pStyle w:val="TableText"/>
              <w:spacing w:before="0" w:after="0" w:line="247" w:lineRule="auto"/>
            </w:pPr>
            <w:r>
              <w:rPr>
                <w:rFonts w:ascii="Calibri" w:hAnsi="Calibri"/>
                <w:b/>
                <w:color w:val="1C2733"/>
                <w:sz w:val="16"/>
              </w:rPr>
              <w:t>P0 Add</w:t>
            </w:r>
            <w:r>
              <w:rPr>
                <w:rFonts w:ascii="Calibri" w:hAnsi="Calibri"/>
                <w:color w:val="1C2733"/>
                <w:sz w:val="16"/>
              </w:rPr>
              <w:t>; highest leverage.</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Synthetic-null false promotions remain within the preregistered error budget; no evaluator/holdout mutation path exists.</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Dynamic organization</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Selector chooses solo, intra-Operative branching, Cell, or multi-Cell organization from Mission Signature and replay evidence.</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P1 Add</w:t>
            </w:r>
            <w:r>
              <w:rPr>
                <w:rFonts w:ascii="Calibri" w:hAnsi="Calibri"/>
                <w:color w:val="1C2733"/>
                <w:sz w:val="16"/>
              </w:rPr>
              <w:t>; keep solo-first.</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Held-out cost-adjusted utility beats always-solo and always-team baselines; positive lower confidence bound required for expansion.</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Simulation and evolution</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Shadow Twins preserve competing candidates; ASHA/Hyperband kills weak trials; Pareto/MAP-Elites archive retains specialists.</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Add when replay is mature</w:t>
            </w:r>
            <w:r>
              <w:rPr>
                <w:rFonts w:ascii="Calibri" w:hAnsi="Calibri"/>
                <w:color w:val="1C2733"/>
                <w:sz w:val="16"/>
              </w:rPr>
              <w:t>.</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At least 30% evaluation-cost reduction with no more than 2% loss in final Pareto hypervolume versus full-budget evaluation.</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Reliability</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Drift Sentinel monitors quality, calibration, data freshness, correlations, tool health, cost, latency, and recurrence.</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P1 Add</w:t>
            </w:r>
            <w:r>
              <w:rPr>
                <w:rFonts w:ascii="Calibri" w:hAnsi="Calibri"/>
                <w:color w:val="1C2733"/>
                <w:sz w:val="16"/>
              </w:rPr>
              <w:t>.</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Meets mission-specific detection delay and false-alert limits in injected-drift tests; response is reversible and hysteretic.</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Federation</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Trust links carry calibration/certification context and evidence lineage; external beliefs never merge blindly.</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Later Add</w:t>
            </w:r>
            <w:r>
              <w:rPr>
                <w:rFonts w:ascii="Calibri" w:hAnsi="Calibri"/>
                <w:color w:val="1C2733"/>
                <w:sz w:val="16"/>
              </w:rPr>
              <w:t xml:space="preserve"> with OS-MESH.</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Tenant/sovereignty boundaries, version compatibility, evidence provenance, and revocation pass federation tests.</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Product and portfolio loop</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Maintain uncertainty-aware opportunity hypotheses and Pareto portfolios; avoid one universal score or self-confirming metric.</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Add only as bounded vertical</w:t>
            </w:r>
            <w:r>
              <w:rPr>
                <w:rFonts w:ascii="Calibri" w:hAnsi="Calibri"/>
                <w:color w:val="1C2733"/>
                <w:sz w:val="16"/>
              </w:rPr>
              <w:t>.</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Human/policy decisions stay explicit; outcome feedback cannot rewrite objectives or erase failed trials.</w:t>
            </w:r>
          </w:p>
        </w:tc>
      </w:tr>
      <w:tr>
        <w:trPr>
          <w:cantSplit/>
        </w:trPr>
        <w:tc>
          <w:tcPr>
            <w:tcW w:type="dxa" w:w="16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Operator experience</w:t>
            </w:r>
          </w:p>
        </w:tc>
        <w:tc>
          <w:tcPr>
            <w:tcW w:type="dxa" w:w="292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NERVE shows alternatives, confidence ranges, disagreement, dependence, next-best measurement, commitment status, and drift alerts.</w:t>
            </w:r>
          </w:p>
        </w:tc>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Add</w:t>
            </w:r>
            <w:r>
              <w:rPr>
                <w:rFonts w:ascii="Calibri" w:hAnsi="Calibri"/>
                <w:color w:val="1C2733"/>
                <w:sz w:val="16"/>
              </w:rPr>
              <w:t xml:space="preserve"> plain-language Evidence/Decision views.</w:t>
            </w:r>
          </w:p>
        </w:tc>
        <w:tc>
          <w:tcPr>
            <w:tcW w:type="dxa" w:w="319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Operator comprehension and correct intervention improve without "quantum" jargon; every score links to evidence and method.</w:t>
            </w:r>
          </w:p>
        </w:tc>
      </w:tr>
    </w:tbl>
    <w:p>
      <w:pPr>
        <w:spacing w:after="20"/>
      </w:pPr>
    </w:p>
    <w:p>
      <w:pPr>
        <w:pStyle w:val="Heading2"/>
        <w:keepNext/>
        <w:pageBreakBefore w:val="0"/>
      </w:pPr>
      <w:r>
        <w:rPr>
          <w:rFonts w:ascii="Calibri" w:hAnsi="Calibri"/>
          <w:color w:val="2E74B5"/>
          <w:sz w:val="26"/>
        </w:rPr>
        <w:t>6.1 Component insertion map</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850"/>
        <w:gridCol w:w="4300"/>
        <w:gridCol w:w="3210"/>
      </w:tblGrid>
      <w:tr>
        <w:trPr>
          <w:tblHeader w:val="true"/>
          <w:cantSplit/>
        </w:trPr>
        <w:tc>
          <w:tcPr>
            <w:tcW w:type="dxa" w:w="185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Existing component</w:t>
            </w:r>
          </w:p>
        </w:tc>
        <w:tc>
          <w:tcPr>
            <w:tcW w:type="dxa" w:w="43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Recommended change</w:t>
            </w:r>
          </w:p>
        </w:tc>
        <w:tc>
          <w:tcPr>
            <w:tcW w:type="dxa" w:w="321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Do not do</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Intent Contract</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Add ambiguity class, decision deadline, evidence threshold, reversibility, and allowed commitment outcomes.</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demand fake point probabilities.</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Mission Signature</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Add decomposability, sequentiality, context locality, uncertainty, tool density, and coordination-load features.</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infer team need from task length alone.</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WorkGraph/Mission Hypergraph</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Add bounded hypothesis and evidence-acquisition branches with convergence gates.</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let branches create unbounded swarms.</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Capability Gap Analyzer</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Include uncertainty-reduction and independent-verification capabilities.</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treat another copy of the same model as independent evidence.</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Genesis Planner</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Score reuse/solo/branch/Cell/multi-Cell options by expected cost-adjusted utility and risk.</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expand organization by default.</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Org-IR and Organization Compiler</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Support late-bound choice sets; resolve and validate before emitting an immutable Image.</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put probabilistic authority or unresolved side effects in the Image.</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Cell Image</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Record selected alternatives, policy/evaluator versions, calibration profile, and Commitment Receipt references.</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mutate in place.</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CELL Kernel and ORCA</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Enforce resolved plan, authority, budget, idempotency, and side-effect policy; expose commit/abstain/escalate transitions.</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make the Kernel a probabilistic LLM planner.</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CellBus and Link Contracts</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Add evidence lineage, uncertainty representation, correlation group, freshness, and context-order metadata to typed messages.</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rename messaging "entanglement."</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C-MESH</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Maintain local Hypothesis Envelopes and coupling telemetry among Operatives/tools/memory.</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default to full mesh or shared global context.</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T-MESH</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Preserve disagreement across Cells; route independent checks and merge only through evidence-aware adjudication.</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use simple majority as assurance.</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OS-MESH</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Exchange certified models, calibration cards, evidence lineage, and revocation signals under federation policy.</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federate unscoped confidence or private evidence.</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HyperMESH</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Add typed contradiction, dependence, decision, and drift edges across existing overlays.</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create an eighth physical "quantum database."</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Context Virtual Memory</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Snapshot context at measurement/commit time and track source reuse/correlation.</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equate more context with more independent evidence.</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SIHRE</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Own value-of-computation, uncertainty-triggered branching, confidence updates, abstention, and Commitment Gate policy.</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expose hidden evaluator information to deliberation.</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Mission Assurance Receipts</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Add adaptive-query count, test version, negative controls, dependence, stopping rule, and uncertainty bounds.</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certify on a single scalar score.</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Replay/Profiler</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Reconstruct hypothesis evolution, message influence, commitment point, evidence access, and cost.</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use replay data as a hidden holdout after it has influenced design.</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Shadow Twin</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Run competing configurations against identical versioned scenarios and fresh cohorts.</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let a candidate choose its own scenarios.</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Evolution Chamber</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Expose Pareto fronts, niches, trial budgets, killed candidates, and evidence quality.</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display only the winning candidate.</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CELL ADAPT</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Add optimizer selection, budget racing, novelty/diversity archive, coupling-aware team design, and immutable trial ledger.</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give ADAPT evaluator or promotion authority.</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Reliability/reconciliation</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Separate drift types; use staged de-weight/quarantine/rollback and recovery evidence.</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collapse all failures into one coherence score.</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NERVE/Mission Control</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Show decision state, alternatives, uncertainty, disagreement, evidence independence, next measurement, and intervention reason.</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turn quantum metaphors into unexplained controls.</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Cell Studio</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Configure allowed uncertainty methods, branch budgets, topology, and evidence barriers; display derived coupling.</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allow manual editing of measured trust/readiness as if it were configuration.</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HyperMESH Explorer</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Visualize propagation, evidence duplication, contradiction, and common-mode dependencies.</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draw instant action-at-a-distance animations that imply physical entanglement.</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Replay/Profiler workspace</w:t>
            </w:r>
          </w:p>
        </w:tc>
        <w:tc>
          <w:tcPr>
            <w:tcW w:type="dxa" w:w="43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Add decision-timeline and counterfactual "commit one step earlier/later" comparison.</w:t>
            </w:r>
          </w:p>
        </w:tc>
        <w:tc>
          <w:tcPr>
            <w:tcW w:type="dxa" w:w="321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Do not imply causal effect from correlation without intervention/ablation.</w:t>
            </w:r>
          </w:p>
        </w:tc>
      </w:tr>
    </w:tbl>
    <w:p>
      <w:pPr>
        <w:spacing w:after="20"/>
      </w:pPr>
    </w:p>
    <w:p>
      <w:pPr>
        <w:pStyle w:val="Heading1"/>
        <w:keepNext/>
        <w:pageBreakBefore w:val="0"/>
      </w:pPr>
      <w:r>
        <w:rPr>
          <w:rFonts w:ascii="Calibri" w:hAnsi="Calibri"/>
          <w:color w:val="2E74B5"/>
          <w:sz w:val="32"/>
        </w:rPr>
        <w:t>7. CELL ADAPT: all 14 genome domains</w:t>
      </w:r>
    </w:p>
    <w:p>
      <w:pPr>
        <w:widowControl/>
      </w:pPr>
      <w:r>
        <w:rPr>
          <w:rFonts w:ascii="Calibri" w:hAnsi="Calibri"/>
          <w:color w:val="1C2733"/>
        </w:rPr>
        <w:t>The quantum-principled changes belong in genotype only where intentionally configurable. Calibration, coupling, drift, and fitness remain derived telemetry. Policy, evaluator identity, hidden data, and promotion authority stay frozen.</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600"/>
        <w:gridCol w:w="2700"/>
        <w:gridCol w:w="2200"/>
        <w:gridCol w:w="2860"/>
      </w:tblGrid>
      <w:tr>
        <w:trPr>
          <w:tblHeader w:val="true"/>
          <w:cantSplit/>
        </w:trPr>
        <w:tc>
          <w:tcPr>
            <w:tcW w:type="dxa" w:w="16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Genome domain</w:t>
            </w:r>
          </w:p>
        </w:tc>
        <w:tc>
          <w:tcPr>
            <w:tcW w:type="dxa" w:w="27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Candidate additions/tunables</w:t>
            </w:r>
          </w:p>
        </w:tc>
        <w:tc>
          <w:tcPr>
            <w:tcW w:type="dxa" w:w="22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Derived telemetry</w:t>
            </w:r>
          </w:p>
        </w:tc>
        <w:tc>
          <w:tcPr>
            <w:tcW w:type="dxa" w:w="286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Frozen boundary</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1. Agent</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uncertainty method, sample count range, branch trigger, abstention rule, verifier profile</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calibration, semantic diversity, error clusters, marginal contribution</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model/tool authority ceiling and safety policy</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2. Relationship</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challenge protocol, information barrier, confidence-update rule, handoff threshold</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double-fault rate, residual correlation, message value, trust interval</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segregation of duties and tenant boundaries</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3. Cell</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composition, topology, shared-context budget, branch fan-out, adjudicator</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coordination cost, diversity, bottleneck, failure amplification</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maximum size, budget, supervisor, locked roles</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4. Organization</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nesting, delegation route, team split/merge policy, federation scope</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organizational regret, dependency concentration, recovery time</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recursion depth/fan-out, authority attenuation</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5. Mission</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decomposition, evidence nodes, stopping/commit policy, parallelism</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uncertainty reduction, decision regret, critical-path effect</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Intent Contract, required gates, deadline/stop conditions</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6. HyperMESH</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routing, topology, link TTL, context order, correlation tags</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propagation delay, duplication, loop rate, dependency centrality</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identity, privacy, tenancy, audit</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7. Knowledge</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contradiction policy, confidence decay, promotion threshold, evidence fusion method</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freshness, calibration, source dependence, unresolved contradiction</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raw sources, provenance, certification history</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8. Retrieval</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lexical/vector/graph mix, rank fusion, diversity penalty, query budget</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coverage, redundancy, temporal leakage, evidence novelty</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point-in-time/source access policy</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9. Communication</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message schema, batching, escalation, anti-loop, evidence requirements</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useful-message ratio, token overhead, latency, amplification</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allowed event types, authorization, retention</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10. Governance</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risk-conditioned commit thresholds and human-intervention triggers within allowed ranges</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false-green rate, policy near misses, intervention precision</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constitution, evaluator, holdout, promotion authority</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11. Runtime</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concurrency, resource allocation, timeout, retry/backoff, placement</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queueing delay, cost, correlated outage, saturation</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hard budgets, capability security, side-effect controls</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12. Reliability</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drift detector/window, hysteresis, fallback route, shadow cadence</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detection delay, false alarms, recurrence, recovery confidence</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rollback target, quarantine authority, audit history</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13. Evaluation</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scenario mix and proper scoring rule only when set before a new study</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uncertainty, power, calibration, Pareto hypervolume, adaptive queries</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current experiment's rubric/data/threshold/stopping rule</w:t>
            </w:r>
          </w:p>
        </w:tc>
      </w:tr>
      <w:tr>
        <w:trPr>
          <w:cantSplit/>
        </w:trPr>
        <w:tc>
          <w:tcPr>
            <w:tcW w:type="dxa" w:w="1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14. Commercial</w:t>
            </w:r>
          </w:p>
        </w:tc>
        <w:tc>
          <w:tcPr>
            <w:tcW w:type="dxa" w:w="27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mission utility weights, service levels, resource price assumptions</w:t>
            </w:r>
          </w:p>
        </w:tc>
        <w:tc>
          <w:tcPr>
            <w:tcW w:type="dxa" w:w="22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cost-adjusted outcome, opportunity cost, portfolio concentration</w:t>
            </w:r>
          </w:p>
        </w:tc>
        <w:tc>
          <w:tcPr>
            <w:tcW w:type="dxa" w:w="28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contractual obligations, human decisions, protected objectives</w:t>
            </w:r>
          </w:p>
        </w:tc>
      </w:tr>
    </w:tbl>
    <w:p>
      <w:pPr>
        <w:spacing w:after="20"/>
      </w:pPr>
    </w:p>
    <w:p>
      <w:pPr>
        <w:pStyle w:val="Heading2"/>
        <w:keepNext/>
        <w:pageBreakBefore w:val="0"/>
      </w:pPr>
      <w:r>
        <w:rPr>
          <w:rFonts w:ascii="Calibri" w:hAnsi="Calibri"/>
          <w:color w:val="2E74B5"/>
          <w:sz w:val="26"/>
        </w:rPr>
        <w:t>7.1 ADAPT objective discipline</w:t>
      </w:r>
    </w:p>
    <w:p>
      <w:pPr>
        <w:widowControl/>
      </w:pPr>
      <w:r>
        <w:rPr>
          <w:rFonts w:ascii="Calibri" w:hAnsi="Calibri"/>
          <w:color w:val="1C2733"/>
        </w:rPr>
        <w:t>Do not optimize one platform-wide "fitness." Maintain hard constraints plus mission-conditioned Pareto objectives such as quality, factuality/evidence, latency, cost, reliability, safety, operator burden, and recoverability. When two objectives conflict, expose the frontier and choose by explicit mission policy. A candidate cannot compensate for a policy or assurance failure by being cheaper or faster.</w:t>
      </w:r>
    </w:p>
    <w:p>
      <w:pPr>
        <w:pStyle w:val="Heading1"/>
        <w:keepNext/>
        <w:pageBreakBefore w:val="0"/>
      </w:pPr>
      <w:r>
        <w:rPr>
          <w:rFonts w:ascii="Calibri" w:hAnsi="Calibri"/>
          <w:color w:val="2E74B5"/>
          <w:sz w:val="32"/>
        </w:rPr>
        <w:t>8. Quantum notion scorecard</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350"/>
        <w:gridCol w:w="2600"/>
        <w:gridCol w:w="900"/>
        <w:gridCol w:w="1450"/>
        <w:gridCol w:w="3060"/>
      </w:tblGrid>
      <w:tr>
        <w:trPr>
          <w:tblHeader w:val="true"/>
          <w:cantSplit/>
        </w:trPr>
        <w:tc>
          <w:tcPr>
            <w:tcW w:type="dxa" w:w="135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Notion</w:t>
            </w:r>
          </w:p>
        </w:tc>
        <w:tc>
          <w:tcPr>
            <w:tcW w:type="dxa" w:w="26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Engineering translation</w:t>
            </w:r>
          </w:p>
        </w:tc>
        <w:tc>
          <w:tcPr>
            <w:tcW w:type="dxa" w:w="9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Value</w:t>
            </w:r>
          </w:p>
        </w:tc>
        <w:tc>
          <w:tcPr>
            <w:tcW w:type="dxa" w:w="145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Quantum necessity</w:t>
            </w:r>
          </w:p>
        </w:tc>
        <w:tc>
          <w:tcPr>
            <w:tcW w:type="dxa" w:w="306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Verdict</w:t>
            </w:r>
          </w:p>
        </w:tc>
      </w:tr>
      <w:tr>
        <w:trPr>
          <w:cantSplit/>
        </w:trPr>
        <w:tc>
          <w:tcPr>
            <w:tcW w:type="dxa" w:w="13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Superposition</w:t>
            </w:r>
          </w:p>
        </w:tc>
        <w:tc>
          <w:tcPr>
            <w:tcW w:type="dxa" w:w="2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explicit hypothesis distribution/intervals and bounded branches</w:t>
            </w:r>
          </w:p>
        </w:tc>
        <w:tc>
          <w:tcPr>
            <w:tcW w:type="dxa" w:w="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High</w:t>
            </w:r>
          </w:p>
        </w:tc>
        <w:tc>
          <w:tcPr>
            <w:tcW w:type="dxa" w:w="14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None demonstrated</w:t>
            </w:r>
          </w:p>
        </w:tc>
        <w:tc>
          <w:tcPr>
            <w:tcW w:type="dxa" w:w="306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Adopt mechanism; keep metaphor optional</w:t>
            </w:r>
          </w:p>
        </w:tc>
      </w:tr>
      <w:tr>
        <w:trPr>
          <w:cantSplit/>
        </w:trPr>
        <w:tc>
          <w:tcPr>
            <w:tcW w:type="dxa" w:w="13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Collapse</w:t>
            </w:r>
          </w:p>
        </w:tc>
        <w:tc>
          <w:tcPr>
            <w:tcW w:type="dxa" w:w="2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last-responsible-moment Commitment Gate and immutable receipt</w:t>
            </w:r>
          </w:p>
        </w:tc>
        <w:tc>
          <w:tcPr>
            <w:tcW w:type="dxa" w:w="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High</w:t>
            </w:r>
          </w:p>
        </w:tc>
        <w:tc>
          <w:tcPr>
            <w:tcW w:type="dxa" w:w="14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None</w:t>
            </w:r>
          </w:p>
        </w:tc>
        <w:tc>
          <w:tcPr>
            <w:tcW w:type="dxa" w:w="306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Adopt</w:t>
            </w:r>
          </w:p>
        </w:tc>
      </w:tr>
      <w:tr>
        <w:trPr>
          <w:cantSplit/>
        </w:trPr>
        <w:tc>
          <w:tcPr>
            <w:tcW w:type="dxa" w:w="13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Entanglement</w:t>
            </w:r>
          </w:p>
        </w:tc>
        <w:tc>
          <w:tcPr>
            <w:tcW w:type="dxa" w:w="2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causal/dependence/correlation graph and information barriers</w:t>
            </w:r>
          </w:p>
        </w:tc>
        <w:tc>
          <w:tcPr>
            <w:tcW w:type="dxa" w:w="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High</w:t>
            </w:r>
          </w:p>
        </w:tc>
        <w:tc>
          <w:tcPr>
            <w:tcW w:type="dxa" w:w="14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None; term is misleading</w:t>
            </w:r>
          </w:p>
        </w:tc>
        <w:tc>
          <w:tcPr>
            <w:tcW w:type="dxa" w:w="306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Rename and adopt mechanism</w:t>
            </w:r>
          </w:p>
        </w:tc>
      </w:tr>
      <w:tr>
        <w:trPr>
          <w:cantSplit/>
        </w:trPr>
        <w:tc>
          <w:tcPr>
            <w:tcW w:type="dxa" w:w="13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Uncertainty principle</w:t>
            </w:r>
          </w:p>
        </w:tc>
        <w:tc>
          <w:tcPr>
            <w:tcW w:type="dxa" w:w="2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evaluator/metric feedback changes adaptive search</w:t>
            </w:r>
          </w:p>
        </w:tc>
        <w:tc>
          <w:tcPr>
            <w:tcW w:type="dxa" w:w="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Very high</w:t>
            </w:r>
          </w:p>
        </w:tc>
        <w:tc>
          <w:tcPr>
            <w:tcW w:type="dxa" w:w="14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None; analogy only</w:t>
            </w:r>
          </w:p>
        </w:tc>
        <w:tc>
          <w:tcPr>
            <w:tcW w:type="dxa" w:w="306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Adopt Measurement Firewall first</w:t>
            </w:r>
          </w:p>
        </w:tc>
      </w:tr>
      <w:tr>
        <w:trPr>
          <w:cantSplit/>
        </w:trPr>
        <w:tc>
          <w:tcPr>
            <w:tcW w:type="dxa" w:w="13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Tunneling</w:t>
            </w:r>
          </w:p>
        </w:tc>
        <w:tc>
          <w:tcPr>
            <w:tcW w:type="dxa" w:w="2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annealing, restarts, mutations, quality diversity</w:t>
            </w:r>
          </w:p>
        </w:tc>
        <w:tc>
          <w:tcPr>
            <w:tcW w:type="dxa" w:w="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High in ADAPT</w:t>
            </w:r>
          </w:p>
        </w:tc>
        <w:tc>
          <w:tcPr>
            <w:tcW w:type="dxa" w:w="14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None</w:t>
            </w:r>
          </w:p>
        </w:tc>
        <w:tc>
          <w:tcPr>
            <w:tcW w:type="dxa" w:w="306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Adopt classical operator portfolio</w:t>
            </w:r>
          </w:p>
        </w:tc>
      </w:tr>
      <w:tr>
        <w:trPr>
          <w:cantSplit/>
        </w:trPr>
        <w:tc>
          <w:tcPr>
            <w:tcW w:type="dxa" w:w="13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Interference</w:t>
            </w:r>
          </w:p>
        </w:tc>
        <w:tc>
          <w:tcPr>
            <w:tcW w:type="dxa" w:w="2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dependence-aware probabilistic evidence fusion</w:t>
            </w:r>
          </w:p>
        </w:tc>
        <w:tc>
          <w:tcPr>
            <w:tcW w:type="dxa" w:w="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Medium-high</w:t>
            </w:r>
          </w:p>
        </w:tc>
        <w:tc>
          <w:tcPr>
            <w:tcW w:type="dxa" w:w="14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Not shown for ordinary signals</w:t>
            </w:r>
          </w:p>
        </w:tc>
        <w:tc>
          <w:tcPr>
            <w:tcW w:type="dxa" w:w="306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Adopt classical fusion; experiment narrowly</w:t>
            </w:r>
          </w:p>
        </w:tc>
      </w:tr>
      <w:tr>
        <w:trPr>
          <w:cantSplit/>
        </w:trPr>
        <w:tc>
          <w:tcPr>
            <w:tcW w:type="dxa" w:w="13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Decoherence</w:t>
            </w:r>
          </w:p>
        </w:tc>
        <w:tc>
          <w:tcPr>
            <w:tcW w:type="dxa" w:w="2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decomposed drift/staleness/calibration monitoring</w:t>
            </w:r>
          </w:p>
        </w:tc>
        <w:tc>
          <w:tcPr>
            <w:tcW w:type="dxa" w:w="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High</w:t>
            </w:r>
          </w:p>
        </w:tc>
        <w:tc>
          <w:tcPr>
            <w:tcW w:type="dxa" w:w="14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None</w:t>
            </w:r>
          </w:p>
        </w:tc>
        <w:tc>
          <w:tcPr>
            <w:tcW w:type="dxa" w:w="306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Adopt metrics; avoid catch-all</w:t>
            </w:r>
          </w:p>
        </w:tc>
      </w:tr>
      <w:tr>
        <w:trPr>
          <w:cantSplit/>
        </w:trPr>
        <w:tc>
          <w:tcPr>
            <w:tcW w:type="dxa" w:w="13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Quantization</w:t>
            </w:r>
          </w:p>
        </w:tc>
        <w:tc>
          <w:tcPr>
            <w:tcW w:type="dxa" w:w="26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discrete states, versions, gates, budgets, resource quanta</w:t>
            </w:r>
          </w:p>
        </w:tc>
        <w:tc>
          <w:tcPr>
            <w:tcW w:type="dxa" w:w="9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Already present</w:t>
            </w:r>
          </w:p>
        </w:tc>
        <w:tc>
          <w:tcPr>
            <w:tcW w:type="dxa" w:w="14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None</w:t>
            </w:r>
          </w:p>
        </w:tc>
        <w:tc>
          <w:tcPr>
            <w:tcW w:type="dxa" w:w="3060"/>
            <w:tcMar>
              <w:top w:w="80" w:type="dxa"/>
              <w:start w:w="120" w:type="dxa"/>
              <w:bottom w:w="80" w:type="dxa"/>
              <w:end w:w="120" w:type="dxa"/>
            </w:tcMar>
            <w:vAlign w:val="center"/>
          </w:tcPr>
          <w:p>
            <w:pPr>
              <w:pStyle w:val="TableText"/>
              <w:spacing w:before="0" w:after="0" w:line="247" w:lineRule="auto"/>
            </w:pPr>
            <w:r>
              <w:rPr>
                <w:rFonts w:ascii="Calibri" w:hAnsi="Calibri"/>
                <w:b/>
                <w:color w:val="1C2733"/>
                <w:sz w:val="16"/>
              </w:rPr>
              <w:t>Keep; no new work</w:t>
            </w:r>
          </w:p>
        </w:tc>
      </w:tr>
    </w:tbl>
    <w:p>
      <w:pPr>
        <w:spacing w:after="20"/>
      </w:pPr>
    </w:p>
    <w:p>
      <w:pPr>
        <w:pStyle w:val="Heading1"/>
        <w:keepNext/>
        <w:pageBreakBefore w:val="0"/>
      </w:pPr>
      <w:r>
        <w:rPr>
          <w:rFonts w:ascii="Calibri" w:hAnsi="Calibri"/>
          <w:color w:val="2E74B5"/>
          <w:sz w:val="32"/>
        </w:rPr>
        <w:t>9. Quick wins with dramatic upside</w:t>
      </w:r>
    </w:p>
    <w:p>
      <w:pPr>
        <w:widowControl/>
      </w:pPr>
      <w:r>
        <w:rPr>
          <w:rFonts w:ascii="Calibri" w:hAnsi="Calibri"/>
          <w:color w:val="1C2733"/>
        </w:rPr>
        <w:t>No improvement can honestly be promised before measurement. The following items have the best combination of leverage, implementation speed, and falsifiability.</w:t>
      </w:r>
    </w:p>
    <w:p>
      <w:pPr>
        <w:pStyle w:val="Heading2"/>
        <w:keepNext/>
        <w:pageBreakBefore w:val="0"/>
      </w:pPr>
      <w:r>
        <w:rPr>
          <w:rFonts w:ascii="Calibri" w:hAnsi="Calibri"/>
          <w:color w:val="2E74B5"/>
          <w:sz w:val="26"/>
        </w:rPr>
        <w:t>Quick win 1 - Measurement Firewall (P0, 1-2 weeks)</w:t>
      </w:r>
    </w:p>
    <w:p>
      <w:pPr>
        <w:widowControl/>
      </w:pPr>
      <w:r>
        <w:rPr>
          <w:rFonts w:ascii="Calibri" w:hAnsi="Calibri"/>
          <w:b/>
          <w:color w:val="1C2733"/>
        </w:rPr>
        <w:t>Why first:</w:t>
      </w:r>
      <w:r>
        <w:rPr>
          <w:rFonts w:ascii="Calibri" w:hAnsi="Calibri"/>
          <w:color w:val="1C2733"/>
        </w:rPr>
        <w:t xml:space="preserve"> it protects every later claim of improvement. Implement evaluator principals, dataset capability ACLs, hash/version sealing, adaptive-query ledger, negative controls, trial-count tracking, and a promotion protocol that ADAPT cannot modify.</w:t>
      </w:r>
    </w:p>
    <w:p>
      <w:pPr>
        <w:widowControl/>
      </w:pPr>
      <w:r>
        <w:rPr>
          <w:rFonts w:ascii="Calibri" w:hAnsi="Calibri"/>
          <w:b/>
          <w:color w:val="1C2733"/>
        </w:rPr>
        <w:t>Minimum acceptance:</w:t>
      </w:r>
      <w:r>
        <w:rPr>
          <w:rFonts w:ascii="Calibri" w:hAnsi="Calibri"/>
          <w:color w:val="1C2733"/>
        </w:rPr>
        <w:t xml:space="preserve"> zero unauthorized reads/writes in adversarial tests; every score reconstructible from receipt; synthetic-null false-promotion rate within the preregistered error budget; evaluator or threshold changes force a new experiment version.</w:t>
      </w:r>
    </w:p>
    <w:p>
      <w:pPr>
        <w:pStyle w:val="Heading2"/>
        <w:keepNext/>
        <w:pageBreakBefore w:val="0"/>
      </w:pPr>
      <w:r>
        <w:rPr>
          <w:rFonts w:ascii="Calibri" w:hAnsi="Calibri"/>
          <w:color w:val="2E74B5"/>
          <w:sz w:val="26"/>
        </w:rPr>
        <w:t>Quick win 2 - Branch once, commit late (P0, 1-2 weeks)</w:t>
      </w:r>
    </w:p>
    <w:p>
      <w:pPr>
        <w:widowControl/>
      </w:pPr>
      <w:r>
        <w:rPr>
          <w:rFonts w:ascii="Calibri" w:hAnsi="Calibri"/>
          <w:color w:val="1C2733"/>
        </w:rPr>
        <w:t>For high-impact decisions, generate three to five semantically distinct candidates independently, attach evidence and uncertainty, run cheap deterministic checks, and use one separated adjudicator or verifier. Do not branch on routine low-uncertainty work.</w:t>
      </w:r>
    </w:p>
    <w:p>
      <w:pPr>
        <w:widowControl/>
      </w:pPr>
      <w:r>
        <w:rPr>
          <w:rFonts w:ascii="Calibri" w:hAnsi="Calibri"/>
          <w:b/>
          <w:color w:val="1C2733"/>
        </w:rPr>
        <w:t>Minimum acceptance:</w:t>
      </w:r>
      <w:r>
        <w:rPr>
          <w:rFonts w:ascii="Calibri" w:hAnsi="Calibri"/>
          <w:color w:val="1C2733"/>
        </w:rPr>
        <w:t xml:space="preserve"> on the preregistered high-uncertainty stratum, at least 5 percentage points absolute task-success improvement or 20% relative error reduction at no more than 2x median inference cost; no greater than 1 point regression on low-uncertainty work. These are engineering gates, not forecasted results.</w:t>
      </w:r>
    </w:p>
    <w:p>
      <w:pPr>
        <w:pStyle w:val="Heading2"/>
        <w:keepNext/>
        <w:pageBreakBefore w:val="0"/>
      </w:pPr>
      <w:r>
        <w:rPr>
          <w:rFonts w:ascii="Calibri" w:hAnsi="Calibri"/>
          <w:color w:val="2E74B5"/>
          <w:sz w:val="26"/>
        </w:rPr>
        <w:t>Quick win 3 - Coupling matrix and evidence deduplication (P0, 1-3 weeks)</w:t>
      </w:r>
    </w:p>
    <w:p>
      <w:pPr>
        <w:widowControl/>
      </w:pPr>
      <w:r>
        <w:rPr>
          <w:rFonts w:ascii="Calibri" w:hAnsi="Calibri"/>
          <w:color w:val="1C2733"/>
        </w:rPr>
        <w:t>Hash source/document/chunk lineage, tag generator/provider/prompt/tool dependencies, and compute pairwise disagreement, double-fault, residual correlation, and marginal contribution. Discount repeated claims from the same evidence path.</w:t>
      </w:r>
    </w:p>
    <w:p>
      <w:pPr>
        <w:widowControl/>
      </w:pPr>
      <w:r>
        <w:rPr>
          <w:rFonts w:ascii="Calibri" w:hAnsi="Calibri"/>
          <w:b/>
          <w:color w:val="1C2733"/>
        </w:rPr>
        <w:t>Minimum acceptance:</w:t>
      </w:r>
      <w:r>
        <w:rPr>
          <w:rFonts w:ascii="Calibri" w:hAnsi="Calibri"/>
          <w:color w:val="1C2733"/>
        </w:rPr>
        <w:t xml:space="preserve"> at least 20% reduction in double-fault rate for selected verification pairs or equivalent held-out calibration improvement; message/evidence overhead does not rise more than 15%.</w:t>
      </w:r>
    </w:p>
    <w:p>
      <w:pPr>
        <w:pStyle w:val="Heading2"/>
        <w:keepNext/>
        <w:pageBreakBefore w:val="0"/>
      </w:pPr>
      <w:r>
        <w:rPr>
          <w:rFonts w:ascii="Calibri" w:hAnsi="Calibri"/>
          <w:color w:val="2E74B5"/>
          <w:sz w:val="26"/>
        </w:rPr>
        <w:t>Quick win 4 - Solo-vs-Cell architecture selector (P1, 3-6 weeks)</w:t>
      </w:r>
    </w:p>
    <w:p>
      <w:pPr>
        <w:widowControl/>
      </w:pPr>
      <w:r>
        <w:rPr>
          <w:rFonts w:ascii="Calibri" w:hAnsi="Calibri"/>
          <w:color w:val="1C2733"/>
        </w:rPr>
        <w:t>Start with a transparent rule model using Mission Signature features, then learn from replay. Select among solo, internal branching, Cell, and multi-Cell only when predicted benefit exceeds coordination cost with a positive lower confidence bound.</w:t>
      </w:r>
    </w:p>
    <w:p>
      <w:pPr>
        <w:widowControl/>
      </w:pPr>
      <w:r>
        <w:rPr>
          <w:rFonts w:ascii="Calibri" w:hAnsi="Calibri"/>
          <w:b/>
          <w:color w:val="1C2733"/>
        </w:rPr>
        <w:t>Minimum acceptance:</w:t>
      </w:r>
      <w:r>
        <w:rPr>
          <w:rFonts w:ascii="Calibri" w:hAnsi="Calibri"/>
          <w:color w:val="1C2733"/>
        </w:rPr>
        <w:t xml:space="preserve"> held-out regret within 5% of the oracle choice among allowed architectures and at least 10% improvement in cost-adjusted utility over both always-solo and always-Cell baselines.</w:t>
      </w:r>
    </w:p>
    <w:p>
      <w:pPr>
        <w:pStyle w:val="Heading2"/>
        <w:keepNext/>
        <w:pageBreakBefore w:val="0"/>
      </w:pPr>
      <w:r>
        <w:rPr>
          <w:rFonts w:ascii="Calibri" w:hAnsi="Calibri"/>
          <w:color w:val="2E74B5"/>
          <w:sz w:val="26"/>
        </w:rPr>
        <w:t>Quick win 5 - ASHA/Hyperband budget racing for Shadow Twins (P1, 2-4 weeks after replay)</w:t>
      </w:r>
    </w:p>
    <w:p>
      <w:pPr>
        <w:widowControl/>
      </w:pPr>
      <w:r>
        <w:rPr>
          <w:rFonts w:ascii="Calibri" w:hAnsi="Calibri"/>
          <w:color w:val="1C2733"/>
        </w:rPr>
        <w:t>Give each candidate a small scenario/budget tranche, prune weak candidates, and allocate more evidence to survivors. Stratify early budgets so cheap evaluation cannot systematically remove specialists.</w:t>
      </w:r>
    </w:p>
    <w:p>
      <w:pPr>
        <w:widowControl/>
      </w:pPr>
      <w:r>
        <w:rPr>
          <w:rFonts w:ascii="Calibri" w:hAnsi="Calibri"/>
          <w:b/>
          <w:color w:val="1C2733"/>
        </w:rPr>
        <w:t>Minimum acceptance:</w:t>
      </w:r>
      <w:r>
        <w:rPr>
          <w:rFonts w:ascii="Calibri" w:hAnsi="Calibri"/>
          <w:color w:val="1C2733"/>
        </w:rPr>
        <w:t xml:space="preserve"> at least 30% lower evaluation cost while preserving at least 98% of the full-budget Pareto hypervolume and missing fewer than 5% of eventual frontier candidates.</w:t>
      </w:r>
    </w:p>
    <w:p>
      <w:pPr>
        <w:pStyle w:val="Heading2"/>
        <w:keepNext/>
        <w:pageBreakBefore w:val="0"/>
      </w:pPr>
      <w:r>
        <w:rPr>
          <w:rFonts w:ascii="Calibri" w:hAnsi="Calibri"/>
          <w:color w:val="2E74B5"/>
          <w:sz w:val="26"/>
        </w:rPr>
        <w:t>Quick win 6 - Drift Sentinel with staged response (P1, 3-6 weeks)</w:t>
      </w:r>
    </w:p>
    <w:p>
      <w:pPr>
        <w:widowControl/>
      </w:pPr>
      <w:r>
        <w:rPr>
          <w:rFonts w:ascii="Calibri" w:hAnsi="Calibri"/>
          <w:color w:val="1C2733"/>
        </w:rPr>
        <w:t>Begin with performance, calibration, retrieval freshness, tool health, cost/latency, and correlation drift. Use a robust windowed detector, effect-size floor, minimum samples, and hysteresis. Run injected drift and false-alarm tests.</w:t>
      </w:r>
    </w:p>
    <w:p>
      <w:pPr>
        <w:widowControl/>
      </w:pPr>
      <w:r>
        <w:rPr>
          <w:rFonts w:ascii="Calibri" w:hAnsi="Calibri"/>
          <w:b/>
          <w:color w:val="1C2733"/>
        </w:rPr>
        <w:t>Minimum acceptance:</w:t>
      </w:r>
      <w:r>
        <w:rPr>
          <w:rFonts w:ascii="Calibri" w:hAnsi="Calibri"/>
          <w:color w:val="1C2733"/>
        </w:rPr>
        <w:t xml:space="preserve"> mission-specific detection within the agreed sample/time budget, false alerts below the agreed rate, and successful de-weight/quarantine/rollback/recovery replay.</w:t>
      </w:r>
    </w:p>
    <w:p>
      <w:pPr>
        <w:pStyle w:val="Heading2"/>
        <w:keepNext/>
        <w:pageBreakBefore w:val="0"/>
      </w:pPr>
      <w:r>
        <w:rPr>
          <w:rFonts w:ascii="Calibri" w:hAnsi="Calibri"/>
          <w:color w:val="2E74B5"/>
          <w:sz w:val="26"/>
        </w:rPr>
        <w:t>Quick win 7 - Specialist portfolio rather than one champion (P2, 6-10 weeks)</w:t>
      </w:r>
    </w:p>
    <w:p>
      <w:pPr>
        <w:widowControl/>
      </w:pPr>
      <w:r>
        <w:rPr>
          <w:rFonts w:ascii="Calibri" w:hAnsi="Calibri"/>
          <w:color w:val="1C2733"/>
        </w:rPr>
        <w:t>Maintain Pareto/MAP-Elites niches by mission signature, risk class, tool environment, context size, and—within CELL-Q—historical/synthetic regime. Route to a calibrated specialist plus safe fallback.</w:t>
      </w:r>
    </w:p>
    <w:p>
      <w:pPr>
        <w:widowControl/>
      </w:pPr>
      <w:r>
        <w:rPr>
          <w:rFonts w:ascii="Calibri" w:hAnsi="Calibri"/>
          <w:b/>
          <w:color w:val="1C2733"/>
        </w:rPr>
        <w:t>Minimum acceptance:</w:t>
      </w:r>
      <w:r>
        <w:rPr>
          <w:rFonts w:ascii="Calibri" w:hAnsi="Calibri"/>
          <w:color w:val="1C2733"/>
        </w:rPr>
        <w:t xml:space="preserve"> portfolio improves worst-decile or regime-stratified performance without lowering global safety/quality floors; routing uncertainty produces fallback rather than forced selection.</w:t>
      </w:r>
    </w:p>
    <w:p>
      <w:pPr>
        <w:pStyle w:val="Heading1"/>
        <w:keepNext/>
        <w:pageBreakBefore w:val="0"/>
      </w:pPr>
      <w:r>
        <w:rPr>
          <w:rFonts w:ascii="Calibri" w:hAnsi="Calibri"/>
          <w:color w:val="2E74B5"/>
          <w:sz w:val="32"/>
        </w:rPr>
        <w:t>10. Targeted experiments and stop conditions</w:t>
      </w:r>
    </w:p>
    <w:p>
      <w:pPr>
        <w:pStyle w:val="Heading2"/>
        <w:keepNext/>
        <w:pageBreakBefore w:val="0"/>
      </w:pPr>
      <w:r>
        <w:rPr>
          <w:rFonts w:ascii="Calibri" w:hAnsi="Calibri"/>
          <w:color w:val="2E74B5"/>
          <w:sz w:val="26"/>
        </w:rPr>
        <w:t>E1 - Contextual Inference Adapter</w:t>
      </w:r>
    </w:p>
    <w:p>
      <w:pPr>
        <w:widowControl/>
      </w:pPr>
      <w:r>
        <w:rPr>
          <w:rFonts w:ascii="Calibri" w:hAnsi="Calibri"/>
          <w:b/>
          <w:color w:val="1C2733"/>
        </w:rPr>
        <w:t>Question:</w:t>
      </w:r>
      <w:r>
        <w:rPr>
          <w:rFonts w:ascii="Calibri" w:hAnsi="Calibri"/>
          <w:color w:val="1C2733"/>
        </w:rPr>
        <w:t xml:space="preserve"> does evidence order create a stable interaction that a quantum-probability model predicts better than ordinary direct order effects?</w:t>
      </w:r>
    </w:p>
    <w:p>
      <w:pPr>
        <w:widowControl/>
      </w:pPr>
      <w:r>
        <w:rPr>
          <w:rFonts w:ascii="Calibri" w:hAnsi="Calibri"/>
          <w:b/>
          <w:color w:val="1C2733"/>
        </w:rPr>
        <w:t>Protocol:</w:t>
      </w:r>
      <w:r>
        <w:rPr>
          <w:rFonts w:ascii="Calibri" w:hAnsi="Calibri"/>
          <w:color w:val="1C2733"/>
        </w:rPr>
        <w:t xml:space="preserve"> create paired AB/BA mission judgments with controlled evidence; randomize agents/models/prompts; reserve a frozen test set; fit (a) Bayesian update, (b) logistic/Markov sequence model, (c) quantum-probability model. Recent LLM studies report measurable input/order sensitivity, so the phenomenon is worth testing, but use Contextuality-by-Default to separate direct influences from contextuality [S26-S29, S35].</w:t>
      </w:r>
    </w:p>
    <w:p>
      <w:pPr>
        <w:widowControl/>
      </w:pPr>
      <w:r>
        <w:rPr>
          <w:rFonts w:ascii="Calibri" w:hAnsi="Calibri"/>
          <w:b/>
          <w:color w:val="1C2733"/>
        </w:rPr>
        <w:t>Promote to researched capability only if:</w:t>
      </w:r>
      <w:r>
        <w:rPr>
          <w:rFonts w:ascii="Calibri" w:hAnsi="Calibri"/>
          <w:color w:val="1C2733"/>
        </w:rPr>
        <w:t xml:space="preserve"> the effect replicates across at least two model families and two mission types; true contextuality survives the direct-influence test; the quantum model improves held-out log loss or Brier score by at least 2% with uncertainty excluding zero; information-criterion or nested-CV comparison accounts for extra parameters; and the representation changes a useful platform decision.</w:t>
      </w:r>
    </w:p>
    <w:p>
      <w:pPr>
        <w:widowControl/>
      </w:pPr>
      <w:r>
        <w:rPr>
          <w:rFonts w:ascii="Calibri" w:hAnsi="Calibri"/>
          <w:b/>
          <w:color w:val="1C2733"/>
        </w:rPr>
        <w:t>Stop if:</w:t>
      </w:r>
      <w:r>
        <w:rPr>
          <w:rFonts w:ascii="Calibri" w:hAnsi="Calibri"/>
          <w:color w:val="1C2733"/>
        </w:rPr>
        <w:t xml:space="preserve"> a classical sequence feature explains the effect, lift is unstable, the adapter increases calibration error, or it cannot be explained to an operator.</w:t>
      </w:r>
    </w:p>
    <w:p>
      <w:pPr>
        <w:pStyle w:val="Heading2"/>
        <w:keepNext/>
        <w:pageBreakBefore w:val="0"/>
      </w:pPr>
      <w:r>
        <w:rPr>
          <w:rFonts w:ascii="Calibri" w:hAnsi="Calibri"/>
          <w:color w:val="2E74B5"/>
          <w:sz w:val="26"/>
        </w:rPr>
        <w:t>E2 - QUBO Solver Adapter</w:t>
      </w:r>
    </w:p>
    <w:p>
      <w:pPr>
        <w:widowControl/>
      </w:pPr>
      <w:r>
        <w:rPr>
          <w:rFonts w:ascii="Calibri" w:hAnsi="Calibri"/>
          <w:b/>
          <w:color w:val="1C2733"/>
        </w:rPr>
        <w:t>Question:</w:t>
      </w:r>
      <w:r>
        <w:rPr>
          <w:rFonts w:ascii="Calibri" w:hAnsi="Calibri"/>
          <w:color w:val="1C2733"/>
        </w:rPr>
        <w:t xml:space="preserve"> are there recurring CELL subproblems whose binary-quadratic structure is large/dense enough for a quantum or quantum-inspired backend to win?</w:t>
      </w:r>
    </w:p>
    <w:p>
      <w:pPr>
        <w:widowControl/>
      </w:pPr>
      <w:r>
        <w:rPr>
          <w:rFonts w:ascii="Calibri" w:hAnsi="Calibri"/>
          <w:b/>
          <w:color w:val="1C2733"/>
        </w:rPr>
        <w:t>Candidate workloads:</w:t>
      </w:r>
      <w:r>
        <w:rPr>
          <w:rFonts w:ascii="Calibri" w:hAnsi="Calibri"/>
          <w:color w:val="1C2733"/>
        </w:rPr>
        <w:t xml:space="preserve"> topology selection with pairwise communication cost, capability assignment with pairwise compatibility, and constrained placement. First express the original constrained problem, then derive QUBO without dropping invariants.</w:t>
      </w:r>
    </w:p>
    <w:p>
      <w:pPr>
        <w:widowControl/>
      </w:pPr>
      <w:r>
        <w:rPr>
          <w:rFonts w:ascii="Calibri" w:hAnsi="Calibri"/>
          <w:b/>
          <w:color w:val="1C2733"/>
        </w:rPr>
        <w:t>Baselines:</w:t>
      </w:r>
      <w:r>
        <w:rPr>
          <w:rFonts w:ascii="Calibri" w:hAnsi="Calibri"/>
          <w:color w:val="1C2733"/>
        </w:rPr>
        <w:t xml:space="preserve"> OR-Tools CP-SAT, a strong MILP solver where licensed, tuned simulated annealing/parallel tempering, and a classical QUBO/simulated-bifurcation backend [S20, S30].</w:t>
      </w:r>
    </w:p>
    <w:p>
      <w:pPr>
        <w:widowControl/>
      </w:pPr>
      <w:r>
        <w:rPr>
          <w:rFonts w:ascii="Calibri" w:hAnsi="Calibri"/>
          <w:b/>
          <w:color w:val="1C2733"/>
        </w:rPr>
        <w:t>Promote a new backend only if:</w:t>
      </w:r>
      <w:r>
        <w:rPr>
          <w:rFonts w:ascii="Calibri" w:hAnsi="Calibri"/>
          <w:color w:val="1C2733"/>
        </w:rPr>
        <w:t xml:space="preserve"> across a preregistered workload family, it gives at least 20% end-to-end time-to-target or solution-quality advantage after model conversion, embedding, queue, sampling, and repair overhead; respects all hard constraints; and the advantage survives tuned classical baselines. Quantum-annealing studies are mixed and strongly problem-dependent; recent application benchmarking work argues that model-independent comparison with the best classical method is essential [S31-S33].</w:t>
      </w:r>
    </w:p>
    <w:p>
      <w:pPr>
        <w:widowControl/>
      </w:pPr>
      <w:r>
        <w:rPr>
          <w:rFonts w:ascii="Calibri" w:hAnsi="Calibri"/>
          <w:b/>
          <w:color w:val="1C2733"/>
        </w:rPr>
        <w:t>Stop if:</w:t>
      </w:r>
      <w:r>
        <w:rPr>
          <w:rFonts w:ascii="Calibri" w:hAnsi="Calibri"/>
          <w:color w:val="1C2733"/>
        </w:rPr>
        <w:t xml:space="preserve"> problems are naturally nonbinary/nonquadratic, embedding overhead dominates, feasibility repair erases the gain, or advantage appears only against an untuned baseline.</w:t>
      </w:r>
    </w:p>
    <w:p>
      <w:pPr>
        <w:pStyle w:val="Heading2"/>
        <w:keepNext/>
        <w:pageBreakBefore w:val="0"/>
      </w:pPr>
      <w:r>
        <w:rPr>
          <w:rFonts w:ascii="Calibri" w:hAnsi="Calibri"/>
          <w:color w:val="2E74B5"/>
          <w:sz w:val="26"/>
        </w:rPr>
        <w:t>E3 - Communication-free QMARL laboratory</w:t>
      </w:r>
    </w:p>
    <w:p>
      <w:pPr>
        <w:widowControl/>
      </w:pPr>
      <w:r>
        <w:rPr>
          <w:rFonts w:ascii="Calibri" w:hAnsi="Calibri"/>
          <w:color w:val="1C2733"/>
        </w:rPr>
        <w:t>Recent work reports quantum-policy advantages in specific decentralized, communication-free multi-agent environments, including a CHSH-style coordination setting and a cooperative navigation experiment [S34]. This is scientifically interesting but outside the current CELL OS message-rich LLM architecture.</w:t>
      </w:r>
    </w:p>
    <w:p>
      <w:pPr>
        <w:widowControl/>
      </w:pPr>
      <w:r>
        <w:rPr>
          <w:rFonts w:ascii="Calibri" w:hAnsi="Calibri"/>
          <w:b/>
          <w:color w:val="1C2733"/>
        </w:rPr>
        <w:t>Open only if:</w:t>
      </w:r>
      <w:r>
        <w:rPr>
          <w:rFonts w:ascii="Calibri" w:hAnsi="Calibri"/>
          <w:color w:val="1C2733"/>
        </w:rPr>
        <w:t xml:space="preserve"> a future Domain Plane controls distributed physical/edge agents with no communication during action, the environment can be simulated safely, and a classical MARL baseline suite exists. Otherwise keep it in the research registry with no roadmap dependency.</w:t>
      </w:r>
    </w:p>
    <w:p>
      <w:pPr>
        <w:pStyle w:val="Heading1"/>
        <w:keepNext/>
        <w:pageBreakBefore w:val="0"/>
      </w:pPr>
      <w:r>
        <w:rPr>
          <w:rFonts w:ascii="Calibri" w:hAnsi="Calibri"/>
          <w:color w:val="2E74B5"/>
          <w:sz w:val="32"/>
        </w:rPr>
        <w:t>11. CELL-Q mapping (historical, synthetic, and paper only)</w:t>
      </w:r>
    </w:p>
    <w:p>
      <w:pPr>
        <w:widowControl/>
      </w:pPr>
      <w:r>
        <w:rPr>
          <w:rFonts w:ascii="Calibri" w:hAnsi="Calibri"/>
          <w:color w:val="1C2733"/>
        </w:rPr>
        <w:t>The names in the motivating concept can fit as a research-domain vocabulary without changing the generic Kernel:</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850"/>
        <w:gridCol w:w="4470"/>
        <w:gridCol w:w="3040"/>
      </w:tblGrid>
      <w:tr>
        <w:trPr>
          <w:tblHeader w:val="true"/>
          <w:cantSplit/>
        </w:trPr>
        <w:tc>
          <w:tcPr>
            <w:tcW w:type="dxa" w:w="185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Proposed CELL-Q component</w:t>
            </w:r>
          </w:p>
        </w:tc>
        <w:tc>
          <w:tcPr>
            <w:tcW w:type="dxa" w:w="447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Rigorous implementation</w:t>
            </w:r>
          </w:p>
        </w:tc>
        <w:tc>
          <w:tcPr>
            <w:tcW w:type="dxa" w:w="304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Main protection</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REGIMEWATCH</w:t>
            </w:r>
          </w:p>
        </w:tc>
        <w:tc>
          <w:tcPr>
            <w:tcW w:type="dxa" w:w="447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posterior or interval over latent regimes; transition uncertainty; calibration and stability by horizon</w:t>
            </w:r>
          </w:p>
        </w:tc>
        <w:tc>
          <w:tcPr>
            <w:tcW w:type="dxa" w:w="304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never publish one forced regime label when uncertainty is material</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Strategy allocator</w:t>
            </w:r>
          </w:p>
        </w:tc>
        <w:tc>
          <w:tcPr>
            <w:tcW w:type="dxa" w:w="447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calibrated stacking/gating with covariance, common-source, capacity, and regime uncertainty penalties</w:t>
            </w:r>
          </w:p>
        </w:tc>
        <w:tc>
          <w:tcPr>
            <w:tcW w:type="dxa" w:w="304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agreement from correlated models is discounted</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WARDEN</w:t>
            </w:r>
          </w:p>
        </w:tc>
        <w:tc>
          <w:tcPr>
            <w:tcW w:type="dxa" w:w="447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research-policy and simulated-risk Commitment Gate</w:t>
            </w:r>
          </w:p>
        </w:tc>
        <w:tc>
          <w:tcPr>
            <w:tcW w:type="dxa" w:w="304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deterministic constraints; no live account or brokerage path</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DISPATCH</w:t>
            </w:r>
          </w:p>
        </w:tc>
        <w:tc>
          <w:tcPr>
            <w:tcW w:type="dxa" w:w="447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deterministic paper/simulation action after a signed Commitment Receipt</w:t>
            </w:r>
          </w:p>
        </w:tc>
        <w:tc>
          <w:tcPr>
            <w:tcW w:type="dxa" w:w="304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immutable plan, idempotency, audit, replay</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PULSE</w:t>
            </w:r>
          </w:p>
        </w:tc>
        <w:tc>
          <w:tcPr>
            <w:tcW w:type="dxa" w:w="447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data/feature/regime/calibration/performance/correlation drift detectors</w:t>
            </w:r>
          </w:p>
        </w:tc>
        <w:tc>
          <w:tcPr>
            <w:tcW w:type="dxa" w:w="304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staged de-weight, quarantine, retest, and retirement</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JUDGE</w:t>
            </w:r>
          </w:p>
        </w:tc>
        <w:tc>
          <w:tcPr>
            <w:tcW w:type="dxa" w:w="447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independent evaluation principal with hidden point-in-time data and trial ledger</w:t>
            </w:r>
          </w:p>
        </w:tc>
        <w:tc>
          <w:tcPr>
            <w:tcW w:type="dxa" w:w="304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candidate cannot see or alter evaluator, holdout, or promotion threshold</w:t>
            </w:r>
          </w:p>
        </w:tc>
      </w:tr>
      <w:tr>
        <w:trPr>
          <w:cantSplit/>
        </w:trPr>
        <w:tc>
          <w:tcPr>
            <w:tcW w:type="dxa" w:w="185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BLACKBOX</w:t>
            </w:r>
          </w:p>
        </w:tc>
        <w:tc>
          <w:tcPr>
            <w:tcW w:type="dxa" w:w="447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ADAPT search portfolio: ASHA/BOHB, Pareto/MAP-Elites, annealing/mutation, causal ablation</w:t>
            </w:r>
          </w:p>
        </w:tc>
        <w:tc>
          <w:tcPr>
            <w:tcW w:type="dxa" w:w="3040"/>
            <w:tcMar>
              <w:top w:w="80" w:type="dxa"/>
              <w:start w:w="120" w:type="dxa"/>
              <w:bottom w:w="80" w:type="dxa"/>
              <w:end w:w="120" w:type="dxa"/>
            </w:tcMar>
            <w:vAlign w:val="center"/>
          </w:tcPr>
          <w:p>
            <w:pPr>
              <w:pStyle w:val="TableText"/>
              <w:spacing w:before="0" w:after="0" w:line="247" w:lineRule="auto"/>
            </w:pPr>
            <w:r>
              <w:rPr>
                <w:rFonts w:ascii="Calibri" w:hAnsi="Calibri"/>
                <w:color w:val="1C2733"/>
                <w:sz w:val="17"/>
              </w:rPr>
              <w:t>full trial count, multiple-testing correction, independent promotion</w:t>
            </w:r>
          </w:p>
        </w:tc>
      </w:tr>
    </w:tbl>
    <w:p>
      <w:pPr>
        <w:spacing w:after="20"/>
      </w:pPr>
    </w:p>
    <w:p>
      <w:pPr>
        <w:widowControl/>
      </w:pPr>
      <w:r>
        <w:rPr>
          <w:rFonts w:ascii="Calibri" w:hAnsi="Calibri"/>
          <w:color w:val="1C2733"/>
        </w:rPr>
        <w:t>For CELL-Q, "interference" should mean correlation-aware evidence fusion, not adding uncalibrated bullish/bearish votes. Every signal needs horizon, as-of time, data vintage, uncertainty, source lineage, validity region, and degradation state. The research lifecycle must retain failed hypotheses and every tried configuration; otherwise the Measurement Firewall cannot estimate selection pressure or simulation overfitting [S23-S25].</w:t>
      </w:r>
    </w:p>
    <w:p>
      <w:pPr>
        <w:pStyle w:val="Heading1"/>
        <w:keepNext/>
        <w:pageBreakBefore w:val="0"/>
      </w:pPr>
      <w:r>
        <w:rPr>
          <w:rFonts w:ascii="Calibri" w:hAnsi="Calibri"/>
          <w:color w:val="2E74B5"/>
          <w:sz w:val="32"/>
        </w:rPr>
        <w:t>12. Roadmap and ownership</w:t>
      </w:r>
    </w:p>
    <w:p>
      <w:pPr>
        <w:pStyle w:val="Heading2"/>
        <w:keepNext/>
        <w:pageBreakBefore w:val="0"/>
      </w:pPr>
      <w:r>
        <w:rPr>
          <w:rFonts w:ascii="Calibri" w:hAnsi="Calibri"/>
          <w:color w:val="2E74B5"/>
          <w:sz w:val="26"/>
        </w:rPr>
        <w:t>Phase 0 - Ratify contracts and protect measurement (week 0-2)</w:t>
      </w:r>
    </w:p>
    <w:p>
      <w:pPr>
        <w:numPr>
          <w:ilvl w:val="0"/>
          <w:numId w:val="10"/>
        </w:numPr>
        <w:spacing w:after="160" w:line="280" w:lineRule="auto"/>
      </w:pPr>
      <w:r>
        <w:rPr>
          <w:rFonts w:ascii="Calibri" w:hAnsi="Calibri"/>
          <w:color w:val="1C2733"/>
        </w:rPr>
        <w:t>Approve ADR-Q001: four-level quantum terminology and prohibited claims.</w:t>
      </w:r>
    </w:p>
    <w:p>
      <w:pPr>
        <w:numPr>
          <w:ilvl w:val="0"/>
          <w:numId w:val="10"/>
        </w:numPr>
        <w:spacing w:after="160" w:line="280" w:lineRule="auto"/>
      </w:pPr>
      <w:r>
        <w:rPr>
          <w:rFonts w:ascii="Calibri" w:hAnsi="Calibri"/>
          <w:color w:val="1C2733"/>
        </w:rPr>
        <w:t xml:space="preserve">Add </w:t>
      </w:r>
      <w:r>
        <w:rPr>
          <w:rFonts w:ascii="Liberation Mono" w:hAnsi="Liberation Mono"/>
          <w:color w:val="1F4D78"/>
          <w:sz w:val="21"/>
        </w:rPr>
        <w:t>HypothesisEnvelope</w:t>
      </w:r>
      <w:r>
        <w:rPr>
          <w:rFonts w:ascii="Calibri" w:hAnsi="Calibri"/>
          <w:color w:val="1C2733"/>
        </w:rPr>
        <w:t xml:space="preserve">, </w:t>
      </w:r>
      <w:r>
        <w:rPr>
          <w:rFonts w:ascii="Liberation Mono" w:hAnsi="Liberation Mono"/>
          <w:color w:val="1F4D78"/>
          <w:sz w:val="21"/>
        </w:rPr>
        <w:t>CommitmentReceipt</w:t>
      </w:r>
      <w:r>
        <w:rPr>
          <w:rFonts w:ascii="Calibri" w:hAnsi="Calibri"/>
          <w:color w:val="1C2733"/>
        </w:rPr>
        <w:t xml:space="preserve">, </w:t>
      </w:r>
      <w:r>
        <w:rPr>
          <w:rFonts w:ascii="Liberation Mono" w:hAnsi="Liberation Mono"/>
          <w:color w:val="1F4D78"/>
          <w:sz w:val="21"/>
        </w:rPr>
        <w:t>MeasurementBudget</w:t>
      </w:r>
      <w:r>
        <w:rPr>
          <w:rFonts w:ascii="Calibri" w:hAnsi="Calibri"/>
          <w:color w:val="1C2733"/>
        </w:rPr>
        <w:t xml:space="preserve">, </w:t>
      </w:r>
      <w:r>
        <w:rPr>
          <w:rFonts w:ascii="Liberation Mono" w:hAnsi="Liberation Mono"/>
          <w:color w:val="1F4D78"/>
          <w:sz w:val="21"/>
        </w:rPr>
        <w:t>CouplingProfile</w:t>
      </w:r>
      <w:r>
        <w:rPr>
          <w:rFonts w:ascii="Calibri" w:hAnsi="Calibri"/>
          <w:color w:val="1C2733"/>
        </w:rPr>
        <w:t xml:space="preserve">, and </w:t>
      </w:r>
      <w:r>
        <w:rPr>
          <w:rFonts w:ascii="Liberation Mono" w:hAnsi="Liberation Mono"/>
          <w:color w:val="1F4D78"/>
          <w:sz w:val="21"/>
        </w:rPr>
        <w:t>DriftEvidence</w:t>
      </w:r>
      <w:r>
        <w:rPr>
          <w:rFonts w:ascii="Calibri" w:hAnsi="Calibri"/>
          <w:color w:val="1C2733"/>
        </w:rPr>
        <w:t xml:space="preserve"> schemas.</w:t>
      </w:r>
    </w:p>
    <w:p>
      <w:pPr>
        <w:numPr>
          <w:ilvl w:val="0"/>
          <w:numId w:val="10"/>
        </w:numPr>
        <w:spacing w:after="160" w:line="280" w:lineRule="auto"/>
      </w:pPr>
      <w:r>
        <w:rPr>
          <w:rFonts w:ascii="Calibri" w:hAnsi="Calibri"/>
          <w:color w:val="1C2733"/>
        </w:rPr>
        <w:t>Implement evaluator/holdout capability boundaries and append-only trial/query ledger.</w:t>
      </w:r>
    </w:p>
    <w:p>
      <w:pPr>
        <w:numPr>
          <w:ilvl w:val="0"/>
          <w:numId w:val="10"/>
        </w:numPr>
        <w:spacing w:after="160" w:line="280" w:lineRule="auto"/>
      </w:pPr>
      <w:r>
        <w:rPr>
          <w:rFonts w:ascii="Calibri" w:hAnsi="Calibri"/>
          <w:color w:val="1C2733"/>
        </w:rPr>
        <w:t>Add uncertainty, evidence dependence, and decision status to the Cognitive ABI.</w:t>
      </w:r>
    </w:p>
    <w:p>
      <w:pPr>
        <w:numPr>
          <w:ilvl w:val="0"/>
          <w:numId w:val="10"/>
        </w:numPr>
        <w:spacing w:after="160" w:line="280" w:lineRule="auto"/>
      </w:pPr>
      <w:r>
        <w:rPr>
          <w:rFonts w:ascii="Calibri" w:hAnsi="Calibri"/>
          <w:color w:val="1C2733"/>
        </w:rPr>
        <w:t>Prototype branch-once/commit-late on a small frozen benchmark.</w:t>
      </w:r>
    </w:p>
    <w:p>
      <w:pPr>
        <w:widowControl/>
      </w:pPr>
      <w:r>
        <w:rPr>
          <w:rFonts w:ascii="Calibri" w:hAnsi="Calibri"/>
          <w:b/>
          <w:color w:val="1C2733"/>
        </w:rPr>
        <w:t>Owners:</w:t>
      </w:r>
      <w:r>
        <w:rPr>
          <w:rFonts w:ascii="Calibri" w:hAnsi="Calibri"/>
          <w:color w:val="1C2733"/>
        </w:rPr>
        <w:t xml:space="preserve"> assurance/evaluation, SIHRE, contracts/schema, Kernel security.</w:t>
      </w:r>
    </w:p>
    <w:p>
      <w:pPr>
        <w:widowControl/>
      </w:pPr>
      <w:r>
        <w:rPr>
          <w:rFonts w:ascii="Calibri" w:hAnsi="Calibri"/>
          <w:b/>
          <w:color w:val="1C2733"/>
        </w:rPr>
        <w:t>Exit:</w:t>
      </w:r>
      <w:r>
        <w:rPr>
          <w:rFonts w:ascii="Calibri" w:hAnsi="Calibri"/>
          <w:color w:val="1C2733"/>
        </w:rPr>
        <w:t xml:space="preserve"> Measurement Firewall adversarial tests pass; replay reconstructs a full decision.</w:t>
      </w:r>
    </w:p>
    <w:p>
      <w:pPr>
        <w:pStyle w:val="Heading2"/>
        <w:keepNext/>
        <w:pageBreakBefore w:val="0"/>
      </w:pPr>
      <w:r>
        <w:rPr>
          <w:rFonts w:ascii="Calibri" w:hAnsi="Calibri"/>
          <w:color w:val="2E74B5"/>
          <w:sz w:val="26"/>
        </w:rPr>
        <w:t>Phase 1 - Selective cognition and coordination (week 2-6)</w:t>
      </w:r>
    </w:p>
    <w:p>
      <w:pPr>
        <w:numPr>
          <w:ilvl w:val="0"/>
          <w:numId w:val="10"/>
        </w:numPr>
        <w:spacing w:after="160" w:line="280" w:lineRule="auto"/>
      </w:pPr>
      <w:r>
        <w:rPr>
          <w:rFonts w:ascii="Calibri" w:hAnsi="Calibri"/>
          <w:color w:val="1C2733"/>
        </w:rPr>
        <w:t>Instrument coupling and evidence duplication in CellBus/HyperMESH.</w:t>
      </w:r>
    </w:p>
    <w:p>
      <w:pPr>
        <w:numPr>
          <w:ilvl w:val="0"/>
          <w:numId w:val="10"/>
        </w:numPr>
        <w:spacing w:after="160" w:line="280" w:lineRule="auto"/>
      </w:pPr>
      <w:r>
        <w:rPr>
          <w:rFonts w:ascii="Calibri" w:hAnsi="Calibri"/>
          <w:color w:val="1C2733"/>
        </w:rPr>
        <w:t>Add value-of-computation controller and transparent solo-vs-Cell rule selector.</w:t>
      </w:r>
    </w:p>
    <w:p>
      <w:pPr>
        <w:numPr>
          <w:ilvl w:val="0"/>
          <w:numId w:val="10"/>
        </w:numPr>
        <w:spacing w:after="160" w:line="280" w:lineRule="auto"/>
      </w:pPr>
      <w:r>
        <w:rPr>
          <w:rFonts w:ascii="Calibri" w:hAnsi="Calibri"/>
          <w:color w:val="1C2733"/>
        </w:rPr>
        <w:t>Add NERVE Decision/Evidence views and operator explanations.</w:t>
      </w:r>
    </w:p>
    <w:p>
      <w:pPr>
        <w:numPr>
          <w:ilvl w:val="0"/>
          <w:numId w:val="10"/>
        </w:numPr>
        <w:spacing w:after="160" w:line="280" w:lineRule="auto"/>
      </w:pPr>
      <w:r>
        <w:rPr>
          <w:rFonts w:ascii="Calibri" w:hAnsi="Calibri"/>
          <w:color w:val="1C2733"/>
        </w:rPr>
        <w:t>Add first drift detectors and staged state transitions.</w:t>
      </w:r>
    </w:p>
    <w:p>
      <w:pPr>
        <w:widowControl/>
      </w:pPr>
      <w:r>
        <w:rPr>
          <w:rFonts w:ascii="Calibri" w:hAnsi="Calibri"/>
          <w:b/>
          <w:color w:val="1C2733"/>
        </w:rPr>
        <w:t>Owners:</w:t>
      </w:r>
      <w:r>
        <w:rPr>
          <w:rFonts w:ascii="Calibri" w:hAnsi="Calibri"/>
          <w:color w:val="1C2733"/>
        </w:rPr>
        <w:t xml:space="preserve"> SIHRE, HyperMESH/CellBus, reliability, NERVE.</w:t>
      </w:r>
    </w:p>
    <w:p>
      <w:pPr>
        <w:widowControl/>
      </w:pPr>
      <w:r>
        <w:rPr>
          <w:rFonts w:ascii="Calibri" w:hAnsi="Calibri"/>
          <w:b/>
          <w:color w:val="1C2733"/>
        </w:rPr>
        <w:t>Exit:</w:t>
      </w:r>
      <w:r>
        <w:rPr>
          <w:rFonts w:ascii="Calibri" w:hAnsi="Calibri"/>
          <w:color w:val="1C2733"/>
        </w:rPr>
        <w:t xml:space="preserve"> held-out brancher, team selector, coupling, and drift gates pass.</w:t>
      </w:r>
    </w:p>
    <w:p>
      <w:pPr>
        <w:pStyle w:val="Heading2"/>
        <w:keepNext/>
        <w:pageBreakBefore w:val="0"/>
      </w:pPr>
      <w:r>
        <w:rPr>
          <w:rFonts w:ascii="Calibri" w:hAnsi="Calibri"/>
          <w:color w:val="2E74B5"/>
          <w:sz w:val="26"/>
        </w:rPr>
        <w:t>Phase 2 - Efficient evolution (after replay maturity, week 6-12)</w:t>
      </w:r>
    </w:p>
    <w:p>
      <w:pPr>
        <w:numPr>
          <w:ilvl w:val="0"/>
          <w:numId w:val="10"/>
        </w:numPr>
        <w:spacing w:after="160" w:line="280" w:lineRule="auto"/>
      </w:pPr>
      <w:r>
        <w:rPr>
          <w:rFonts w:ascii="Calibri" w:hAnsi="Calibri"/>
          <w:color w:val="1C2733"/>
        </w:rPr>
        <w:t>Add ASHA/Hyperband budget abstraction to Shadow Twins.</w:t>
      </w:r>
    </w:p>
    <w:p>
      <w:pPr>
        <w:numPr>
          <w:ilvl w:val="0"/>
          <w:numId w:val="10"/>
        </w:numPr>
        <w:spacing w:after="160" w:line="280" w:lineRule="auto"/>
      </w:pPr>
      <w:r>
        <w:rPr>
          <w:rFonts w:ascii="Calibri" w:hAnsi="Calibri"/>
          <w:color w:val="1C2733"/>
        </w:rPr>
        <w:t>Add constrained multi-objective objective model and Pareto archive.</w:t>
      </w:r>
    </w:p>
    <w:p>
      <w:pPr>
        <w:numPr>
          <w:ilvl w:val="0"/>
          <w:numId w:val="10"/>
        </w:numPr>
        <w:spacing w:after="160" w:line="280" w:lineRule="auto"/>
      </w:pPr>
      <w:r>
        <w:rPr>
          <w:rFonts w:ascii="Calibri" w:hAnsi="Calibri"/>
          <w:color w:val="1C2733"/>
        </w:rPr>
        <w:t>Add MAP-Elites niches for mission-conditioned specialists.</w:t>
      </w:r>
    </w:p>
    <w:p>
      <w:pPr>
        <w:numPr>
          <w:ilvl w:val="0"/>
          <w:numId w:val="10"/>
        </w:numPr>
        <w:spacing w:after="160" w:line="280" w:lineRule="auto"/>
      </w:pPr>
      <w:r>
        <w:rPr>
          <w:rFonts w:ascii="Calibri" w:hAnsi="Calibri"/>
          <w:color w:val="1C2733"/>
        </w:rPr>
        <w:t>Compare optimizer portfolio on synthetic and replay workloads.</w:t>
      </w:r>
    </w:p>
    <w:p>
      <w:pPr>
        <w:widowControl/>
      </w:pPr>
      <w:r>
        <w:rPr>
          <w:rFonts w:ascii="Calibri" w:hAnsi="Calibri"/>
          <w:b/>
          <w:color w:val="1C2733"/>
        </w:rPr>
        <w:t>Owners:</w:t>
      </w:r>
      <w:r>
        <w:rPr>
          <w:rFonts w:ascii="Calibri" w:hAnsi="Calibri"/>
          <w:color w:val="1C2733"/>
        </w:rPr>
        <w:t xml:space="preserve"> Replay/Profiler, Evolution Chamber, ADAPT, independent evaluator.</w:t>
      </w:r>
    </w:p>
    <w:p>
      <w:pPr>
        <w:widowControl/>
      </w:pPr>
      <w:r>
        <w:rPr>
          <w:rFonts w:ascii="Calibri" w:hAnsi="Calibri"/>
          <w:b/>
          <w:color w:val="1C2733"/>
        </w:rPr>
        <w:t>Exit:</w:t>
      </w:r>
      <w:r>
        <w:rPr>
          <w:rFonts w:ascii="Calibri" w:hAnsi="Calibri"/>
          <w:color w:val="1C2733"/>
        </w:rPr>
        <w:t xml:space="preserve"> budget/cost gate passes without losing frontier quality; ADAPT has no route to frozen controls.</w:t>
      </w:r>
    </w:p>
    <w:p>
      <w:pPr>
        <w:pStyle w:val="Heading2"/>
        <w:keepNext/>
        <w:pageBreakBefore w:val="0"/>
      </w:pPr>
      <w:r>
        <w:rPr>
          <w:rFonts w:ascii="Calibri" w:hAnsi="Calibri"/>
          <w:color w:val="2E74B5"/>
          <w:sz w:val="26"/>
        </w:rPr>
        <w:t>Phase 3 - Research adapters (no product dependency)</w:t>
      </w:r>
    </w:p>
    <w:p>
      <w:pPr>
        <w:numPr>
          <w:ilvl w:val="0"/>
          <w:numId w:val="10"/>
        </w:numPr>
        <w:spacing w:after="160" w:line="280" w:lineRule="auto"/>
      </w:pPr>
      <w:r>
        <w:rPr>
          <w:rFonts w:ascii="Calibri" w:hAnsi="Calibri"/>
          <w:color w:val="1C2733"/>
        </w:rPr>
        <w:t>Run E1 contextual-probability benchmark.</w:t>
      </w:r>
    </w:p>
    <w:p>
      <w:pPr>
        <w:numPr>
          <w:ilvl w:val="0"/>
          <w:numId w:val="10"/>
        </w:numPr>
        <w:spacing w:after="160" w:line="280" w:lineRule="auto"/>
      </w:pPr>
      <w:r>
        <w:rPr>
          <w:rFonts w:ascii="Calibri" w:hAnsi="Calibri"/>
          <w:color w:val="1C2733"/>
        </w:rPr>
        <w:t>Build provider-neutral QUBO adapter and run classical baselines first.</w:t>
      </w:r>
    </w:p>
    <w:p>
      <w:pPr>
        <w:numPr>
          <w:ilvl w:val="0"/>
          <w:numId w:val="10"/>
        </w:numPr>
        <w:spacing w:after="160" w:line="280" w:lineRule="auto"/>
      </w:pPr>
      <w:r>
        <w:rPr>
          <w:rFonts w:ascii="Calibri" w:hAnsi="Calibri"/>
          <w:color w:val="1C2733"/>
        </w:rPr>
        <w:t>Track quantum hardware and communication-free QMARL evidence; do not market capability until the relevant gate passes.</w:t>
      </w:r>
    </w:p>
    <w:p>
      <w:pPr>
        <w:widowControl/>
      </w:pPr>
      <w:r>
        <w:rPr>
          <w:rFonts w:ascii="Calibri" w:hAnsi="Calibri"/>
          <w:b/>
          <w:color w:val="1C2733"/>
        </w:rPr>
        <w:t>Owners:</w:t>
      </w:r>
      <w:r>
        <w:rPr>
          <w:rFonts w:ascii="Calibri" w:hAnsi="Calibri"/>
          <w:color w:val="1C2733"/>
        </w:rPr>
        <w:t xml:space="preserve"> research lab, assurance, domain teams.</w:t>
      </w:r>
    </w:p>
    <w:p>
      <w:pPr>
        <w:widowControl/>
      </w:pPr>
      <w:r>
        <w:rPr>
          <w:rFonts w:ascii="Calibri" w:hAnsi="Calibri"/>
          <w:b/>
          <w:color w:val="1C2733"/>
        </w:rPr>
        <w:t>Exit:</w:t>
      </w:r>
      <w:r>
        <w:rPr>
          <w:rFonts w:ascii="Calibri" w:hAnsi="Calibri"/>
          <w:color w:val="1C2733"/>
        </w:rPr>
        <w:t xml:space="preserve"> each adapter is promoted, archived, or rejected by its predefined stopping rule.</w:t>
      </w:r>
    </w:p>
    <w:p>
      <w:pPr>
        <w:pStyle w:val="Heading1"/>
        <w:keepNext/>
        <w:pageBreakBefore w:val="0"/>
      </w:pPr>
      <w:r>
        <w:rPr>
          <w:rFonts w:ascii="Calibri" w:hAnsi="Calibri"/>
          <w:color w:val="2E74B5"/>
          <w:sz w:val="32"/>
        </w:rPr>
        <w:t>13. Required architecture decisions</w:t>
      </w:r>
    </w:p>
    <w:p>
      <w:pPr>
        <w:numPr>
          <w:ilvl w:val="0"/>
          <w:numId w:val="14"/>
        </w:numPr>
        <w:spacing w:after="160" w:line="280" w:lineRule="auto"/>
      </w:pPr>
      <w:r>
        <w:rPr>
          <w:rFonts w:ascii="Calibri" w:hAnsi="Calibri"/>
          <w:b/>
          <w:color w:val="1C2733"/>
        </w:rPr>
        <w:t>ADR-Q001 - Terminology:</w:t>
      </w:r>
      <w:r>
        <w:rPr>
          <w:rFonts w:ascii="Calibri" w:hAnsi="Calibri"/>
          <w:color w:val="1C2733"/>
        </w:rPr>
        <w:t xml:space="preserve"> distinguish hardware, inspired algorithm, probability formalism, and metaphor; engineering names remain classical.</w:t>
      </w:r>
    </w:p>
    <w:p>
      <w:pPr>
        <w:numPr>
          <w:ilvl w:val="0"/>
          <w:numId w:val="14"/>
        </w:numPr>
        <w:spacing w:after="160" w:line="280" w:lineRule="auto"/>
      </w:pPr>
      <w:r>
        <w:rPr>
          <w:rFonts w:ascii="Calibri" w:hAnsi="Calibri"/>
          <w:b/>
          <w:color w:val="1C2733"/>
        </w:rPr>
        <w:t>ADR-Q002 - Uncertainty representation:</w:t>
      </w:r>
      <w:r>
        <w:rPr>
          <w:rFonts w:ascii="Calibri" w:hAnsi="Calibri"/>
          <w:color w:val="1C2733"/>
        </w:rPr>
        <w:t xml:space="preserve"> probability, interval/credal class, semantic entropy, calibration version, and abstention semantics.</w:t>
      </w:r>
    </w:p>
    <w:p>
      <w:pPr>
        <w:numPr>
          <w:ilvl w:val="0"/>
          <w:numId w:val="14"/>
        </w:numPr>
        <w:spacing w:after="160" w:line="280" w:lineRule="auto"/>
      </w:pPr>
      <w:r>
        <w:rPr>
          <w:rFonts w:ascii="Calibri" w:hAnsi="Calibri"/>
          <w:b/>
          <w:color w:val="1C2733"/>
        </w:rPr>
        <w:t>ADR-Q003 - Commitment boundary:</w:t>
      </w:r>
      <w:r>
        <w:rPr>
          <w:rFonts w:ascii="Calibri" w:hAnsi="Calibri"/>
          <w:color w:val="1C2733"/>
        </w:rPr>
        <w:t xml:space="preserve"> SIHRE proposes; ORCA/Kernel validates; Commitment Receipt and reopen rules.</w:t>
      </w:r>
    </w:p>
    <w:p>
      <w:pPr>
        <w:numPr>
          <w:ilvl w:val="0"/>
          <w:numId w:val="14"/>
        </w:numPr>
        <w:spacing w:after="160" w:line="280" w:lineRule="auto"/>
      </w:pPr>
      <w:r>
        <w:rPr>
          <w:rFonts w:ascii="Calibri" w:hAnsi="Calibri"/>
          <w:b/>
          <w:color w:val="1C2733"/>
        </w:rPr>
        <w:t>ADR-Q004 - Measurement Firewall:</w:t>
      </w:r>
      <w:r>
        <w:rPr>
          <w:rFonts w:ascii="Calibri" w:hAnsi="Calibri"/>
          <w:color w:val="1C2733"/>
        </w:rPr>
        <w:t xml:space="preserve"> evaluator principals, data capabilities, adaptive-query budgets, sequential inference, trial ledger, and fresh-cohort policy.</w:t>
      </w:r>
    </w:p>
    <w:p>
      <w:pPr>
        <w:numPr>
          <w:ilvl w:val="0"/>
          <w:numId w:val="14"/>
        </w:numPr>
        <w:spacing w:after="160" w:line="280" w:lineRule="auto"/>
      </w:pPr>
      <w:r>
        <w:rPr>
          <w:rFonts w:ascii="Calibri" w:hAnsi="Calibri"/>
          <w:b/>
          <w:color w:val="1C2733"/>
        </w:rPr>
        <w:t>ADR-Q005 - Coupling Graph:</w:t>
      </w:r>
      <w:r>
        <w:rPr>
          <w:rFonts w:ascii="Calibri" w:hAnsi="Calibri"/>
          <w:color w:val="1C2733"/>
        </w:rPr>
        <w:t xml:space="preserve"> edge taxonomy, privacy, retention, computation, and team/evidence selection use.</w:t>
      </w:r>
    </w:p>
    <w:p>
      <w:pPr>
        <w:numPr>
          <w:ilvl w:val="0"/>
          <w:numId w:val="14"/>
        </w:numPr>
        <w:spacing w:after="160" w:line="280" w:lineRule="auto"/>
      </w:pPr>
      <w:r>
        <w:rPr>
          <w:rFonts w:ascii="Calibri" w:hAnsi="Calibri"/>
          <w:b/>
          <w:color w:val="1C2733"/>
        </w:rPr>
        <w:t>ADR-Q006 - Architecture selector:</w:t>
      </w:r>
      <w:r>
        <w:rPr>
          <w:rFonts w:ascii="Calibri" w:hAnsi="Calibri"/>
          <w:color w:val="1C2733"/>
        </w:rPr>
        <w:t xml:space="preserve"> allowed choices, feature schema, confidence rule, fallback, and human override.</w:t>
      </w:r>
    </w:p>
    <w:p>
      <w:pPr>
        <w:numPr>
          <w:ilvl w:val="0"/>
          <w:numId w:val="14"/>
        </w:numPr>
        <w:spacing w:after="160" w:line="280" w:lineRule="auto"/>
      </w:pPr>
      <w:r>
        <w:rPr>
          <w:rFonts w:ascii="Calibri" w:hAnsi="Calibri"/>
          <w:b/>
          <w:color w:val="1C2733"/>
        </w:rPr>
        <w:t>ADR-Q007 - Drift response:</w:t>
      </w:r>
      <w:r>
        <w:rPr>
          <w:rFonts w:ascii="Calibri" w:hAnsi="Calibri"/>
          <w:color w:val="1C2733"/>
        </w:rPr>
        <w:t xml:space="preserve"> detector families, hysteresis, authority reduction, quarantine, recovery, and retirement.</w:t>
      </w:r>
    </w:p>
    <w:p>
      <w:pPr>
        <w:numPr>
          <w:ilvl w:val="0"/>
          <w:numId w:val="14"/>
        </w:numPr>
        <w:spacing w:after="160" w:line="280" w:lineRule="auto"/>
      </w:pPr>
      <w:r>
        <w:rPr>
          <w:rFonts w:ascii="Calibri" w:hAnsi="Calibri"/>
          <w:b/>
          <w:color w:val="1C2733"/>
        </w:rPr>
        <w:t>ADR-Q008 - ADAPT optimizer portfolio:</w:t>
      </w:r>
      <w:r>
        <w:rPr>
          <w:rFonts w:ascii="Calibri" w:hAnsi="Calibri"/>
          <w:color w:val="1C2733"/>
        </w:rPr>
        <w:t xml:space="preserve"> problem classifier, budget abstraction, Pareto/archive policy, and reproducibility.</w:t>
      </w:r>
    </w:p>
    <w:p>
      <w:pPr>
        <w:numPr>
          <w:ilvl w:val="0"/>
          <w:numId w:val="14"/>
        </w:numPr>
        <w:spacing w:after="160" w:line="280" w:lineRule="auto"/>
      </w:pPr>
      <w:r>
        <w:rPr>
          <w:rFonts w:ascii="Calibri" w:hAnsi="Calibri"/>
          <w:b/>
          <w:color w:val="1C2733"/>
        </w:rPr>
        <w:t>ADR-Q009 - Research adapters:</w:t>
      </w:r>
      <w:r>
        <w:rPr>
          <w:rFonts w:ascii="Calibri" w:hAnsi="Calibri"/>
          <w:color w:val="1C2733"/>
        </w:rPr>
        <w:t xml:space="preserve"> maturity labels and benchmark contract for contextual probability and QUBO backends.</w:t>
      </w:r>
    </w:p>
    <w:p>
      <w:pPr>
        <w:pStyle w:val="Heading1"/>
        <w:keepNext/>
        <w:pageBreakBefore w:val="0"/>
      </w:pPr>
      <w:r>
        <w:rPr>
          <w:rFonts w:ascii="Calibri" w:hAnsi="Calibri"/>
          <w:color w:val="2E74B5"/>
          <w:sz w:val="32"/>
        </w:rPr>
        <w:t>14. Final answer to the platform question</w:t>
      </w:r>
    </w:p>
    <w:p>
      <w:pPr>
        <w:widowControl/>
      </w:pPr>
      <w:r>
        <w:rPr>
          <w:rFonts w:ascii="Calibri" w:hAnsi="Calibri"/>
          <w:color w:val="1C2733"/>
        </w:rPr>
        <w:t>Yes, the operating philosophy is coherent, but its value comes from making ambiguity, dependence, measurement, search, and drift explicit—not from importing the vocabulary of physics into production code.</w:t>
      </w:r>
    </w:p>
    <w:p>
      <w:pPr>
        <w:widowControl/>
      </w:pPr>
      <w:r>
        <w:rPr>
          <w:rFonts w:ascii="Calibri" w:hAnsi="Calibri"/>
          <w:color w:val="1C2733"/>
        </w:rPr>
        <w:t xml:space="preserve">The platform should be described as </w:t>
      </w:r>
      <w:r>
        <w:rPr>
          <w:rFonts w:ascii="Calibri" w:hAnsi="Calibri"/>
          <w:b/>
          <w:color w:val="1C2733"/>
        </w:rPr>
        <w:t>quantum-principled only at the design-story level</w:t>
      </w:r>
      <w:r>
        <w:rPr>
          <w:rFonts w:ascii="Calibri" w:hAnsi="Calibri"/>
          <w:color w:val="1C2733"/>
        </w:rPr>
        <w:t>. In the architecture, use plain contracts: Hypothesis Envelope, Commitment Gate, Coupling Graph, Measurement Firewall, Drift Sentinel, and Exploration Portfolio. This protects scientific credibility and makes each idea testable.</w:t>
      </w:r>
    </w:p>
    <w:p>
      <w:pPr>
        <w:widowControl/>
      </w:pPr>
      <w:r>
        <w:rPr>
          <w:rFonts w:ascii="Calibri" w:hAnsi="Calibri"/>
          <w:color w:val="1C2733"/>
        </w:rPr>
        <w:t>The recommended changes reinforce rather than disrupt the current architecture. They fit SIHRE, HyperMESH, assurance, replay, Shadow Twins, ADAPT, and NERVE; they keep the Kernel small and deterministic; and they preserve the frozen promotion and authority boundaries. The strongest quick win is the Measurement Firewall. The strongest performance win is selective cognition plus architecture routing. The strongest ADAPT win is budget racing plus specialist portfolios. The only near-term reason to use quantum probability is a successful order/context benchmark; the only reason to use quantum hardware is a demonstrated application-level win over tuned classical solvers.</w:t>
      </w:r>
    </w:p>
    <w:p>
      <w:pPr>
        <w:pStyle w:val="Heading1"/>
        <w:keepNext/>
        <w:pageBreakBefore w:val="0"/>
      </w:pPr>
      <w:r>
        <w:rPr>
          <w:rFonts w:ascii="Calibri" w:hAnsi="Calibri"/>
          <w:color w:val="2E74B5"/>
          <w:sz w:val="32"/>
        </w:rPr>
        <w:t>Appendix A. Acceptance dashboard</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1800"/>
        <w:gridCol w:w="2800"/>
        <w:gridCol w:w="2100"/>
        <w:gridCol w:w="2660"/>
      </w:tblGrid>
      <w:tr>
        <w:trPr>
          <w:tblHeader w:val="true"/>
          <w:cantSplit/>
        </w:trPr>
        <w:tc>
          <w:tcPr>
            <w:tcW w:type="dxa" w:w="18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Initiative</w:t>
            </w:r>
          </w:p>
        </w:tc>
        <w:tc>
          <w:tcPr>
            <w:tcW w:type="dxa" w:w="28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Primary metric</w:t>
            </w:r>
          </w:p>
        </w:tc>
        <w:tc>
          <w:tcPr>
            <w:tcW w:type="dxa" w:w="210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Guardrail</w:t>
            </w:r>
          </w:p>
        </w:tc>
        <w:tc>
          <w:tcPr>
            <w:tcW w:type="dxa" w:w="2660"/>
            <w:tcMar>
              <w:top w:w="80" w:type="dxa"/>
              <w:start w:w="120" w:type="dxa"/>
              <w:bottom w:w="80" w:type="dxa"/>
              <w:end w:w="120" w:type="dxa"/>
            </w:tcMar>
            <w:vAlign w:val="center"/>
            <w:shd w:fill="F2F4F7" w:val="clear"/>
          </w:tcPr>
          <w:p>
            <w:pPr>
              <w:pStyle w:val="TableHeader"/>
              <w:spacing w:before="0" w:after="0"/>
            </w:pPr>
            <w:r>
              <w:rPr>
                <w:rFonts w:ascii="Calibri" w:hAnsi="Calibri"/>
                <w:color w:val="203748"/>
                <w:sz w:val="17"/>
              </w:rPr>
              <w:t>Decision</w:t>
            </w:r>
          </w:p>
        </w:tc>
      </w:tr>
      <w:tr>
        <w:trPr>
          <w:cantSplit/>
        </w:trPr>
        <w:tc>
          <w:tcPr>
            <w:tcW w:type="dxa" w:w="1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Measurement Firewall</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empirical false-promotion rate on null/control suite</w:t>
            </w:r>
          </w:p>
        </w:tc>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zero unauthorized evaluator/holdout access</w:t>
            </w:r>
          </w:p>
        </w:tc>
        <w:tc>
          <w:tcPr>
            <w:tcW w:type="dxa" w:w="26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ship when within preregistered error budget</w:t>
            </w:r>
          </w:p>
        </w:tc>
      </w:tr>
      <w:tr>
        <w:trPr>
          <w:cantSplit/>
        </w:trPr>
        <w:tc>
          <w:tcPr>
            <w:tcW w:type="dxa" w:w="1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Branch once, commit late</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task success/error on high-uncertainty stratum</w:t>
            </w:r>
          </w:p>
        </w:tc>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&lt;=2x median cost; &lt;=1pp low-uncertainty regression</w:t>
            </w:r>
          </w:p>
        </w:tc>
        <w:tc>
          <w:tcPr>
            <w:tcW w:type="dxa" w:w="26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ship if either +5pp success or -20% error</w:t>
            </w:r>
          </w:p>
        </w:tc>
      </w:tr>
      <w:tr>
        <w:trPr>
          <w:cantSplit/>
        </w:trPr>
        <w:tc>
          <w:tcPr>
            <w:tcW w:type="dxa" w:w="1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Coupling-aware verification</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double-fault or calibration error</w:t>
            </w:r>
          </w:p>
        </w:tc>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&lt;=15% evidence/message overhead</w:t>
            </w:r>
          </w:p>
        </w:tc>
        <w:tc>
          <w:tcPr>
            <w:tcW w:type="dxa" w:w="26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ship if &gt;=20% double-fault reduction or equivalent calibration lift</w:t>
            </w:r>
          </w:p>
        </w:tc>
      </w:tr>
      <w:tr>
        <w:trPr>
          <w:cantSplit/>
        </w:trPr>
        <w:tc>
          <w:tcPr>
            <w:tcW w:type="dxa" w:w="1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Solo-vs-Cell selector</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cost-adjusted utility and architecture regret</w:t>
            </w:r>
          </w:p>
        </w:tc>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hard policy and risk gates</w:t>
            </w:r>
          </w:p>
        </w:tc>
        <w:tc>
          <w:tcPr>
            <w:tcW w:type="dxa" w:w="26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ship if &gt;=10% utility lift and &lt;=5% oracle regret</w:t>
            </w:r>
          </w:p>
        </w:tc>
      </w:tr>
      <w:tr>
        <w:trPr>
          <w:cantSplit/>
        </w:trPr>
        <w:tc>
          <w:tcPr>
            <w:tcW w:type="dxa" w:w="1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ASHA/Hyperband</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evaluation cost</w:t>
            </w:r>
          </w:p>
        </w:tc>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&gt;=98% Pareto hypervolume; &lt;5% frontier misses</w:t>
            </w:r>
          </w:p>
        </w:tc>
        <w:tc>
          <w:tcPr>
            <w:tcW w:type="dxa" w:w="26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ship if &gt;=30% cost reduction</w:t>
            </w:r>
          </w:p>
        </w:tc>
      </w:tr>
      <w:tr>
        <w:trPr>
          <w:cantSplit/>
        </w:trPr>
        <w:tc>
          <w:tcPr>
            <w:tcW w:type="dxa" w:w="1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Drift Sentinel</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detection delay and effect-size accuracy</w:t>
            </w:r>
          </w:p>
        </w:tc>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false-alert rate and hysteresis</w:t>
            </w:r>
          </w:p>
        </w:tc>
        <w:tc>
          <w:tcPr>
            <w:tcW w:type="dxa" w:w="26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ship when mission-specific SLA passes</w:t>
            </w:r>
          </w:p>
        </w:tc>
      </w:tr>
      <w:tr>
        <w:trPr>
          <w:cantSplit/>
        </w:trPr>
        <w:tc>
          <w:tcPr>
            <w:tcW w:type="dxa" w:w="1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Contextual adapter</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held-out proper score</w:t>
            </w:r>
          </w:p>
        </w:tc>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contextuality/direct-influence and complexity tests</w:t>
            </w:r>
          </w:p>
        </w:tc>
        <w:tc>
          <w:tcPr>
            <w:tcW w:type="dxa" w:w="26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promote only if &gt;=2% lift with uncertainty excluding zero</w:t>
            </w:r>
          </w:p>
        </w:tc>
      </w:tr>
      <w:tr>
        <w:trPr>
          <w:cantSplit/>
        </w:trPr>
        <w:tc>
          <w:tcPr>
            <w:tcW w:type="dxa" w:w="1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New QUBO backend</w:t>
            </w:r>
          </w:p>
        </w:tc>
        <w:tc>
          <w:tcPr>
            <w:tcW w:type="dxa" w:w="28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end-to-end time-to-target/solution quality</w:t>
            </w:r>
          </w:p>
        </w:tc>
        <w:tc>
          <w:tcPr>
            <w:tcW w:type="dxa" w:w="210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hard feasibility and tuned baselines</w:t>
            </w:r>
          </w:p>
        </w:tc>
        <w:tc>
          <w:tcPr>
            <w:tcW w:type="dxa" w:w="2660"/>
            <w:tcMar>
              <w:top w:w="80" w:type="dxa"/>
              <w:start w:w="120" w:type="dxa"/>
              <w:bottom w:w="80" w:type="dxa"/>
              <w:end w:w="120" w:type="dxa"/>
            </w:tcMar>
            <w:vAlign w:val="center"/>
          </w:tcPr>
          <w:p>
            <w:pPr>
              <w:pStyle w:val="TableText"/>
              <w:spacing w:before="0" w:after="0" w:line="247" w:lineRule="auto"/>
            </w:pPr>
            <w:r>
              <w:rPr>
                <w:rFonts w:ascii="Calibri" w:hAnsi="Calibri"/>
                <w:color w:val="1C2733"/>
                <w:sz w:val="16"/>
              </w:rPr>
              <w:t>promote only if &gt;=20% advantage across preregistered family</w:t>
            </w:r>
          </w:p>
        </w:tc>
      </w:tr>
    </w:tbl>
    <w:p>
      <w:pPr>
        <w:spacing w:after="20"/>
      </w:pPr>
    </w:p>
    <w:p>
      <w:pPr>
        <w:pStyle w:val="Heading1"/>
        <w:keepNext/>
        <w:pageBreakBefore w:val="0"/>
      </w:pPr>
      <w:r>
        <w:rPr>
          <w:rFonts w:ascii="Calibri" w:hAnsi="Calibri"/>
          <w:color w:val="2E74B5"/>
          <w:sz w:val="32"/>
        </w:rPr>
        <w:t>Appendix B. Source notes and references</w:t>
      </w:r>
    </w:p>
    <w:p>
      <w:pPr>
        <w:pStyle w:val="Heading2"/>
        <w:keepNext/>
        <w:pageBreakBefore w:val="0"/>
      </w:pPr>
      <w:r>
        <w:rPr>
          <w:rFonts w:ascii="Calibri" w:hAnsi="Calibri"/>
          <w:color w:val="2E74B5"/>
          <w:sz w:val="26"/>
        </w:rPr>
        <w:t>Internal CELL OS architecture artifacts</w:t>
      </w:r>
    </w:p>
    <w:p>
      <w:pPr>
        <w:numPr>
          <w:ilvl w:val="0"/>
          <w:numId w:val="10"/>
        </w:numPr>
        <w:spacing w:after="160" w:line="280" w:lineRule="auto"/>
      </w:pPr>
      <w:r>
        <w:rPr>
          <w:rFonts w:ascii="Calibri" w:hAnsi="Calibri"/>
          <w:b/>
          <w:color w:val="1C2733"/>
        </w:rPr>
        <w:t>[A1]</w:t>
      </w:r>
      <w:r>
        <w:rPr>
          <w:rFonts w:ascii="Calibri" w:hAnsi="Calibri"/>
          <w:color w:val="1C2733"/>
        </w:rPr>
        <w:t xml:space="preserve"> </w:t>
      </w:r>
      <w:r>
        <w:rPr>
          <w:rFonts w:ascii="Calibri" w:hAnsi="Calibri"/>
          <w:i/>
          <w:color w:val="1C2733"/>
        </w:rPr>
        <w:t>CELL OS Capability, Acronym &amp; HyperMESH Architecture Scan v0.1.</w:t>
      </w:r>
      <w:r>
        <w:rPr>
          <w:rFonts w:ascii="Calibri" w:hAnsi="Calibri"/>
          <w:color w:val="1C2733"/>
        </w:rPr>
        <w:t xml:space="preserve"> Internal architecture artifact, 2026.</w:t>
      </w:r>
    </w:p>
    <w:p>
      <w:pPr>
        <w:numPr>
          <w:ilvl w:val="0"/>
          <w:numId w:val="10"/>
        </w:numPr>
        <w:spacing w:after="160" w:line="280" w:lineRule="auto"/>
      </w:pPr>
      <w:r>
        <w:rPr>
          <w:rFonts w:ascii="Calibri" w:hAnsi="Calibri"/>
          <w:b/>
          <w:color w:val="1C2733"/>
        </w:rPr>
        <w:t>[A2]</w:t>
      </w:r>
      <w:r>
        <w:rPr>
          <w:rFonts w:ascii="Calibri" w:hAnsi="Calibri"/>
          <w:color w:val="1C2733"/>
        </w:rPr>
        <w:t xml:space="preserve"> </w:t>
      </w:r>
      <w:r>
        <w:rPr>
          <w:rFonts w:ascii="Calibri" w:hAnsi="Calibri"/>
          <w:i/>
          <w:color w:val="1C2733"/>
        </w:rPr>
        <w:t>CELL OS Product &amp; Technical Design v0.1 Cross-reference Audit v1.</w:t>
      </w:r>
      <w:r>
        <w:rPr>
          <w:rFonts w:ascii="Calibri" w:hAnsi="Calibri"/>
          <w:color w:val="1C2733"/>
        </w:rPr>
        <w:t xml:space="preserve"> Internal architecture artifact, 2026.</w:t>
      </w:r>
    </w:p>
    <w:p>
      <w:pPr>
        <w:numPr>
          <w:ilvl w:val="0"/>
          <w:numId w:val="10"/>
        </w:numPr>
        <w:spacing w:after="160" w:line="280" w:lineRule="auto"/>
      </w:pPr>
      <w:r>
        <w:rPr>
          <w:rFonts w:ascii="Calibri" w:hAnsi="Calibri"/>
          <w:b/>
          <w:color w:val="1C2733"/>
        </w:rPr>
        <w:t>[A3]</w:t>
      </w:r>
      <w:r>
        <w:rPr>
          <w:rFonts w:ascii="Calibri" w:hAnsi="Calibri"/>
          <w:color w:val="1C2733"/>
        </w:rPr>
        <w:t xml:space="preserve"> </w:t>
      </w:r>
      <w:r>
        <w:rPr>
          <w:rFonts w:ascii="Calibri" w:hAnsi="Calibri"/>
          <w:i/>
          <w:color w:val="1C2733"/>
        </w:rPr>
        <w:t>CELL OS Recursive Operative Genesis Architecture Review v1.</w:t>
      </w:r>
      <w:r>
        <w:rPr>
          <w:rFonts w:ascii="Calibri" w:hAnsi="Calibri"/>
          <w:color w:val="1C2733"/>
        </w:rPr>
        <w:t xml:space="preserve"> Internal architecture artifact, 2026.</w:t>
      </w:r>
    </w:p>
    <w:p>
      <w:pPr>
        <w:numPr>
          <w:ilvl w:val="0"/>
          <w:numId w:val="10"/>
        </w:numPr>
        <w:spacing w:after="160" w:line="280" w:lineRule="auto"/>
      </w:pPr>
      <w:r>
        <w:rPr>
          <w:rFonts w:ascii="Calibri" w:hAnsi="Calibri"/>
          <w:b/>
          <w:color w:val="1C2733"/>
        </w:rPr>
        <w:t>[A4]</w:t>
      </w:r>
      <w:r>
        <w:rPr>
          <w:rFonts w:ascii="Calibri" w:hAnsi="Calibri"/>
          <w:color w:val="1C2733"/>
        </w:rPr>
        <w:t xml:space="preserve"> </w:t>
      </w:r>
      <w:r>
        <w:rPr>
          <w:rFonts w:ascii="Calibri" w:hAnsi="Calibri"/>
          <w:i/>
          <w:color w:val="1C2733"/>
        </w:rPr>
        <w:t>CELL OS Optimized Deep Research Prompt Manifest v2.</w:t>
      </w:r>
      <w:r>
        <w:rPr>
          <w:rFonts w:ascii="Calibri" w:hAnsi="Calibri"/>
          <w:color w:val="1C2733"/>
        </w:rPr>
        <w:t xml:space="preserve"> Internal planning and research contract, 2026.</w:t>
      </w:r>
    </w:p>
    <w:p>
      <w:pPr>
        <w:numPr>
          <w:ilvl w:val="0"/>
          <w:numId w:val="10"/>
        </w:numPr>
        <w:spacing w:after="160" w:line="280" w:lineRule="auto"/>
      </w:pPr>
      <w:r>
        <w:rPr>
          <w:rFonts w:ascii="Calibri" w:hAnsi="Calibri"/>
          <w:b/>
          <w:color w:val="1C2733"/>
        </w:rPr>
        <w:t>[A5]</w:t>
      </w:r>
      <w:r>
        <w:rPr>
          <w:rFonts w:ascii="Calibri" w:hAnsi="Calibri"/>
          <w:color w:val="1C2733"/>
        </w:rPr>
        <w:t xml:space="preserve"> </w:t>
      </w:r>
      <w:r>
        <w:rPr>
          <w:rFonts w:ascii="Calibri" w:hAnsi="Calibri"/>
          <w:i/>
          <w:color w:val="1C2733"/>
        </w:rPr>
        <w:t>CELL OS Project Artifact Audit.</w:t>
      </w:r>
      <w:r>
        <w:rPr>
          <w:rFonts w:ascii="Calibri" w:hAnsi="Calibri"/>
          <w:color w:val="1C2733"/>
        </w:rPr>
        <w:t xml:space="preserve"> Internal artifact audit, 3 September 2026.</w:t>
      </w:r>
    </w:p>
    <w:p>
      <w:pPr>
        <w:pStyle w:val="Heading2"/>
        <w:keepNext/>
        <w:pageBreakBefore w:val="0"/>
      </w:pPr>
      <w:r>
        <w:rPr>
          <w:rFonts w:ascii="Calibri" w:hAnsi="Calibri"/>
          <w:color w:val="2E74B5"/>
          <w:sz w:val="26"/>
        </w:rPr>
        <w:t>External research and official technical sources</w:t>
      </w:r>
    </w:p>
    <w:p>
      <w:pPr>
        <w:pStyle w:val="SourceEntry"/>
        <w:widowControl/>
        <w:spacing w:after="70" w:line="240" w:lineRule="auto"/>
        <w:ind w:left="259" w:hanging="259"/>
      </w:pPr>
      <w:r>
        <w:rPr>
          <w:rFonts w:ascii="Calibri" w:hAnsi="Calibri"/>
          <w:b/>
          <w:color w:val="1C2733"/>
          <w:sz w:val="17"/>
        </w:rPr>
        <w:t>[S1]</w:t>
      </w:r>
      <w:r>
        <w:rPr>
          <w:rFonts w:ascii="Calibri" w:hAnsi="Calibri"/>
          <w:color w:val="1C2733"/>
          <w:sz w:val="17"/>
        </w:rPr>
        <w:t xml:space="preserve"> Kaelbling, Littman, and Cassandra (1998), “Planning and acting in partially observable stochastic domains,” </w:t>
      </w:r>
      <w:r>
        <w:rPr>
          <w:rFonts w:ascii="Calibri" w:hAnsi="Calibri"/>
          <w:i/>
          <w:color w:val="1C2733"/>
          <w:sz w:val="17"/>
        </w:rPr>
        <w:t>Artificial Intelligence</w:t>
      </w:r>
      <w:r>
        <w:rPr>
          <w:rFonts w:ascii="Calibri" w:hAnsi="Calibri"/>
          <w:color w:val="1C2733"/>
          <w:sz w:val="17"/>
        </w:rPr>
        <w:t xml:space="preserve">. </w:t>
      </w:r>
      <w:hyperlink r:id="rId13">
        <w:r>
          <w:rPr>
            <w:color w:val="2E74B5"/>
            <w:u w:val="single"/>
          </w:rPr>
          <w:t>https://www.sciencedirect.com/science/article/pii/S000437029800023X</w:t>
        </w:r>
      </w:hyperlink>
    </w:p>
    <w:p>
      <w:pPr>
        <w:pStyle w:val="SourceEntry"/>
        <w:widowControl/>
        <w:spacing w:after="70" w:line="240" w:lineRule="auto"/>
        <w:ind w:left="259" w:hanging="259"/>
      </w:pPr>
      <w:r>
        <w:rPr>
          <w:rFonts w:ascii="Calibri" w:hAnsi="Calibri"/>
          <w:b/>
          <w:color w:val="1C2733"/>
          <w:sz w:val="17"/>
        </w:rPr>
        <w:t>[S2]</w:t>
      </w:r>
      <w:r>
        <w:rPr>
          <w:rFonts w:ascii="Calibri" w:hAnsi="Calibri"/>
          <w:color w:val="1C2733"/>
          <w:sz w:val="17"/>
        </w:rPr>
        <w:t xml:space="preserve"> Wang et al. (2023), “Self-Consistency Improves Chain of Thought Reasoning in Language Models,” </w:t>
      </w:r>
      <w:r>
        <w:rPr>
          <w:rFonts w:ascii="Calibri" w:hAnsi="Calibri"/>
          <w:i/>
          <w:color w:val="1C2733"/>
          <w:sz w:val="17"/>
        </w:rPr>
        <w:t>ICLR</w:t>
      </w:r>
      <w:r>
        <w:rPr>
          <w:rFonts w:ascii="Calibri" w:hAnsi="Calibri"/>
          <w:color w:val="1C2733"/>
          <w:sz w:val="17"/>
        </w:rPr>
        <w:t xml:space="preserve">. </w:t>
      </w:r>
      <w:hyperlink r:id="rId14">
        <w:r>
          <w:rPr>
            <w:color w:val="2E74B5"/>
            <w:u w:val="single"/>
          </w:rPr>
          <w:t>https://arxiv.org/abs/2203.11171</w:t>
        </w:r>
      </w:hyperlink>
    </w:p>
    <w:p>
      <w:pPr>
        <w:pStyle w:val="SourceEntry"/>
        <w:widowControl/>
        <w:spacing w:after="70" w:line="240" w:lineRule="auto"/>
        <w:ind w:left="259" w:hanging="259"/>
      </w:pPr>
      <w:r>
        <w:rPr>
          <w:rFonts w:ascii="Calibri" w:hAnsi="Calibri"/>
          <w:b/>
          <w:color w:val="1C2733"/>
          <w:sz w:val="17"/>
        </w:rPr>
        <w:t>[S3]</w:t>
      </w:r>
      <w:r>
        <w:rPr>
          <w:rFonts w:ascii="Calibri" w:hAnsi="Calibri"/>
          <w:color w:val="1C2733"/>
          <w:sz w:val="17"/>
        </w:rPr>
        <w:t xml:space="preserve"> Farquhar et al. (2024), “Detecting hallucinations in large language models using semantic entropy,” </w:t>
      </w:r>
      <w:r>
        <w:rPr>
          <w:rFonts w:ascii="Calibri" w:hAnsi="Calibri"/>
          <w:i/>
          <w:color w:val="1C2733"/>
          <w:sz w:val="17"/>
        </w:rPr>
        <w:t>Nature</w:t>
      </w:r>
      <w:r>
        <w:rPr>
          <w:rFonts w:ascii="Calibri" w:hAnsi="Calibri"/>
          <w:color w:val="1C2733"/>
          <w:sz w:val="17"/>
        </w:rPr>
        <w:t xml:space="preserve">. </w:t>
      </w:r>
      <w:hyperlink r:id="rId15">
        <w:r>
          <w:rPr>
            <w:color w:val="2E74B5"/>
            <w:u w:val="single"/>
          </w:rPr>
          <w:t>https://pmc.ncbi.nlm.nih.gov/articles/PMC11186750/</w:t>
        </w:r>
      </w:hyperlink>
    </w:p>
    <w:p>
      <w:pPr>
        <w:pStyle w:val="SourceEntry"/>
        <w:widowControl/>
        <w:spacing w:after="70" w:line="240" w:lineRule="auto"/>
        <w:ind w:left="259" w:hanging="259"/>
      </w:pPr>
      <w:r>
        <w:rPr>
          <w:rFonts w:ascii="Calibri" w:hAnsi="Calibri"/>
          <w:b/>
          <w:color w:val="1C2733"/>
          <w:sz w:val="17"/>
        </w:rPr>
        <w:t>[S4]</w:t>
      </w:r>
      <w:r>
        <w:rPr>
          <w:rFonts w:ascii="Calibri" w:hAnsi="Calibri"/>
          <w:color w:val="1C2733"/>
          <w:sz w:val="17"/>
        </w:rPr>
        <w:t xml:space="preserve"> Lakshminarayanan, Pritzel, and Blundell (2017), “Simple and Scalable Predictive Uncertainty Estimation using Deep Ensembles,” </w:t>
      </w:r>
      <w:r>
        <w:rPr>
          <w:rFonts w:ascii="Calibri" w:hAnsi="Calibri"/>
          <w:i/>
          <w:color w:val="1C2733"/>
          <w:sz w:val="17"/>
        </w:rPr>
        <w:t>NeurIPS</w:t>
      </w:r>
      <w:r>
        <w:rPr>
          <w:rFonts w:ascii="Calibri" w:hAnsi="Calibri"/>
          <w:color w:val="1C2733"/>
          <w:sz w:val="17"/>
        </w:rPr>
        <w:t xml:space="preserve">. </w:t>
      </w:r>
      <w:hyperlink r:id="rId16">
        <w:r>
          <w:rPr>
            <w:color w:val="2E74B5"/>
            <w:u w:val="single"/>
          </w:rPr>
          <w:t>https://papers.nips.cc/paper/7219-simple-and-scalable-predictive-uncertainty-estimation-using-deep-ensembles</w:t>
        </w:r>
      </w:hyperlink>
    </w:p>
    <w:p>
      <w:pPr>
        <w:pStyle w:val="SourceEntry"/>
        <w:widowControl/>
        <w:spacing w:after="70" w:line="240" w:lineRule="auto"/>
        <w:ind w:left="259" w:hanging="259"/>
      </w:pPr>
      <w:r>
        <w:rPr>
          <w:rFonts w:ascii="Calibri" w:hAnsi="Calibri"/>
          <w:b/>
          <w:color w:val="1C2733"/>
          <w:sz w:val="17"/>
        </w:rPr>
        <w:t>[S5]</w:t>
      </w:r>
      <w:r>
        <w:rPr>
          <w:rFonts w:ascii="Calibri" w:hAnsi="Calibri"/>
          <w:color w:val="1C2733"/>
          <w:sz w:val="17"/>
        </w:rPr>
        <w:t xml:space="preserve"> Callaway et al. (2018), “Learning to Select Computations,” </w:t>
      </w:r>
      <w:r>
        <w:rPr>
          <w:rFonts w:ascii="Calibri" w:hAnsi="Calibri"/>
          <w:i/>
          <w:color w:val="1C2733"/>
          <w:sz w:val="17"/>
        </w:rPr>
        <w:t>UAI</w:t>
      </w:r>
      <w:r>
        <w:rPr>
          <w:rFonts w:ascii="Calibri" w:hAnsi="Calibri"/>
          <w:color w:val="1C2733"/>
          <w:sz w:val="17"/>
        </w:rPr>
        <w:t xml:space="preserve">. </w:t>
      </w:r>
      <w:hyperlink r:id="rId17">
        <w:r>
          <w:rPr>
            <w:color w:val="2E74B5"/>
            <w:u w:val="single"/>
          </w:rPr>
          <w:t>https://auai.org/uai2018/proceedings/papers/269.pdf</w:t>
        </w:r>
      </w:hyperlink>
    </w:p>
    <w:p>
      <w:pPr>
        <w:pStyle w:val="SourceEntry"/>
        <w:widowControl/>
        <w:spacing w:after="70" w:line="240" w:lineRule="auto"/>
        <w:ind w:left="259" w:hanging="259"/>
      </w:pPr>
      <w:r>
        <w:rPr>
          <w:rFonts w:ascii="Calibri" w:hAnsi="Calibri"/>
          <w:b/>
          <w:color w:val="1C2733"/>
          <w:sz w:val="17"/>
        </w:rPr>
        <w:t>[S6]</w:t>
      </w:r>
      <w:r>
        <w:rPr>
          <w:rFonts w:ascii="Calibri" w:hAnsi="Calibri"/>
          <w:color w:val="1C2733"/>
          <w:sz w:val="17"/>
        </w:rPr>
        <w:t xml:space="preserve"> Kim et al. (2026), “Capable language models can outgrow the benefits of collaboration,” </w:t>
      </w:r>
      <w:r>
        <w:rPr>
          <w:rFonts w:ascii="Calibri" w:hAnsi="Calibri"/>
          <w:i/>
          <w:color w:val="1C2733"/>
          <w:sz w:val="17"/>
        </w:rPr>
        <w:t>Nature Machine Intelligence</w:t>
      </w:r>
      <w:r>
        <w:rPr>
          <w:rFonts w:ascii="Calibri" w:hAnsi="Calibri"/>
          <w:color w:val="1C2733"/>
          <w:sz w:val="17"/>
        </w:rPr>
        <w:t xml:space="preserve">. </w:t>
      </w:r>
      <w:hyperlink r:id="rId18">
        <w:r>
          <w:rPr>
            <w:color w:val="2E74B5"/>
            <w:u w:val="single"/>
          </w:rPr>
          <w:t>https://www.nature.com/articles/s42256-026-01268-y</w:t>
        </w:r>
      </w:hyperlink>
    </w:p>
    <w:p>
      <w:pPr>
        <w:pStyle w:val="SourceEntry"/>
        <w:widowControl/>
        <w:spacing w:after="70" w:line="240" w:lineRule="auto"/>
        <w:ind w:left="259" w:hanging="259"/>
      </w:pPr>
      <w:r>
        <w:rPr>
          <w:rFonts w:ascii="Calibri" w:hAnsi="Calibri"/>
          <w:b/>
          <w:color w:val="1C2733"/>
          <w:sz w:val="17"/>
        </w:rPr>
        <w:t>[S7]</w:t>
      </w:r>
      <w:r>
        <w:rPr>
          <w:rFonts w:ascii="Calibri" w:hAnsi="Calibri"/>
          <w:color w:val="1C2733"/>
          <w:sz w:val="17"/>
        </w:rPr>
        <w:t xml:space="preserve"> Hu et al. (2026), “Demystifying Multi-Agent Debate: The Role of Confidence and Diversity.” </w:t>
      </w:r>
      <w:hyperlink r:id="rId19">
        <w:r>
          <w:rPr>
            <w:color w:val="2E74B5"/>
            <w:u w:val="single"/>
          </w:rPr>
          <w:t>https://arxiv.org/html/2601.19921v3</w:t>
        </w:r>
      </w:hyperlink>
    </w:p>
    <w:p>
      <w:pPr>
        <w:pStyle w:val="SourceEntry"/>
        <w:widowControl/>
        <w:spacing w:after="70" w:line="240" w:lineRule="auto"/>
        <w:ind w:left="259" w:hanging="259"/>
      </w:pPr>
      <w:r>
        <w:rPr>
          <w:rFonts w:ascii="Calibri" w:hAnsi="Calibri"/>
          <w:b/>
          <w:color w:val="1C2733"/>
          <w:sz w:val="17"/>
        </w:rPr>
        <w:t>[S8]</w:t>
      </w:r>
      <w:r>
        <w:rPr>
          <w:rFonts w:ascii="Calibri" w:hAnsi="Calibri"/>
          <w:color w:val="1C2733"/>
          <w:sz w:val="17"/>
        </w:rPr>
        <w:t xml:space="preserve"> Li et al. (2025), “Rethinking Mixture-of-Agents: Is Mixing Different Large Language Models Beneficial?” </w:t>
      </w:r>
      <w:hyperlink r:id="rId20">
        <w:r>
          <w:rPr>
            <w:color w:val="2E74B5"/>
            <w:u w:val="single"/>
          </w:rPr>
          <w:t>https://arxiv.org/html/2502.00674v1</w:t>
        </w:r>
      </w:hyperlink>
    </w:p>
    <w:p>
      <w:pPr>
        <w:pStyle w:val="SourceEntry"/>
        <w:widowControl/>
        <w:spacing w:after="70" w:line="240" w:lineRule="auto"/>
        <w:ind w:left="259" w:hanging="259"/>
      </w:pPr>
      <w:r>
        <w:rPr>
          <w:rFonts w:ascii="Calibri" w:hAnsi="Calibri"/>
          <w:b/>
          <w:color w:val="1C2733"/>
          <w:sz w:val="17"/>
        </w:rPr>
        <w:t>[S9]</w:t>
      </w:r>
      <w:r>
        <w:rPr>
          <w:rFonts w:ascii="Calibri" w:hAnsi="Calibri"/>
          <w:color w:val="1C2733"/>
          <w:sz w:val="17"/>
        </w:rPr>
        <w:t xml:space="preserve"> Dwork et al. (2015), “Generalization in Adaptive Data Analysis and Holdout Reuse.” </w:t>
      </w:r>
      <w:hyperlink r:id="rId21">
        <w:r>
          <w:rPr>
            <w:color w:val="2E74B5"/>
            <w:u w:val="single"/>
          </w:rPr>
          <w:t>https://arxiv.org/abs/1506.02629</w:t>
        </w:r>
      </w:hyperlink>
    </w:p>
    <w:p>
      <w:pPr>
        <w:pStyle w:val="SourceEntry"/>
        <w:widowControl/>
        <w:spacing w:after="70" w:line="240" w:lineRule="auto"/>
        <w:ind w:left="259" w:hanging="259"/>
      </w:pPr>
      <w:r>
        <w:rPr>
          <w:rFonts w:ascii="Calibri" w:hAnsi="Calibri"/>
          <w:b/>
          <w:color w:val="1C2733"/>
          <w:sz w:val="17"/>
        </w:rPr>
        <w:t>[S10]</w:t>
      </w:r>
      <w:r>
        <w:rPr>
          <w:rFonts w:ascii="Calibri" w:hAnsi="Calibri"/>
          <w:color w:val="1C2733"/>
          <w:sz w:val="17"/>
        </w:rPr>
        <w:t xml:space="preserve"> Johari, Pekelis, and Walsh (2021), “Always Valid Inference: Continuous Monitoring of A/B Tests,” </w:t>
      </w:r>
      <w:r>
        <w:rPr>
          <w:rFonts w:ascii="Calibri" w:hAnsi="Calibri"/>
          <w:i/>
          <w:color w:val="1C2733"/>
          <w:sz w:val="17"/>
        </w:rPr>
        <w:t>Operations Research</w:t>
      </w:r>
      <w:r>
        <w:rPr>
          <w:rFonts w:ascii="Calibri" w:hAnsi="Calibri"/>
          <w:color w:val="1C2733"/>
          <w:sz w:val="17"/>
        </w:rPr>
        <w:t xml:space="preserve">. </w:t>
      </w:r>
      <w:hyperlink r:id="rId22">
        <w:r>
          <w:rPr>
            <w:color w:val="2E74B5"/>
            <w:u w:val="single"/>
          </w:rPr>
          <w:t>https://pubsonline.informs.org/doi/10.1287/opre.2021.2135</w:t>
        </w:r>
      </w:hyperlink>
    </w:p>
    <w:p>
      <w:pPr>
        <w:pStyle w:val="SourceEntry"/>
        <w:widowControl/>
        <w:spacing w:after="70" w:line="240" w:lineRule="auto"/>
        <w:ind w:left="259" w:hanging="259"/>
      </w:pPr>
      <w:r>
        <w:rPr>
          <w:rFonts w:ascii="Calibri" w:hAnsi="Calibri"/>
          <w:b/>
          <w:color w:val="1C2733"/>
          <w:sz w:val="17"/>
        </w:rPr>
        <w:t>[S11]</w:t>
      </w:r>
      <w:r>
        <w:rPr>
          <w:rFonts w:ascii="Calibri" w:hAnsi="Calibri"/>
          <w:color w:val="1C2733"/>
          <w:sz w:val="17"/>
        </w:rPr>
        <w:t xml:space="preserve"> Manheim and Garrabrant (2018), “Categorizing Variants of Goodhart’s Law.” </w:t>
      </w:r>
      <w:hyperlink r:id="rId23">
        <w:r>
          <w:rPr>
            <w:color w:val="2E74B5"/>
            <w:u w:val="single"/>
          </w:rPr>
          <w:t>https://arxiv.org/abs/1803.04585</w:t>
        </w:r>
      </w:hyperlink>
    </w:p>
    <w:p>
      <w:pPr>
        <w:pStyle w:val="SourceEntry"/>
        <w:widowControl/>
        <w:spacing w:after="70" w:line="240" w:lineRule="auto"/>
        <w:ind w:left="259" w:hanging="259"/>
      </w:pPr>
      <w:r>
        <w:rPr>
          <w:rFonts w:ascii="Calibri" w:hAnsi="Calibri"/>
          <w:b/>
          <w:color w:val="1C2733"/>
          <w:sz w:val="17"/>
        </w:rPr>
        <w:t>[S12]</w:t>
      </w:r>
      <w:r>
        <w:rPr>
          <w:rFonts w:ascii="Calibri" w:hAnsi="Calibri"/>
          <w:color w:val="1C2733"/>
          <w:sz w:val="17"/>
        </w:rPr>
        <w:t xml:space="preserve"> Perdomo et al. (2020), “Performative Prediction,” </w:t>
      </w:r>
      <w:r>
        <w:rPr>
          <w:rFonts w:ascii="Calibri" w:hAnsi="Calibri"/>
          <w:i/>
          <w:color w:val="1C2733"/>
          <w:sz w:val="17"/>
        </w:rPr>
        <w:t>ICML</w:t>
      </w:r>
      <w:r>
        <w:rPr>
          <w:rFonts w:ascii="Calibri" w:hAnsi="Calibri"/>
          <w:color w:val="1C2733"/>
          <w:sz w:val="17"/>
        </w:rPr>
        <w:t xml:space="preserve">. </w:t>
      </w:r>
      <w:hyperlink r:id="rId24">
        <w:r>
          <w:rPr>
            <w:color w:val="2E74B5"/>
            <w:u w:val="single"/>
          </w:rPr>
          <w:t>https://proceedings.mlr.press/v119/perdomo20a.html</w:t>
        </w:r>
      </w:hyperlink>
    </w:p>
    <w:p>
      <w:pPr>
        <w:pStyle w:val="SourceEntry"/>
        <w:widowControl/>
        <w:spacing w:after="70" w:line="240" w:lineRule="auto"/>
        <w:ind w:left="259" w:hanging="259"/>
      </w:pPr>
      <w:r>
        <w:rPr>
          <w:rFonts w:ascii="Calibri" w:hAnsi="Calibri"/>
          <w:b/>
          <w:color w:val="1C2733"/>
          <w:sz w:val="17"/>
        </w:rPr>
        <w:t>[S13]</w:t>
      </w:r>
      <w:r>
        <w:rPr>
          <w:rFonts w:ascii="Calibri" w:hAnsi="Calibri"/>
          <w:color w:val="1C2733"/>
          <w:sz w:val="17"/>
        </w:rPr>
        <w:t xml:space="preserve"> Kirkpatrick, Gelatt, and Vecchi (1983), “Optimization by Simulated Annealing,” </w:t>
      </w:r>
      <w:r>
        <w:rPr>
          <w:rFonts w:ascii="Calibri" w:hAnsi="Calibri"/>
          <w:i/>
          <w:color w:val="1C2733"/>
          <w:sz w:val="17"/>
        </w:rPr>
        <w:t>Science</w:t>
      </w:r>
      <w:r>
        <w:rPr>
          <w:rFonts w:ascii="Calibri" w:hAnsi="Calibri"/>
          <w:color w:val="1C2733"/>
          <w:sz w:val="17"/>
        </w:rPr>
        <w:t xml:space="preserve">. </w:t>
      </w:r>
      <w:hyperlink r:id="rId25">
        <w:r>
          <w:rPr>
            <w:color w:val="2E74B5"/>
            <w:u w:val="single"/>
          </w:rPr>
          <w:t>https://www.science.org/doi/10.1126/science.220.4598.671</w:t>
        </w:r>
      </w:hyperlink>
    </w:p>
    <w:p>
      <w:pPr>
        <w:pStyle w:val="SourceEntry"/>
        <w:widowControl/>
        <w:spacing w:after="70" w:line="240" w:lineRule="auto"/>
        <w:ind w:left="259" w:hanging="259"/>
      </w:pPr>
      <w:r>
        <w:rPr>
          <w:rFonts w:ascii="Calibri" w:hAnsi="Calibri"/>
          <w:b/>
          <w:color w:val="1C2733"/>
          <w:sz w:val="17"/>
        </w:rPr>
        <w:t>[S14]</w:t>
      </w:r>
      <w:r>
        <w:rPr>
          <w:rFonts w:ascii="Calibri" w:hAnsi="Calibri"/>
          <w:color w:val="1C2733"/>
          <w:sz w:val="17"/>
        </w:rPr>
        <w:t xml:space="preserve"> Li et al. (2018), “Hyperband: A Novel Bandit-Based Approach to Hyperparameter Optimization,” </w:t>
      </w:r>
      <w:r>
        <w:rPr>
          <w:rFonts w:ascii="Calibri" w:hAnsi="Calibri"/>
          <w:i/>
          <w:color w:val="1C2733"/>
          <w:sz w:val="17"/>
        </w:rPr>
        <w:t>JMLR</w:t>
      </w:r>
      <w:r>
        <w:rPr>
          <w:rFonts w:ascii="Calibri" w:hAnsi="Calibri"/>
          <w:color w:val="1C2733"/>
          <w:sz w:val="17"/>
        </w:rPr>
        <w:t xml:space="preserve">. </w:t>
      </w:r>
      <w:hyperlink r:id="rId26">
        <w:r>
          <w:rPr>
            <w:color w:val="2E74B5"/>
            <w:u w:val="single"/>
          </w:rPr>
          <w:t>https://jmlr.org/papers/v18/16-558.html</w:t>
        </w:r>
      </w:hyperlink>
    </w:p>
    <w:p>
      <w:pPr>
        <w:pStyle w:val="SourceEntry"/>
        <w:widowControl/>
        <w:spacing w:after="70" w:line="240" w:lineRule="auto"/>
        <w:ind w:left="259" w:hanging="259"/>
      </w:pPr>
      <w:r>
        <w:rPr>
          <w:rFonts w:ascii="Calibri" w:hAnsi="Calibri"/>
          <w:b/>
          <w:color w:val="1C2733"/>
          <w:sz w:val="17"/>
        </w:rPr>
        <w:t>[S15]</w:t>
      </w:r>
      <w:r>
        <w:rPr>
          <w:rFonts w:ascii="Calibri" w:hAnsi="Calibri"/>
          <w:color w:val="1C2733"/>
          <w:sz w:val="17"/>
        </w:rPr>
        <w:t xml:space="preserve"> Ray documentation, “Tune Trial Schedulers,” current 4 September 2026. </w:t>
      </w:r>
      <w:hyperlink r:id="rId27">
        <w:r>
          <w:rPr>
            <w:color w:val="2E74B5"/>
            <w:u w:val="single"/>
          </w:rPr>
          <w:t>https://docs.ray.io/en/latest/tune/api/schedulers.html</w:t>
        </w:r>
      </w:hyperlink>
    </w:p>
    <w:p>
      <w:pPr>
        <w:pStyle w:val="SourceEntry"/>
        <w:widowControl/>
        <w:spacing w:after="70" w:line="240" w:lineRule="auto"/>
        <w:ind w:left="259" w:hanging="259"/>
      </w:pPr>
      <w:r>
        <w:rPr>
          <w:rFonts w:ascii="Calibri" w:hAnsi="Calibri"/>
          <w:b/>
          <w:color w:val="1C2733"/>
          <w:sz w:val="17"/>
        </w:rPr>
        <w:t>[S16]</w:t>
      </w:r>
      <w:r>
        <w:rPr>
          <w:rFonts w:ascii="Calibri" w:hAnsi="Calibri"/>
          <w:color w:val="1C2733"/>
          <w:sz w:val="17"/>
        </w:rPr>
        <w:t xml:space="preserve"> Falkner, Klein, and Hutter (2018), “BOHB: Robust and Efficient Hyperparameter Optimization at Scale,” </w:t>
      </w:r>
      <w:r>
        <w:rPr>
          <w:rFonts w:ascii="Calibri" w:hAnsi="Calibri"/>
          <w:i/>
          <w:color w:val="1C2733"/>
          <w:sz w:val="17"/>
        </w:rPr>
        <w:t>ICML</w:t>
      </w:r>
      <w:r>
        <w:rPr>
          <w:rFonts w:ascii="Calibri" w:hAnsi="Calibri"/>
          <w:color w:val="1C2733"/>
          <w:sz w:val="17"/>
        </w:rPr>
        <w:t xml:space="preserve">. </w:t>
      </w:r>
      <w:hyperlink r:id="rId28">
        <w:r>
          <w:rPr>
            <w:color w:val="2E74B5"/>
            <w:u w:val="single"/>
          </w:rPr>
          <w:t>https://arxiv.org/abs/1807.01774</w:t>
        </w:r>
      </w:hyperlink>
    </w:p>
    <w:p>
      <w:pPr>
        <w:pStyle w:val="SourceEntry"/>
        <w:widowControl/>
        <w:spacing w:after="70" w:line="240" w:lineRule="auto"/>
        <w:ind w:left="259" w:hanging="259"/>
      </w:pPr>
      <w:r>
        <w:rPr>
          <w:rFonts w:ascii="Calibri" w:hAnsi="Calibri"/>
          <w:b/>
          <w:color w:val="1C2733"/>
          <w:sz w:val="17"/>
        </w:rPr>
        <w:t>[S17]</w:t>
      </w:r>
      <w:r>
        <w:rPr>
          <w:rFonts w:ascii="Calibri" w:hAnsi="Calibri"/>
          <w:color w:val="1C2733"/>
          <w:sz w:val="17"/>
        </w:rPr>
        <w:t xml:space="preserve"> Mouret and Clune (2015), “Illuminating search spaces by mapping elites.” </w:t>
      </w:r>
      <w:hyperlink r:id="rId29">
        <w:r>
          <w:rPr>
            <w:color w:val="2E74B5"/>
            <w:u w:val="single"/>
          </w:rPr>
          <w:t>https://arxiv.org/abs/1504.04909</w:t>
        </w:r>
      </w:hyperlink>
    </w:p>
    <w:p>
      <w:pPr>
        <w:pStyle w:val="SourceEntry"/>
        <w:widowControl/>
        <w:spacing w:after="70" w:line="240" w:lineRule="auto"/>
        <w:ind w:left="259" w:hanging="259"/>
      </w:pPr>
      <w:r>
        <w:rPr>
          <w:rFonts w:ascii="Calibri" w:hAnsi="Calibri"/>
          <w:b/>
          <w:color w:val="1C2733"/>
          <w:sz w:val="17"/>
        </w:rPr>
        <w:t>[S18]</w:t>
      </w:r>
      <w:r>
        <w:rPr>
          <w:rFonts w:ascii="Calibri" w:hAnsi="Calibri"/>
          <w:color w:val="1C2733"/>
          <w:sz w:val="17"/>
        </w:rPr>
        <w:t xml:space="preserve"> Deb et al. (2002), “A fast and elitist multiobjective genetic algorithm: NSGA-II,” </w:t>
      </w:r>
      <w:r>
        <w:rPr>
          <w:rFonts w:ascii="Calibri" w:hAnsi="Calibri"/>
          <w:i/>
          <w:color w:val="1C2733"/>
          <w:sz w:val="17"/>
        </w:rPr>
        <w:t>IEEE Transactions on Evolutionary Computation</w:t>
      </w:r>
      <w:r>
        <w:rPr>
          <w:rFonts w:ascii="Calibri" w:hAnsi="Calibri"/>
          <w:color w:val="1C2733"/>
          <w:sz w:val="17"/>
        </w:rPr>
        <w:t xml:space="preserve">. </w:t>
      </w:r>
      <w:hyperlink r:id="rId30">
        <w:r>
          <w:rPr>
            <w:color w:val="2E74B5"/>
            <w:u w:val="single"/>
          </w:rPr>
          <w:t>https://sci2s.ugr.es/sites/default/files/files/Teaching/OtherPostGraduateCourses/Metaheuristicas/Deb_NSGAII.pdf</w:t>
        </w:r>
      </w:hyperlink>
    </w:p>
    <w:p>
      <w:pPr>
        <w:pStyle w:val="SourceEntry"/>
        <w:widowControl/>
        <w:spacing w:after="70" w:line="240" w:lineRule="auto"/>
        <w:ind w:left="259" w:hanging="259"/>
      </w:pPr>
      <w:r>
        <w:rPr>
          <w:rFonts w:ascii="Calibri" w:hAnsi="Calibri"/>
          <w:b/>
          <w:color w:val="1C2733"/>
          <w:sz w:val="17"/>
        </w:rPr>
        <w:t>[S19]</w:t>
      </w:r>
      <w:r>
        <w:rPr>
          <w:rFonts w:ascii="Calibri" w:hAnsi="Calibri"/>
          <w:color w:val="1C2733"/>
          <w:sz w:val="17"/>
        </w:rPr>
        <w:t xml:space="preserve"> BoTorch documentation, “Multi-Objective Bayesian Optimization,” current 4 September 2026. </w:t>
      </w:r>
      <w:hyperlink r:id="rId31">
        <w:r>
          <w:rPr>
            <w:color w:val="2E74B5"/>
            <w:u w:val="single"/>
          </w:rPr>
          <w:t>https://botorch.org/docs/multi_objective</w:t>
        </w:r>
      </w:hyperlink>
    </w:p>
    <w:p>
      <w:pPr>
        <w:pStyle w:val="SourceEntry"/>
        <w:widowControl/>
        <w:spacing w:after="70" w:line="240" w:lineRule="auto"/>
        <w:ind w:left="259" w:hanging="259"/>
      </w:pPr>
      <w:r>
        <w:rPr>
          <w:rFonts w:ascii="Calibri" w:hAnsi="Calibri"/>
          <w:b/>
          <w:color w:val="1C2733"/>
          <w:sz w:val="17"/>
        </w:rPr>
        <w:t>[S20]</w:t>
      </w:r>
      <w:r>
        <w:rPr>
          <w:rFonts w:ascii="Calibri" w:hAnsi="Calibri"/>
          <w:color w:val="1C2733"/>
          <w:sz w:val="17"/>
        </w:rPr>
        <w:t xml:space="preserve"> Goto, Tatsumura, and Dixon (2019), “Combinatorial optimization by simulating adiabatic bifurcations in nonlinear Hamiltonian systems,” </w:t>
      </w:r>
      <w:r>
        <w:rPr>
          <w:rFonts w:ascii="Calibri" w:hAnsi="Calibri"/>
          <w:i/>
          <w:color w:val="1C2733"/>
          <w:sz w:val="17"/>
        </w:rPr>
        <w:t>Science Advances</w:t>
      </w:r>
      <w:r>
        <w:rPr>
          <w:rFonts w:ascii="Calibri" w:hAnsi="Calibri"/>
          <w:color w:val="1C2733"/>
          <w:sz w:val="17"/>
        </w:rPr>
        <w:t xml:space="preserve">. </w:t>
      </w:r>
      <w:hyperlink r:id="rId32">
        <w:r>
          <w:rPr>
            <w:color w:val="2E74B5"/>
            <w:u w:val="single"/>
          </w:rPr>
          <w:t>https://pmc.ncbi.nlm.nih.gov/articles/PMC6474767/</w:t>
        </w:r>
      </w:hyperlink>
    </w:p>
    <w:p>
      <w:pPr>
        <w:pStyle w:val="SourceEntry"/>
        <w:widowControl/>
        <w:spacing w:after="70" w:line="240" w:lineRule="auto"/>
        <w:ind w:left="259" w:hanging="259"/>
      </w:pPr>
      <w:r>
        <w:rPr>
          <w:rFonts w:ascii="Calibri" w:hAnsi="Calibri"/>
          <w:b/>
          <w:color w:val="1C2733"/>
          <w:sz w:val="17"/>
        </w:rPr>
        <w:t>[S21]</w:t>
      </w:r>
      <w:r>
        <w:rPr>
          <w:rFonts w:ascii="Calibri" w:hAnsi="Calibri"/>
          <w:color w:val="1C2733"/>
          <w:sz w:val="17"/>
        </w:rPr>
        <w:t xml:space="preserve"> Kim et al. (2025), “Correlated Errors in Large Language Models.” </w:t>
      </w:r>
      <w:hyperlink r:id="rId33">
        <w:r>
          <w:rPr>
            <w:color w:val="2E74B5"/>
            <w:u w:val="single"/>
          </w:rPr>
          <w:t>https://arxiv.org/html/2506.07962v1</w:t>
        </w:r>
      </w:hyperlink>
    </w:p>
    <w:p>
      <w:pPr>
        <w:pStyle w:val="SourceEntry"/>
        <w:widowControl/>
        <w:spacing w:after="70" w:line="240" w:lineRule="auto"/>
        <w:ind w:left="259" w:hanging="259"/>
      </w:pPr>
      <w:r>
        <w:rPr>
          <w:rFonts w:ascii="Calibri" w:hAnsi="Calibri"/>
          <w:b/>
          <w:color w:val="1C2733"/>
          <w:sz w:val="17"/>
        </w:rPr>
        <w:t>[S22]</w:t>
      </w:r>
      <w:r>
        <w:rPr>
          <w:rFonts w:ascii="Calibri" w:hAnsi="Calibri"/>
          <w:color w:val="1C2733"/>
          <w:sz w:val="17"/>
        </w:rPr>
        <w:t xml:space="preserve"> Gama et al. (2014), “A Survey on Concept Drift Adaptation,” </w:t>
      </w:r>
      <w:r>
        <w:rPr>
          <w:rFonts w:ascii="Calibri" w:hAnsi="Calibri"/>
          <w:i/>
          <w:color w:val="1C2733"/>
          <w:sz w:val="17"/>
        </w:rPr>
        <w:t>ACM Computing Surveys</w:t>
      </w:r>
      <w:r>
        <w:rPr>
          <w:rFonts w:ascii="Calibri" w:hAnsi="Calibri"/>
          <w:color w:val="1C2733"/>
          <w:sz w:val="17"/>
        </w:rPr>
        <w:t xml:space="preserve">. </w:t>
      </w:r>
      <w:hyperlink r:id="rId34">
        <w:r>
          <w:rPr>
            <w:color w:val="2E74B5"/>
            <w:u w:val="single"/>
          </w:rPr>
          <w:t>https://dl.acm.org/doi/10.1145/2523813</w:t>
        </w:r>
      </w:hyperlink>
    </w:p>
    <w:p>
      <w:pPr>
        <w:pStyle w:val="SourceEntry"/>
        <w:widowControl/>
        <w:spacing w:after="70" w:line="240" w:lineRule="auto"/>
        <w:ind w:left="259" w:hanging="259"/>
      </w:pPr>
      <w:r>
        <w:rPr>
          <w:rFonts w:ascii="Calibri" w:hAnsi="Calibri"/>
          <w:b/>
          <w:color w:val="1C2733"/>
          <w:sz w:val="17"/>
        </w:rPr>
        <w:t>[S23]</w:t>
      </w:r>
      <w:r>
        <w:rPr>
          <w:rFonts w:ascii="Calibri" w:hAnsi="Calibri"/>
          <w:color w:val="1C2733"/>
          <w:sz w:val="17"/>
        </w:rPr>
        <w:t xml:space="preserve"> White (2000), “A Reality Check for Data Snooping,” </w:t>
      </w:r>
      <w:r>
        <w:rPr>
          <w:rFonts w:ascii="Calibri" w:hAnsi="Calibri"/>
          <w:i/>
          <w:color w:val="1C2733"/>
          <w:sz w:val="17"/>
        </w:rPr>
        <w:t>Econometrica</w:t>
      </w:r>
      <w:r>
        <w:rPr>
          <w:rFonts w:ascii="Calibri" w:hAnsi="Calibri"/>
          <w:color w:val="1C2733"/>
          <w:sz w:val="17"/>
        </w:rPr>
        <w:t xml:space="preserve">. </w:t>
      </w:r>
      <w:hyperlink r:id="rId35">
        <w:r>
          <w:rPr>
            <w:color w:val="2E74B5"/>
            <w:u w:val="single"/>
          </w:rPr>
          <w:t>https://onlinelibrary.wiley.com/doi/abs/10.1111/1468-0262.00152</w:t>
        </w:r>
      </w:hyperlink>
    </w:p>
    <w:p>
      <w:pPr>
        <w:pStyle w:val="SourceEntry"/>
        <w:widowControl/>
        <w:spacing w:after="70" w:line="240" w:lineRule="auto"/>
        <w:ind w:left="259" w:hanging="259"/>
      </w:pPr>
      <w:r>
        <w:rPr>
          <w:rFonts w:ascii="Calibri" w:hAnsi="Calibri"/>
          <w:b/>
          <w:color w:val="1C2733"/>
          <w:sz w:val="17"/>
        </w:rPr>
        <w:t>[S24]</w:t>
      </w:r>
      <w:r>
        <w:rPr>
          <w:rFonts w:ascii="Calibri" w:hAnsi="Calibri"/>
          <w:color w:val="1C2733"/>
          <w:sz w:val="17"/>
        </w:rPr>
        <w:t xml:space="preserve"> Bailey and López de Prado (2014), “The Deflated Sharpe Ratio: Correcting for Selection Bias, Backtest Overfitting, and Non-Normality.” </w:t>
      </w:r>
      <w:hyperlink r:id="rId36">
        <w:r>
          <w:rPr>
            <w:color w:val="2E74B5"/>
            <w:u w:val="single"/>
          </w:rPr>
          <w:t>https://papers.ssrn.com/sol3/papers.cfm?abstract_id=2460551</w:t>
        </w:r>
      </w:hyperlink>
    </w:p>
    <w:p>
      <w:pPr>
        <w:pStyle w:val="SourceEntry"/>
        <w:widowControl/>
        <w:spacing w:after="70" w:line="240" w:lineRule="auto"/>
        <w:ind w:left="259" w:hanging="259"/>
      </w:pPr>
      <w:r>
        <w:rPr>
          <w:rFonts w:ascii="Calibri" w:hAnsi="Calibri"/>
          <w:b/>
          <w:color w:val="1C2733"/>
          <w:sz w:val="17"/>
        </w:rPr>
        <w:t>[S25]</w:t>
      </w:r>
      <w:r>
        <w:rPr>
          <w:rFonts w:ascii="Calibri" w:hAnsi="Calibri"/>
          <w:color w:val="1C2733"/>
          <w:sz w:val="17"/>
        </w:rPr>
        <w:t xml:space="preserve"> Bailey et al. (2016), “The Probability of Backtest Overfitting,” </w:t>
      </w:r>
      <w:r>
        <w:rPr>
          <w:rFonts w:ascii="Calibri" w:hAnsi="Calibri"/>
          <w:i/>
          <w:color w:val="1C2733"/>
          <w:sz w:val="17"/>
        </w:rPr>
        <w:t>Journal of Computational Finance</w:t>
      </w:r>
      <w:r>
        <w:rPr>
          <w:rFonts w:ascii="Calibri" w:hAnsi="Calibri"/>
          <w:color w:val="1C2733"/>
          <w:sz w:val="17"/>
        </w:rPr>
        <w:t xml:space="preserve">. </w:t>
      </w:r>
      <w:hyperlink r:id="rId37">
        <w:r>
          <w:rPr>
            <w:color w:val="2E74B5"/>
            <w:u w:val="single"/>
          </w:rPr>
          <w:t>https://www.risk.net/journal-of-computational-finance/2471206/the-probability-of-backtest-overfitting</w:t>
        </w:r>
      </w:hyperlink>
    </w:p>
    <w:p>
      <w:pPr>
        <w:pStyle w:val="SourceEntry"/>
        <w:widowControl/>
        <w:spacing w:after="70" w:line="240" w:lineRule="auto"/>
        <w:ind w:left="259" w:hanging="259"/>
      </w:pPr>
      <w:r>
        <w:rPr>
          <w:rFonts w:ascii="Calibri" w:hAnsi="Calibri"/>
          <w:b/>
          <w:color w:val="1C2733"/>
          <w:sz w:val="17"/>
        </w:rPr>
        <w:t>[S26]</w:t>
      </w:r>
      <w:r>
        <w:rPr>
          <w:rFonts w:ascii="Calibri" w:hAnsi="Calibri"/>
          <w:color w:val="1C2733"/>
          <w:sz w:val="17"/>
        </w:rPr>
        <w:t xml:space="preserve"> Huang et al. (2025), “An overview of the quantum cognition research program,” </w:t>
      </w:r>
      <w:r>
        <w:rPr>
          <w:rFonts w:ascii="Calibri" w:hAnsi="Calibri"/>
          <w:i/>
          <w:color w:val="1C2733"/>
          <w:sz w:val="17"/>
        </w:rPr>
        <w:t>Psychonomic Bulletin &amp; Review</w:t>
      </w:r>
      <w:r>
        <w:rPr>
          <w:rFonts w:ascii="Calibri" w:hAnsi="Calibri"/>
          <w:color w:val="1C2733"/>
          <w:sz w:val="17"/>
        </w:rPr>
        <w:t xml:space="preserve">. </w:t>
      </w:r>
      <w:hyperlink r:id="rId38">
        <w:r>
          <w:rPr>
            <w:color w:val="2E74B5"/>
            <w:u w:val="single"/>
          </w:rPr>
          <w:t>https://link.springer.com/article/10.3758/s13423-025-02675-9</w:t>
        </w:r>
      </w:hyperlink>
    </w:p>
    <w:p>
      <w:pPr>
        <w:pStyle w:val="SourceEntry"/>
        <w:widowControl/>
        <w:spacing w:after="70" w:line="240" w:lineRule="auto"/>
        <w:ind w:left="259" w:hanging="259"/>
      </w:pPr>
      <w:r>
        <w:rPr>
          <w:rFonts w:ascii="Calibri" w:hAnsi="Calibri"/>
          <w:b/>
          <w:color w:val="1C2733"/>
          <w:sz w:val="17"/>
        </w:rPr>
        <w:t>[S27]</w:t>
      </w:r>
      <w:r>
        <w:rPr>
          <w:rFonts w:ascii="Calibri" w:hAnsi="Calibri"/>
          <w:color w:val="1C2733"/>
          <w:sz w:val="17"/>
        </w:rPr>
        <w:t xml:space="preserve"> Wang et al. (2014), “Context effects produced by question orders reveal quantum nature of human judgments,” </w:t>
      </w:r>
      <w:r>
        <w:rPr>
          <w:rFonts w:ascii="Calibri" w:hAnsi="Calibri"/>
          <w:i/>
          <w:color w:val="1C2733"/>
          <w:sz w:val="17"/>
        </w:rPr>
        <w:t>PNAS</w:t>
      </w:r>
      <w:r>
        <w:rPr>
          <w:rFonts w:ascii="Calibri" w:hAnsi="Calibri"/>
          <w:color w:val="1C2733"/>
          <w:sz w:val="17"/>
        </w:rPr>
        <w:t xml:space="preserve">. </w:t>
      </w:r>
      <w:hyperlink r:id="rId39">
        <w:r>
          <w:rPr>
            <w:color w:val="2E74B5"/>
            <w:u w:val="single"/>
          </w:rPr>
          <w:t>https://www.pnas.org/doi/10.1073/pnas.1407756111</w:t>
        </w:r>
      </w:hyperlink>
    </w:p>
    <w:p>
      <w:pPr>
        <w:pStyle w:val="SourceEntry"/>
        <w:widowControl/>
        <w:spacing w:after="70" w:line="240" w:lineRule="auto"/>
        <w:ind w:left="259" w:hanging="259"/>
      </w:pPr>
      <w:r>
        <w:rPr>
          <w:rFonts w:ascii="Calibri" w:hAnsi="Calibri"/>
          <w:b/>
          <w:color w:val="1C2733"/>
          <w:sz w:val="17"/>
        </w:rPr>
        <w:t>[S28]</w:t>
      </w:r>
      <w:r>
        <w:rPr>
          <w:rFonts w:ascii="Calibri" w:hAnsi="Calibri"/>
          <w:color w:val="1C2733"/>
          <w:sz w:val="17"/>
        </w:rPr>
        <w:t xml:space="preserve"> Basieva et al. (2019), “True Contextuality Beats Direct Influences in Human Decision Making,” </w:t>
      </w:r>
      <w:r>
        <w:rPr>
          <w:rFonts w:ascii="Calibri" w:hAnsi="Calibri"/>
          <w:i/>
          <w:color w:val="1C2733"/>
          <w:sz w:val="17"/>
        </w:rPr>
        <w:t>Journal of Experimental Psychology: General</w:t>
      </w:r>
      <w:r>
        <w:rPr>
          <w:rFonts w:ascii="Calibri" w:hAnsi="Calibri"/>
          <w:color w:val="1C2733"/>
          <w:sz w:val="17"/>
        </w:rPr>
        <w:t xml:space="preserve">. </w:t>
      </w:r>
      <w:hyperlink r:id="rId40">
        <w:r>
          <w:rPr>
            <w:color w:val="2E74B5"/>
            <w:u w:val="single"/>
          </w:rPr>
          <w:t>https://pubmed.ncbi.nlm.nih.gov/31021152/</w:t>
        </w:r>
      </w:hyperlink>
    </w:p>
    <w:p>
      <w:pPr>
        <w:pStyle w:val="SourceEntry"/>
        <w:widowControl/>
        <w:spacing w:after="70" w:line="240" w:lineRule="auto"/>
        <w:ind w:left="259" w:hanging="259"/>
      </w:pPr>
      <w:r>
        <w:rPr>
          <w:rFonts w:ascii="Calibri" w:hAnsi="Calibri"/>
          <w:b/>
          <w:color w:val="1C2733"/>
          <w:sz w:val="17"/>
        </w:rPr>
        <w:t>[S29]</w:t>
      </w:r>
      <w:r>
        <w:rPr>
          <w:rFonts w:ascii="Calibri" w:hAnsi="Calibri"/>
          <w:color w:val="1C2733"/>
          <w:sz w:val="17"/>
        </w:rPr>
        <w:t xml:space="preserve"> Tentori and Crupi (2013), “Why quantum probability does not explain the conjunction fallacy,” </w:t>
      </w:r>
      <w:r>
        <w:rPr>
          <w:rFonts w:ascii="Calibri" w:hAnsi="Calibri"/>
          <w:i/>
          <w:color w:val="1C2733"/>
          <w:sz w:val="17"/>
        </w:rPr>
        <w:t>Behavioral and Brain Sciences</w:t>
      </w:r>
      <w:r>
        <w:rPr>
          <w:rFonts w:ascii="Calibri" w:hAnsi="Calibri"/>
          <w:color w:val="1C2733"/>
          <w:sz w:val="17"/>
        </w:rPr>
        <w:t xml:space="preserve">. </w:t>
      </w:r>
      <w:hyperlink r:id="rId41">
        <w:r>
          <w:rPr>
            <w:color w:val="2E74B5"/>
            <w:u w:val="single"/>
          </w:rPr>
          <w:t>https://www.cambridge.org/core/journals/behavioral-and-brain-sciences/article/abs/why-quantum-probability-does-not-explain-the-conjunction-fallacy/0331D6F845A0A65B26DE0A8DA5F03D02</w:t>
        </w:r>
      </w:hyperlink>
    </w:p>
    <w:p>
      <w:pPr>
        <w:pStyle w:val="SourceEntry"/>
        <w:widowControl/>
        <w:spacing w:after="70" w:line="240" w:lineRule="auto"/>
        <w:ind w:left="259" w:hanging="259"/>
      </w:pPr>
      <w:r>
        <w:rPr>
          <w:rFonts w:ascii="Calibri" w:hAnsi="Calibri"/>
          <w:b/>
          <w:color w:val="1C2733"/>
          <w:sz w:val="17"/>
        </w:rPr>
        <w:t>[S30]</w:t>
      </w:r>
      <w:r>
        <w:rPr>
          <w:rFonts w:ascii="Calibri" w:hAnsi="Calibri"/>
          <w:color w:val="1C2733"/>
          <w:sz w:val="17"/>
        </w:rPr>
        <w:t xml:space="preserve"> Google OR-Tools documentation, “CP-SAT Solver,” current 4 September 2026. </w:t>
      </w:r>
      <w:hyperlink r:id="rId42">
        <w:r>
          <w:rPr>
            <w:color w:val="2E74B5"/>
            <w:u w:val="single"/>
          </w:rPr>
          <w:t>https://developers.google.com/optimization/cp/cp_solver</w:t>
        </w:r>
      </w:hyperlink>
    </w:p>
    <w:p>
      <w:pPr>
        <w:pStyle w:val="SourceEntry"/>
        <w:widowControl/>
        <w:spacing w:after="70" w:line="240" w:lineRule="auto"/>
        <w:ind w:left="259" w:hanging="259"/>
      </w:pPr>
      <w:r>
        <w:rPr>
          <w:rFonts w:ascii="Calibri" w:hAnsi="Calibri"/>
          <w:b/>
          <w:color w:val="1C2733"/>
          <w:sz w:val="17"/>
        </w:rPr>
        <w:t>[S31]</w:t>
      </w:r>
      <w:r>
        <w:rPr>
          <w:rFonts w:ascii="Calibri" w:hAnsi="Calibri"/>
          <w:color w:val="1C2733"/>
          <w:sz w:val="17"/>
        </w:rPr>
        <w:t xml:space="preserve"> Quinton et al. (2025), “Benchmarking quantum annealing against classical methods for optimization problems,” </w:t>
      </w:r>
      <w:r>
        <w:rPr>
          <w:rFonts w:ascii="Calibri" w:hAnsi="Calibri"/>
          <w:i/>
          <w:color w:val="1C2733"/>
          <w:sz w:val="17"/>
        </w:rPr>
        <w:t>Scientific Reports</w:t>
      </w:r>
      <w:r>
        <w:rPr>
          <w:rFonts w:ascii="Calibri" w:hAnsi="Calibri"/>
          <w:color w:val="1C2733"/>
          <w:sz w:val="17"/>
        </w:rPr>
        <w:t xml:space="preserve">. </w:t>
      </w:r>
      <w:hyperlink r:id="rId43">
        <w:r>
          <w:rPr>
            <w:color w:val="2E74B5"/>
            <w:u w:val="single"/>
          </w:rPr>
          <w:t>https://www.nature.com/articles/s41598-025-96220-2</w:t>
        </w:r>
      </w:hyperlink>
    </w:p>
    <w:p>
      <w:pPr>
        <w:pStyle w:val="SourceEntry"/>
        <w:widowControl/>
        <w:spacing w:after="70" w:line="240" w:lineRule="auto"/>
        <w:ind w:left="259" w:hanging="259"/>
      </w:pPr>
      <w:r>
        <w:rPr>
          <w:rFonts w:ascii="Calibri" w:hAnsi="Calibri"/>
          <w:b/>
          <w:color w:val="1C2733"/>
          <w:sz w:val="17"/>
        </w:rPr>
        <w:t>[S32]</w:t>
      </w:r>
      <w:r>
        <w:rPr>
          <w:rFonts w:ascii="Calibri" w:hAnsi="Calibri"/>
          <w:color w:val="1C2733"/>
          <w:sz w:val="17"/>
        </w:rPr>
        <w:t xml:space="preserve"> Kim et al. (2025), “Performance comparison of quantum annealing and simulated annealing for application problems,” </w:t>
      </w:r>
      <w:r>
        <w:rPr>
          <w:rFonts w:ascii="Calibri" w:hAnsi="Calibri"/>
          <w:i/>
          <w:color w:val="1C2733"/>
          <w:sz w:val="17"/>
        </w:rPr>
        <w:t>npj Quantum Information</w:t>
      </w:r>
      <w:r>
        <w:rPr>
          <w:rFonts w:ascii="Calibri" w:hAnsi="Calibri"/>
          <w:color w:val="1C2733"/>
          <w:sz w:val="17"/>
        </w:rPr>
        <w:t xml:space="preserve">. </w:t>
      </w:r>
      <w:hyperlink r:id="rId44">
        <w:r>
          <w:rPr>
            <w:color w:val="2E74B5"/>
            <w:u w:val="single"/>
          </w:rPr>
          <w:t>https://www.nature.com/articles/s41534-025-01020-1</w:t>
        </w:r>
      </w:hyperlink>
    </w:p>
    <w:p>
      <w:pPr>
        <w:pStyle w:val="SourceEntry"/>
        <w:widowControl/>
        <w:spacing w:after="70" w:line="240" w:lineRule="auto"/>
        <w:ind w:left="259" w:hanging="259"/>
      </w:pPr>
      <w:r>
        <w:rPr>
          <w:rFonts w:ascii="Calibri" w:hAnsi="Calibri"/>
          <w:b/>
          <w:color w:val="1C2733"/>
          <w:sz w:val="17"/>
        </w:rPr>
        <w:t>[S33]</w:t>
      </w:r>
      <w:r>
        <w:rPr>
          <w:rFonts w:ascii="Calibri" w:hAnsi="Calibri"/>
          <w:color w:val="1C2733"/>
          <w:sz w:val="17"/>
        </w:rPr>
        <w:t xml:space="preserve"> “Quantum Optimization Benchmarking Library - The Power of Application Benchmarks” (2026), </w:t>
      </w:r>
      <w:r>
        <w:rPr>
          <w:rFonts w:ascii="Calibri" w:hAnsi="Calibri"/>
          <w:i/>
          <w:color w:val="1C2733"/>
          <w:sz w:val="17"/>
        </w:rPr>
        <w:t>Nature Computational Science</w:t>
      </w:r>
      <w:r>
        <w:rPr>
          <w:rFonts w:ascii="Calibri" w:hAnsi="Calibri"/>
          <w:color w:val="1C2733"/>
          <w:sz w:val="17"/>
        </w:rPr>
        <w:t xml:space="preserve">. </w:t>
      </w:r>
      <w:hyperlink r:id="rId45">
        <w:r>
          <w:rPr>
            <w:color w:val="2E74B5"/>
            <w:u w:val="single"/>
          </w:rPr>
          <w:t>https://www.nature.com/articles/s43588-026-00991-1</w:t>
        </w:r>
      </w:hyperlink>
    </w:p>
    <w:p>
      <w:pPr>
        <w:pStyle w:val="SourceEntry"/>
        <w:widowControl/>
        <w:spacing w:after="70" w:line="240" w:lineRule="auto"/>
        <w:ind w:left="259" w:hanging="259"/>
      </w:pPr>
      <w:r>
        <w:rPr>
          <w:rFonts w:ascii="Calibri" w:hAnsi="Calibri"/>
          <w:b/>
          <w:color w:val="1C2733"/>
          <w:sz w:val="17"/>
        </w:rPr>
        <w:t>[S34]</w:t>
      </w:r>
      <w:r>
        <w:rPr>
          <w:rFonts w:ascii="Calibri" w:hAnsi="Calibri"/>
          <w:color w:val="1C2733"/>
          <w:sz w:val="17"/>
        </w:rPr>
        <w:t xml:space="preserve"> “Quantum Advantage in Decentralized Multi-Agent Reinforcement Learning” (2026). </w:t>
      </w:r>
      <w:hyperlink r:id="rId46">
        <w:r>
          <w:rPr>
            <w:color w:val="2E74B5"/>
            <w:u w:val="single"/>
          </w:rPr>
          <w:t>https://arxiv.org/html/2605.14235v1</w:t>
        </w:r>
      </w:hyperlink>
    </w:p>
    <w:p>
      <w:pPr>
        <w:pStyle w:val="SourceEntry"/>
        <w:widowControl/>
        <w:spacing w:after="70" w:line="240" w:lineRule="auto"/>
        <w:ind w:left="259" w:hanging="259"/>
      </w:pPr>
      <w:r>
        <w:rPr>
          <w:rFonts w:ascii="Calibri" w:hAnsi="Calibri"/>
          <w:b/>
          <w:color w:val="1C2733"/>
          <w:sz w:val="17"/>
        </w:rPr>
        <w:t>[S35]</w:t>
      </w:r>
      <w:r>
        <w:rPr>
          <w:rFonts w:ascii="Calibri" w:hAnsi="Calibri"/>
          <w:color w:val="1C2733"/>
          <w:sz w:val="17"/>
        </w:rPr>
        <w:t xml:space="preserve"> “A Deep Dive into Order Effects in Large Language Models” (2026). </w:t>
      </w:r>
      <w:hyperlink r:id="rId47">
        <w:r>
          <w:rPr>
            <w:color w:val="2E74B5"/>
            <w:u w:val="single"/>
          </w:rPr>
          <w:t>https://arxiv.org/html/2506.14092v4</w:t>
        </w:r>
      </w:hyperlink>
    </w:p>
    <w:p>
      <w:pPr>
        <w:pStyle w:val="Heading2"/>
        <w:keepNext/>
        <w:pageBreakBefore w:val="0"/>
      </w:pPr>
      <w:r>
        <w:rPr>
          <w:rFonts w:ascii="Calibri" w:hAnsi="Calibri"/>
          <w:color w:val="2E74B5"/>
          <w:sz w:val="26"/>
        </w:rPr>
        <w:t>Interpretation limits</w:t>
      </w:r>
    </w:p>
    <w:p>
      <w:pPr>
        <w:widowControl/>
      </w:pPr>
      <w:r>
        <w:rPr>
          <w:rFonts w:ascii="Calibri" w:hAnsi="Calibri"/>
          <w:color w:val="1C2733"/>
        </w:rPr>
        <w:t>The evidence is uneven. Quantum cognition has replicated useful order-effect structures in human judgment, but critiques and Contextuality-by-Default show that quantum probability is not a universal explanation and that ordinary direct influences can mimic contextuality [S26-S29]. Multi-agent results depend heavily on model, task, architecture, and communication budget [S6-S8]. Quantum-annealing studies conflict because problem structure, embedding, baselines, and end-to-end accounting differ [S31-S33]. Accordingly, every recommendation above includes a classical baseline and a stop condition.</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5F6B76"/>
        <w:sz w:val="17"/>
      </w:rPr>
      <w:t>CELL // OS  ·  DEEP RESEARCH  ·  4 SEPTEMBER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5F6B76"/>
        <w:sz w:val="16"/>
      </w:rPr>
      <w:t xml:space="preserve">4 September 2026   |   </w:t>
    </w:r>
    <w:r>
      <w:rPr>
        <w:rFonts w:ascii="Calibri" w:hAnsi="Calibri"/>
        <w:color w:val="5F6B76"/>
        <w:sz w:val="16"/>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3" w:color="C9D2DC"/>
      </w:pBdr>
    </w:pPr>
    <w:r>
      <w:rPr>
        <w:rFonts w:ascii="Calibri" w:hAnsi="Calibri"/>
        <w:b/>
        <w:color w:val="2E74B5"/>
        <w:sz w:val="17"/>
      </w:rPr>
      <w:t>CELL // OS</w:t>
    </w:r>
    <w:r>
      <w:rPr>
        <w:rFonts w:ascii="Calibri" w:hAnsi="Calibri"/>
        <w:color w:val="5F6B76"/>
        <w:sz w:val="17"/>
      </w:rPr>
      <w:t xml:space="preserve">    QUANTUM-PRINCIPLES ARCHITECTURE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C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Calibri" w:hAnsi="Calibri"/>
      <w:b/>
      <w:color w:val="203748"/>
      <w:sz w:val="60"/>
    </w:rPr>
  </w:style>
  <w:style w:type="paragraph" w:customStyle="1" w:styleId="ReportSubtitle">
    <w:name w:val="Report Subtitle"/>
    <w:rPr>
      <w:rFonts w:ascii="Calibri" w:hAnsi="Calibri"/>
      <w:b w:val="0"/>
      <w:color w:val="1F4D78"/>
      <w:sz w:val="30"/>
    </w:rPr>
  </w:style>
  <w:style w:type="paragraph" w:customStyle="1" w:styleId="Kicker">
    <w:name w:val="Kicker"/>
    <w:rPr>
      <w:rFonts w:ascii="Calibri" w:hAnsi="Calibri"/>
      <w:b/>
      <w:color w:val="7A5A00"/>
      <w:sz w:val="18"/>
    </w:rPr>
  </w:style>
  <w:style w:type="paragraph" w:customStyle="1" w:styleId="TableText">
    <w:name w:val="Table Text"/>
    <w:rPr>
      <w:rFonts w:ascii="Calibri" w:hAnsi="Calibri"/>
      <w:b w:val="0"/>
      <w:color w:val="1C2733"/>
      <w:sz w:val="17"/>
    </w:rPr>
  </w:style>
  <w:style w:type="paragraph" w:customStyle="1" w:styleId="TableHeader">
    <w:name w:val="Table Header"/>
    <w:rPr>
      <w:rFonts w:ascii="Calibri" w:hAnsi="Calibri"/>
      <w:b/>
      <w:color w:val="203748"/>
      <w:sz w:val="17"/>
    </w:rPr>
  </w:style>
  <w:style w:type="paragraph" w:customStyle="1" w:styleId="SourceEntry">
    <w:name w:val="Source Entry"/>
    <w:rPr>
      <w:rFonts w:ascii="Calibri" w:hAnsi="Calibri"/>
      <w:b w:val="0"/>
      <w:color w:val="1C27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sciencedirect.com/science/article/pii/S000437029800023X" TargetMode="External"/><Relationship Id="rId14" Type="http://schemas.openxmlformats.org/officeDocument/2006/relationships/hyperlink" Target="https://arxiv.org/abs/2203.11171" TargetMode="External"/><Relationship Id="rId15" Type="http://schemas.openxmlformats.org/officeDocument/2006/relationships/hyperlink" Target="https://pmc.ncbi.nlm.nih.gov/articles/PMC11186750/" TargetMode="External"/><Relationship Id="rId16" Type="http://schemas.openxmlformats.org/officeDocument/2006/relationships/hyperlink" Target="https://papers.nips.cc/paper/7219-simple-and-scalable-predictive-uncertainty-estimation-using-deep-ensembles" TargetMode="External"/><Relationship Id="rId17" Type="http://schemas.openxmlformats.org/officeDocument/2006/relationships/hyperlink" Target="https://auai.org/uai2018/proceedings/papers/269.pdf" TargetMode="External"/><Relationship Id="rId18" Type="http://schemas.openxmlformats.org/officeDocument/2006/relationships/hyperlink" Target="https://www.nature.com/articles/s42256-026-01268-y" TargetMode="External"/><Relationship Id="rId19" Type="http://schemas.openxmlformats.org/officeDocument/2006/relationships/hyperlink" Target="https://arxiv.org/html/2601.19921v3" TargetMode="External"/><Relationship Id="rId20" Type="http://schemas.openxmlformats.org/officeDocument/2006/relationships/hyperlink" Target="https://arxiv.org/html/2502.00674v1" TargetMode="External"/><Relationship Id="rId21" Type="http://schemas.openxmlformats.org/officeDocument/2006/relationships/hyperlink" Target="https://arxiv.org/abs/1506.02629" TargetMode="External"/><Relationship Id="rId22" Type="http://schemas.openxmlformats.org/officeDocument/2006/relationships/hyperlink" Target="https://pubsonline.informs.org/doi/10.1287/opre.2021.2135" TargetMode="External"/><Relationship Id="rId23" Type="http://schemas.openxmlformats.org/officeDocument/2006/relationships/hyperlink" Target="https://arxiv.org/abs/1803.04585" TargetMode="External"/><Relationship Id="rId24" Type="http://schemas.openxmlformats.org/officeDocument/2006/relationships/hyperlink" Target="https://proceedings.mlr.press/v119/perdomo20a.html" TargetMode="External"/><Relationship Id="rId25" Type="http://schemas.openxmlformats.org/officeDocument/2006/relationships/hyperlink" Target="https://www.science.org/doi/10.1126/science.220.4598.671" TargetMode="External"/><Relationship Id="rId26" Type="http://schemas.openxmlformats.org/officeDocument/2006/relationships/hyperlink" Target="https://jmlr.org/papers/v18/16-558.html" TargetMode="External"/><Relationship Id="rId27" Type="http://schemas.openxmlformats.org/officeDocument/2006/relationships/hyperlink" Target="https://docs.ray.io/en/latest/tune/api/schedulers.html" TargetMode="External"/><Relationship Id="rId28" Type="http://schemas.openxmlformats.org/officeDocument/2006/relationships/hyperlink" Target="https://arxiv.org/abs/1807.01774" TargetMode="External"/><Relationship Id="rId29" Type="http://schemas.openxmlformats.org/officeDocument/2006/relationships/hyperlink" Target="https://arxiv.org/abs/1504.04909" TargetMode="External"/><Relationship Id="rId30" Type="http://schemas.openxmlformats.org/officeDocument/2006/relationships/hyperlink" Target="https://sci2s.ugr.es/sites/default/files/files/Teaching/OtherPostGraduateCourses/Metaheuristicas/Deb_NSGAII.pdf" TargetMode="External"/><Relationship Id="rId31" Type="http://schemas.openxmlformats.org/officeDocument/2006/relationships/hyperlink" Target="https://botorch.org/docs/multi_objective" TargetMode="External"/><Relationship Id="rId32" Type="http://schemas.openxmlformats.org/officeDocument/2006/relationships/hyperlink" Target="https://pmc.ncbi.nlm.nih.gov/articles/PMC6474767/" TargetMode="External"/><Relationship Id="rId33" Type="http://schemas.openxmlformats.org/officeDocument/2006/relationships/hyperlink" Target="https://arxiv.org/html/2506.07962v1" TargetMode="External"/><Relationship Id="rId34" Type="http://schemas.openxmlformats.org/officeDocument/2006/relationships/hyperlink" Target="https://dl.acm.org/doi/10.1145/2523813" TargetMode="External"/><Relationship Id="rId35" Type="http://schemas.openxmlformats.org/officeDocument/2006/relationships/hyperlink" Target="https://onlinelibrary.wiley.com/doi/abs/10.1111/1468-0262.00152" TargetMode="External"/><Relationship Id="rId36" Type="http://schemas.openxmlformats.org/officeDocument/2006/relationships/hyperlink" Target="https://papers.ssrn.com/sol3/papers.cfm?abstract_id=2460551" TargetMode="External"/><Relationship Id="rId37" Type="http://schemas.openxmlformats.org/officeDocument/2006/relationships/hyperlink" Target="https://www.risk.net/journal-of-computational-finance/2471206/the-probability-of-backtest-overfitting" TargetMode="External"/><Relationship Id="rId38" Type="http://schemas.openxmlformats.org/officeDocument/2006/relationships/hyperlink" Target="https://link.springer.com/article/10.3758/s13423-025-02675-9" TargetMode="External"/><Relationship Id="rId39" Type="http://schemas.openxmlformats.org/officeDocument/2006/relationships/hyperlink" Target="https://www.pnas.org/doi/10.1073/pnas.1407756111" TargetMode="External"/><Relationship Id="rId40" Type="http://schemas.openxmlformats.org/officeDocument/2006/relationships/hyperlink" Target="https://pubmed.ncbi.nlm.nih.gov/31021152/" TargetMode="External"/><Relationship Id="rId41" Type="http://schemas.openxmlformats.org/officeDocument/2006/relationships/hyperlink" Target="https://www.cambridge.org/core/journals/behavioral-and-brain-sciences/article/abs/why-quantum-probability-does-not-explain-the-conjunction-fallacy/0331D6F845A0A65B26DE0A8DA5F03D02" TargetMode="External"/><Relationship Id="rId42" Type="http://schemas.openxmlformats.org/officeDocument/2006/relationships/hyperlink" Target="https://developers.google.com/optimization/cp/cp_solver" TargetMode="External"/><Relationship Id="rId43" Type="http://schemas.openxmlformats.org/officeDocument/2006/relationships/hyperlink" Target="https://www.nature.com/articles/s41598-025-96220-2" TargetMode="External"/><Relationship Id="rId44" Type="http://schemas.openxmlformats.org/officeDocument/2006/relationships/hyperlink" Target="https://www.nature.com/articles/s41534-025-01020-1" TargetMode="External"/><Relationship Id="rId45" Type="http://schemas.openxmlformats.org/officeDocument/2006/relationships/hyperlink" Target="https://www.nature.com/articles/s43588-026-00991-1" TargetMode="External"/><Relationship Id="rId46" Type="http://schemas.openxmlformats.org/officeDocument/2006/relationships/hyperlink" Target="https://arxiv.org/html/2605.14235v1" TargetMode="External"/><Relationship Id="rId47" Type="http://schemas.openxmlformats.org/officeDocument/2006/relationships/hyperlink" Target="https://arxiv.org/html/2506.14092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OS Quantum-Principles Architecture Audit</dc:title>
  <dc:subject>Deep research and implementation decision for CELL OS</dc:subject>
  <dc:creator>OpenAI</dc:creator>
  <cp:keywords>CELL OS, agent architecture, quantum-inspired, assurance, ADAPT, HyperMESH, SIHRE</cp:keywords>
  <dc:description>Research current through 4 September 2026.</dc:description>
  <cp:lastModifiedBy/>
  <cp:revision>1</cp:revision>
  <dcterms:created xsi:type="dcterms:W3CDTF">2013-12-23T23:15:00Z</dcterms:created>
  <dcterms:modified xsi:type="dcterms:W3CDTF">2013-12-23T23:15:00Z</dcterms:modified>
  <cp:category/>
</cp:coreProperties>
</file>