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Factory Frontier Architecture</w:t>
      </w:r>
    </w:p>
    <w:p>
      <w:pPr>
        <w:pStyle w:val="Subtitle"/>
      </w:pPr>
      <w:r>
        <w:t>Comprehensive business-value, quality, client-trust, and prioritization pack</w:t>
      </w:r>
    </w:p>
    <w:p>
      <w:r>
        <w:rPr>
          <w:i/>
        </w:rPr>
        <w:t>Grounded in the current Agent Factory Vision + Beyond Agent Armies frontier architecture catalog</w:t>
      </w:r>
    </w:p>
    <w:p>
      <w:r>
        <w:rPr>
          <w:i/>
        </w:rPr>
        <w:t>Decision edition • 1 September 2026</w:t>
      </w:r>
    </w:p>
    <w:tbl>
      <w:tblPr>
        <w:tblW w:type="auto" w:w="0"/>
        <w:jc w:val="center"/>
        <w:tblLook w:firstColumn="1" w:firstRow="1" w:lastColumn="0" w:lastRow="0" w:noHBand="0" w:noVBand="1" w:val="04A0"/>
      </w:tblPr>
      <w:tblGrid>
        <w:gridCol w:w="10166"/>
      </w:tblGrid>
      <w:tr>
        <w:tc>
          <w:tcPr>
            <w:tcW w:type="dxa" w:w="10166"/>
            <w:shd w:fill="EEF3F8"/>
          </w:tcPr>
          <w:p>
            <w:pPr>
              <w:pStyle w:val="QuoteBox"/>
            </w:pPr>
            <w:r>
              <w:rPr>
                <w:b/>
              </w:rPr>
              <w:t xml:space="preserve">Decision summary — </w:t>
            </w:r>
            <w:r>
              <w:t>The frontier architecture document is not enough by itself. It tells you what could exist. This pack tells you what to build, why it matters commercially and operationally, how clients should experience the benefits, what evidence proves value, and what should remain research-only until the Factory has the prerequisites to evaluate it.</w:t>
            </w:r>
          </w:p>
        </w:tc>
      </w:tr>
    </w:tbl>
    <w:p>
      <w:pPr>
        <w:jc w:val="center"/>
      </w:pPr>
      <w:r>
        <w:drawing>
          <wp:inline xmlns:a="http://schemas.openxmlformats.org/drawingml/2006/main" xmlns:pic="http://schemas.openxmlformats.org/drawingml/2006/picture">
            <wp:extent cx="5852160" cy="3203159"/>
            <wp:docPr id="1" name="Picture 1"/>
            <wp:cNvGraphicFramePr>
              <a:graphicFrameLocks noChangeAspect="1"/>
            </wp:cNvGraphicFramePr>
            <a:graphic>
              <a:graphicData uri="http://schemas.openxmlformats.org/drawingml/2006/picture">
                <pic:pic>
                  <pic:nvPicPr>
                    <pic:cNvPr id="0" name="northstar.png"/>
                    <pic:cNvPicPr/>
                  </pic:nvPicPr>
                  <pic:blipFill>
                    <a:blip r:embed="rId9"/>
                    <a:stretch>
                      <a:fillRect/>
                    </a:stretch>
                  </pic:blipFill>
                  <pic:spPr>
                    <a:xfrm>
                      <a:off x="0" y="0"/>
                      <a:ext cx="5852160" cy="3203159"/>
                    </a:xfrm>
                    <a:prstGeom prst="rect"/>
                  </pic:spPr>
                </pic:pic>
              </a:graphicData>
            </a:graphic>
          </wp:inline>
        </w:drawing>
      </w:r>
    </w:p>
    <w:p>
      <w:pPr>
        <w:pStyle w:val="Small"/>
        <w:jc w:val="center"/>
      </w:pPr>
      <w:r>
        <w:t>Figure 1 — Current Agent Factory vision reframed as a production proving ground inside the larger Agentic Organization OS.</w:t>
      </w:r>
    </w:p>
    <w:p>
      <w:r>
        <w:br w:type="page"/>
      </w:r>
    </w:p>
    <w:p>
      <w:pPr>
        <w:pStyle w:val="Heading1"/>
        <w:keepNext/>
      </w:pPr>
      <w:r>
        <w:t>1. Executive recommendation</w:t>
      </w:r>
    </w:p>
    <w:p>
      <w:r>
        <w:t>Keep Agent → Team → Army as the simple operator-facing hierarchy. Do not force every higher-order idea into the runtime. Instead, add optional organizational forms and orthogonal planes only when they create a measurable advantage for a mission class.</w:t>
      </w:r>
    </w:p>
    <w:tbl>
      <w:tblPr>
        <w:tblW w:type="auto" w:w="0"/>
        <w:jc w:val="center"/>
        <w:tblLook w:firstColumn="1" w:firstRow="1" w:lastColumn="0" w:lastRow="0" w:noHBand="0" w:noVBand="1" w:val="04A0"/>
      </w:tblPr>
      <w:tblGrid>
        <w:gridCol w:w="10166"/>
      </w:tblGrid>
      <w:tr>
        <w:tc>
          <w:tcPr>
            <w:tcW w:type="dxa" w:w="10166"/>
            <w:shd w:fill="EEF3F8"/>
          </w:tcPr>
          <w:p>
            <w:pPr>
              <w:pStyle w:val="QuoteBox"/>
            </w:pPr>
            <w:r>
              <w:rPr>
                <w:b/>
              </w:rPr>
              <w:t xml:space="preserve">Priority principle — </w:t>
            </w:r>
            <w:r>
              <w:t>Trust and measurement must precede autonomous organizational evolution. Build the substrate that can prove whether a new organization is better before building mechanisms that automatically invent or mutate organizations.</w:t>
            </w:r>
          </w:p>
        </w:tc>
      </w:tr>
    </w:tbl>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CE5EF"/>
          </w:tcPr>
          <w:p>
            <w:pPr>
              <w:spacing w:after="0"/>
            </w:pPr>
            <w:r/>
            <w:r>
              <w:rPr>
                <w:rFonts w:ascii="Aptos" w:hAnsi="Aptos"/>
                <w:b/>
                <w:sz w:val="15"/>
              </w:rPr>
              <w:t>Rank</w:t>
            </w:r>
          </w:p>
        </w:tc>
        <w:tc>
          <w:tcPr>
            <w:tcW w:type="dxa" w:w="2541"/>
            <w:shd w:fill="DCE5EF"/>
          </w:tcPr>
          <w:p>
            <w:pPr>
              <w:spacing w:after="0"/>
            </w:pPr>
            <w:r/>
            <w:r>
              <w:rPr>
                <w:rFonts w:ascii="Aptos" w:hAnsi="Aptos"/>
                <w:b/>
                <w:sz w:val="15"/>
              </w:rPr>
              <w:t>Architecture</w:t>
            </w:r>
          </w:p>
        </w:tc>
        <w:tc>
          <w:tcPr>
            <w:tcW w:type="dxa" w:w="2541"/>
            <w:shd w:fill="DCE5EF"/>
          </w:tcPr>
          <w:p>
            <w:pPr>
              <w:spacing w:after="0"/>
            </w:pPr>
            <w:r/>
            <w:r>
              <w:rPr>
                <w:rFonts w:ascii="Aptos" w:hAnsi="Aptos"/>
                <w:b/>
                <w:sz w:val="15"/>
              </w:rPr>
              <w:t>Priority</w:t>
            </w:r>
          </w:p>
        </w:tc>
        <w:tc>
          <w:tcPr>
            <w:tcW w:type="dxa" w:w="2541"/>
            <w:shd w:fill="DCE5EF"/>
          </w:tcPr>
          <w:p>
            <w:pPr>
              <w:spacing w:after="0"/>
            </w:pPr>
            <w:r/>
            <w:r>
              <w:rPr>
                <w:rFonts w:ascii="Aptos" w:hAnsi="Aptos"/>
                <w:b/>
                <w:sz w:val="15"/>
              </w:rPr>
              <w:t>Why this order</w:t>
            </w:r>
          </w:p>
        </w:tc>
      </w:tr>
      <w:tr>
        <w:tc>
          <w:tcPr>
            <w:tcW w:type="dxa" w:w="2541"/>
            <w:vAlign w:val="top"/>
          </w:tcPr>
          <w:p>
            <w:pPr>
              <w:spacing w:after="0"/>
            </w:pPr>
            <w:r/>
            <w:r>
              <w:rPr>
                <w:rFonts w:ascii="Aptos" w:hAnsi="Aptos"/>
                <w:b w:val="0"/>
                <w:sz w:val="15"/>
              </w:rPr>
              <w:t>1</w:t>
            </w:r>
          </w:p>
        </w:tc>
        <w:tc>
          <w:tcPr>
            <w:tcW w:type="dxa" w:w="2541"/>
            <w:vAlign w:val="top"/>
          </w:tcPr>
          <w:p>
            <w:pPr>
              <w:spacing w:after="0"/>
            </w:pPr>
            <w:r/>
            <w:r>
              <w:rPr>
                <w:rFonts w:ascii="Aptos" w:hAnsi="Aptos"/>
                <w:b w:val="0"/>
                <w:sz w:val="15"/>
              </w:rPr>
              <w:t>Mission Hypergraph / Mesh</w:t>
            </w:r>
          </w:p>
        </w:tc>
        <w:tc>
          <w:tcPr>
            <w:tcW w:type="dxa" w:w="2541"/>
            <w:vAlign w:val="top"/>
          </w:tcPr>
          <w:p>
            <w:pPr>
              <w:spacing w:after="0"/>
            </w:pPr>
            <w:r/>
            <w:r>
              <w:rPr>
                <w:rFonts w:ascii="Aptos" w:hAnsi="Aptos"/>
                <w:b w:val="0"/>
                <w:sz w:val="15"/>
              </w:rPr>
              <w:t>P0</w:t>
            </w:r>
          </w:p>
        </w:tc>
        <w:tc>
          <w:tcPr>
            <w:tcW w:type="dxa" w:w="2541"/>
            <w:vAlign w:val="top"/>
          </w:tcPr>
          <w:p>
            <w:pPr>
              <w:spacing w:after="0"/>
            </w:pPr>
            <w:r/>
            <w:r>
              <w:rPr>
                <w:rFonts w:ascii="Aptos" w:hAnsi="Aptos"/>
                <w:b w:val="0"/>
                <w:sz w:val="15"/>
              </w:rPr>
              <w:t>Turns the existing DAG + handoffs + dependencies into a first-class mission model. Enables accurate status, critical-path analysis, task-local ownership, and future topology search.</w:t>
            </w:r>
          </w:p>
        </w:tc>
      </w:tr>
      <w:tr>
        <w:tc>
          <w:tcPr>
            <w:tcW w:type="dxa" w:w="2541"/>
            <w:vAlign w:val="top"/>
          </w:tcPr>
          <w:p>
            <w:pPr>
              <w:spacing w:after="0"/>
            </w:pPr>
            <w:r/>
            <w:r>
              <w:rPr>
                <w:rFonts w:ascii="Aptos" w:hAnsi="Aptos"/>
                <w:b w:val="0"/>
                <w:sz w:val="15"/>
              </w:rPr>
              <w:t>2</w:t>
            </w:r>
          </w:p>
        </w:tc>
        <w:tc>
          <w:tcPr>
            <w:tcW w:type="dxa" w:w="2541"/>
            <w:vAlign w:val="top"/>
          </w:tcPr>
          <w:p>
            <w:pPr>
              <w:spacing w:after="0"/>
            </w:pPr>
            <w:r/>
            <w:r>
              <w:rPr>
                <w:rFonts w:ascii="Aptos" w:hAnsi="Aptos"/>
                <w:b w:val="0"/>
                <w:sz w:val="15"/>
              </w:rPr>
              <w:t>Constitutional Institution / Type System</w:t>
            </w:r>
          </w:p>
        </w:tc>
        <w:tc>
          <w:tcPr>
            <w:tcW w:type="dxa" w:w="2541"/>
            <w:vAlign w:val="top"/>
          </w:tcPr>
          <w:p>
            <w:pPr>
              <w:spacing w:after="0"/>
            </w:pPr>
            <w:r/>
            <w:r>
              <w:rPr>
                <w:rFonts w:ascii="Aptos" w:hAnsi="Aptos"/>
                <w:b w:val="0"/>
                <w:sz w:val="15"/>
              </w:rPr>
              <w:t>P0</w:t>
            </w:r>
          </w:p>
        </w:tc>
        <w:tc>
          <w:tcPr>
            <w:tcW w:type="dxa" w:w="2541"/>
            <w:vAlign w:val="top"/>
          </w:tcPr>
          <w:p>
            <w:pPr>
              <w:spacing w:after="0"/>
            </w:pPr>
            <w:r/>
            <w:r>
              <w:rPr>
                <w:rFonts w:ascii="Aptos" w:hAnsi="Aptos"/>
                <w:b w:val="0"/>
                <w:sz w:val="15"/>
              </w:rPr>
              <w:t>Compiles permissions, evidence requirements, budgets, segregation-of-duty and gates. Converts safety/trust from prompt text into enforceable contracts.</w:t>
            </w:r>
          </w:p>
        </w:tc>
      </w:tr>
      <w:tr>
        <w:tc>
          <w:tcPr>
            <w:tcW w:type="dxa" w:w="2541"/>
            <w:vAlign w:val="top"/>
          </w:tcPr>
          <w:p>
            <w:pPr>
              <w:spacing w:after="0"/>
            </w:pPr>
            <w:r/>
            <w:r>
              <w:rPr>
                <w:rFonts w:ascii="Aptos" w:hAnsi="Aptos"/>
                <w:b w:val="0"/>
                <w:sz w:val="15"/>
              </w:rPr>
              <w:t>3</w:t>
            </w:r>
          </w:p>
        </w:tc>
        <w:tc>
          <w:tcPr>
            <w:tcW w:type="dxa" w:w="2541"/>
            <w:vAlign w:val="top"/>
          </w:tcPr>
          <w:p>
            <w:pPr>
              <w:spacing w:after="0"/>
            </w:pPr>
            <w:r/>
            <w:r>
              <w:rPr>
                <w:rFonts w:ascii="Aptos" w:hAnsi="Aptos"/>
                <w:b w:val="0"/>
                <w:sz w:val="15"/>
              </w:rPr>
              <w:t>Shadow Twin / Counterfactual Organization</w:t>
            </w:r>
          </w:p>
        </w:tc>
        <w:tc>
          <w:tcPr>
            <w:tcW w:type="dxa" w:w="2541"/>
            <w:vAlign w:val="top"/>
          </w:tcPr>
          <w:p>
            <w:pPr>
              <w:spacing w:after="0"/>
            </w:pPr>
            <w:r/>
            <w:r>
              <w:rPr>
                <w:rFonts w:ascii="Aptos" w:hAnsi="Aptos"/>
                <w:b w:val="0"/>
                <w:sz w:val="15"/>
              </w:rPr>
              <w:t>P0</w:t>
            </w:r>
          </w:p>
        </w:tc>
        <w:tc>
          <w:tcPr>
            <w:tcW w:type="dxa" w:w="2541"/>
            <w:vAlign w:val="top"/>
          </w:tcPr>
          <w:p>
            <w:pPr>
              <w:spacing w:after="0"/>
            </w:pPr>
            <w:r/>
            <w:r>
              <w:rPr>
                <w:rFonts w:ascii="Aptos" w:hAnsi="Aptos"/>
                <w:b w:val="0"/>
                <w:sz w:val="15"/>
              </w:rPr>
              <w:t>Safest route to compare new organizations against live work. Direct quality and trust value before any self-modification.</w:t>
            </w:r>
          </w:p>
        </w:tc>
      </w:tr>
      <w:tr>
        <w:tc>
          <w:tcPr>
            <w:tcW w:type="dxa" w:w="2541"/>
            <w:vAlign w:val="top"/>
          </w:tcPr>
          <w:p>
            <w:pPr>
              <w:spacing w:after="0"/>
            </w:pPr>
            <w:r/>
            <w:r>
              <w:rPr>
                <w:rFonts w:ascii="Aptos" w:hAnsi="Aptos"/>
                <w:b w:val="0"/>
                <w:sz w:val="15"/>
              </w:rPr>
              <w:t>4</w:t>
            </w:r>
          </w:p>
        </w:tc>
        <w:tc>
          <w:tcPr>
            <w:tcW w:type="dxa" w:w="2541"/>
            <w:vAlign w:val="top"/>
          </w:tcPr>
          <w:p>
            <w:pPr>
              <w:spacing w:after="0"/>
            </w:pPr>
            <w:r/>
            <w:r>
              <w:rPr>
                <w:rFonts w:ascii="Aptos" w:hAnsi="Aptos"/>
                <w:b w:val="0"/>
                <w:sz w:val="15"/>
              </w:rPr>
              <w:t>Collective Cognition / Global Workspace</w:t>
            </w:r>
          </w:p>
        </w:tc>
        <w:tc>
          <w:tcPr>
            <w:tcW w:type="dxa" w:w="2541"/>
            <w:vAlign w:val="top"/>
          </w:tcPr>
          <w:p>
            <w:pPr>
              <w:spacing w:after="0"/>
            </w:pPr>
            <w:r/>
            <w:r>
              <w:rPr>
                <w:rFonts w:ascii="Aptos" w:hAnsi="Aptos"/>
                <w:b w:val="0"/>
                <w:sz w:val="15"/>
              </w:rPr>
              <w:t>P0</w:t>
            </w:r>
          </w:p>
        </w:tc>
        <w:tc>
          <w:tcPr>
            <w:tcW w:type="dxa" w:w="2541"/>
            <w:vAlign w:val="top"/>
          </w:tcPr>
          <w:p>
            <w:pPr>
              <w:spacing w:after="0"/>
            </w:pPr>
            <w:r/>
            <w:r>
              <w:rPr>
                <w:rFonts w:ascii="Aptos" w:hAnsi="Aptos"/>
                <w:b w:val="0"/>
                <w:sz w:val="15"/>
              </w:rPr>
              <w:t>Controls cross-team context and makes decisive evidence, blockers and contradictions propagate without all-to-all transcript sharing.</w:t>
            </w:r>
          </w:p>
        </w:tc>
      </w:tr>
      <w:tr>
        <w:tc>
          <w:tcPr>
            <w:tcW w:type="dxa" w:w="2541"/>
            <w:vAlign w:val="top"/>
          </w:tcPr>
          <w:p>
            <w:pPr>
              <w:spacing w:after="0"/>
            </w:pPr>
            <w:r/>
            <w:r>
              <w:rPr>
                <w:rFonts w:ascii="Aptos" w:hAnsi="Aptos"/>
                <w:b w:val="0"/>
                <w:sz w:val="15"/>
              </w:rPr>
              <w:t>5</w:t>
            </w:r>
          </w:p>
        </w:tc>
        <w:tc>
          <w:tcPr>
            <w:tcW w:type="dxa" w:w="2541"/>
            <w:vAlign w:val="top"/>
          </w:tcPr>
          <w:p>
            <w:pPr>
              <w:spacing w:after="0"/>
            </w:pPr>
            <w:r/>
            <w:r>
              <w:rPr>
                <w:rFonts w:ascii="Aptos" w:hAnsi="Aptos"/>
                <w:b w:val="0"/>
                <w:sz w:val="15"/>
              </w:rPr>
              <w:t>Bounded Self-Hosting Reconciliation</w:t>
            </w:r>
          </w:p>
        </w:tc>
        <w:tc>
          <w:tcPr>
            <w:tcW w:type="dxa" w:w="2541"/>
            <w:vAlign w:val="top"/>
          </w:tcPr>
          <w:p>
            <w:pPr>
              <w:spacing w:after="0"/>
            </w:pPr>
            <w:r/>
            <w:r>
              <w:rPr>
                <w:rFonts w:ascii="Aptos" w:hAnsi="Aptos"/>
                <w:b w:val="0"/>
                <w:sz w:val="15"/>
              </w:rPr>
              <w:t>P0</w:t>
            </w:r>
          </w:p>
        </w:tc>
        <w:tc>
          <w:tcPr>
            <w:tcW w:type="dxa" w:w="2541"/>
            <w:vAlign w:val="top"/>
          </w:tcPr>
          <w:p>
            <w:pPr>
              <w:spacing w:after="0"/>
            </w:pPr>
            <w:r/>
            <w:r>
              <w:rPr>
                <w:rFonts w:ascii="Aptos" w:hAnsi="Aptos"/>
                <w:b w:val="0"/>
                <w:sz w:val="15"/>
              </w:rPr>
              <w:t>Start with quarantine, rollback, restart and route-to-last-certified-version. Improves Factory reliability without granting self-editing authority.</w:t>
            </w:r>
          </w:p>
        </w:tc>
      </w:tr>
      <w:tr>
        <w:tc>
          <w:tcPr>
            <w:tcW w:type="dxa" w:w="2541"/>
            <w:vAlign w:val="top"/>
          </w:tcPr>
          <w:p>
            <w:pPr>
              <w:spacing w:after="0"/>
            </w:pPr>
            <w:r/>
            <w:r>
              <w:rPr>
                <w:rFonts w:ascii="Aptos" w:hAnsi="Aptos"/>
                <w:b w:val="0"/>
                <w:sz w:val="15"/>
              </w:rPr>
              <w:t>6</w:t>
            </w:r>
          </w:p>
        </w:tc>
        <w:tc>
          <w:tcPr>
            <w:tcW w:type="dxa" w:w="2541"/>
            <w:vAlign w:val="top"/>
          </w:tcPr>
          <w:p>
            <w:pPr>
              <w:spacing w:after="0"/>
            </w:pPr>
            <w:r/>
            <w:r>
              <w:rPr>
                <w:rFonts w:ascii="Aptos" w:hAnsi="Aptos"/>
                <w:b w:val="0"/>
                <w:sz w:val="15"/>
              </w:rPr>
              <w:t>Recursive Holarchy / Viable Command</w:t>
            </w:r>
          </w:p>
        </w:tc>
        <w:tc>
          <w:tcPr>
            <w:tcW w:type="dxa" w:w="2541"/>
            <w:vAlign w:val="top"/>
          </w:tcPr>
          <w:p>
            <w:pPr>
              <w:spacing w:after="0"/>
            </w:pPr>
            <w:r/>
            <w:r>
              <w:rPr>
                <w:rFonts w:ascii="Aptos" w:hAnsi="Aptos"/>
                <w:b w:val="0"/>
                <w:sz w:val="15"/>
              </w:rPr>
              <w:t>P1</w:t>
            </w:r>
          </w:p>
        </w:tc>
        <w:tc>
          <w:tcPr>
            <w:tcW w:type="dxa" w:w="2541"/>
            <w:vAlign w:val="top"/>
          </w:tcPr>
          <w:p>
            <w:pPr>
              <w:spacing w:after="0"/>
            </w:pPr>
            <w:r/>
            <w:r>
              <w:rPr>
                <w:rFonts w:ascii="Aptos" w:hAnsi="Aptos"/>
                <w:b w:val="0"/>
                <w:sz w:val="15"/>
              </w:rPr>
              <w:t>Adds scalable local autonomy and recursive health/coordination functions once multiple armies/clients/domains are real.</w:t>
            </w:r>
          </w:p>
        </w:tc>
      </w:tr>
      <w:tr>
        <w:tc>
          <w:tcPr>
            <w:tcW w:type="dxa" w:w="2541"/>
            <w:vAlign w:val="top"/>
          </w:tcPr>
          <w:p>
            <w:pPr>
              <w:spacing w:after="0"/>
            </w:pPr>
            <w:r/>
            <w:r>
              <w:rPr>
                <w:rFonts w:ascii="Aptos" w:hAnsi="Aptos"/>
                <w:b w:val="0"/>
                <w:sz w:val="15"/>
              </w:rPr>
              <w:t>7</w:t>
            </w:r>
          </w:p>
        </w:tc>
        <w:tc>
          <w:tcPr>
            <w:tcW w:type="dxa" w:w="2541"/>
            <w:vAlign w:val="top"/>
          </w:tcPr>
          <w:p>
            <w:pPr>
              <w:spacing w:after="0"/>
            </w:pPr>
            <w:r/>
            <w:r>
              <w:rPr>
                <w:rFonts w:ascii="Aptos" w:hAnsi="Aptos"/>
                <w:b w:val="0"/>
                <w:sz w:val="15"/>
              </w:rPr>
              <w:t>Temporal Echelons</w:t>
            </w:r>
          </w:p>
        </w:tc>
        <w:tc>
          <w:tcPr>
            <w:tcW w:type="dxa" w:w="2541"/>
            <w:vAlign w:val="top"/>
          </w:tcPr>
          <w:p>
            <w:pPr>
              <w:spacing w:after="0"/>
            </w:pPr>
            <w:r/>
            <w:r>
              <w:rPr>
                <w:rFonts w:ascii="Aptos" w:hAnsi="Aptos"/>
                <w:b w:val="0"/>
                <w:sz w:val="15"/>
              </w:rPr>
              <w:t>P1</w:t>
            </w:r>
          </w:p>
        </w:tc>
        <w:tc>
          <w:tcPr>
            <w:tcW w:type="dxa" w:w="2541"/>
            <w:vAlign w:val="top"/>
          </w:tcPr>
          <w:p>
            <w:pPr>
              <w:spacing w:after="0"/>
            </w:pPr>
            <w:r/>
            <w:r>
              <w:rPr>
                <w:rFonts w:ascii="Aptos" w:hAnsi="Aptos"/>
                <w:b w:val="0"/>
                <w:sz w:val="15"/>
              </w:rPr>
              <w:t>Separates urgent execution, daily reliability and strategic research so long-horizon improvement does not interfere with production response.</w:t>
            </w:r>
          </w:p>
        </w:tc>
      </w:tr>
      <w:tr>
        <w:tc>
          <w:tcPr>
            <w:tcW w:type="dxa" w:w="2541"/>
            <w:vAlign w:val="top"/>
          </w:tcPr>
          <w:p>
            <w:pPr>
              <w:spacing w:after="0"/>
            </w:pPr>
            <w:r/>
            <w:r>
              <w:rPr>
                <w:rFonts w:ascii="Aptos" w:hAnsi="Aptos"/>
                <w:b w:val="0"/>
                <w:sz w:val="15"/>
              </w:rPr>
              <w:t>8</w:t>
            </w:r>
          </w:p>
        </w:tc>
        <w:tc>
          <w:tcPr>
            <w:tcW w:type="dxa" w:w="2541"/>
            <w:vAlign w:val="top"/>
          </w:tcPr>
          <w:p>
            <w:pPr>
              <w:spacing w:after="0"/>
            </w:pPr>
            <w:r/>
            <w:r>
              <w:rPr>
                <w:rFonts w:ascii="Aptos" w:hAnsi="Aptos"/>
                <w:b w:val="0"/>
                <w:sz w:val="15"/>
              </w:rPr>
              <w:t>Polycentric Federation</w:t>
            </w:r>
          </w:p>
        </w:tc>
        <w:tc>
          <w:tcPr>
            <w:tcW w:type="dxa" w:w="2541"/>
            <w:vAlign w:val="top"/>
          </w:tcPr>
          <w:p>
            <w:pPr>
              <w:spacing w:after="0"/>
            </w:pPr>
            <w:r/>
            <w:r>
              <w:rPr>
                <w:rFonts w:ascii="Aptos" w:hAnsi="Aptos"/>
                <w:b w:val="0"/>
                <w:sz w:val="15"/>
              </w:rPr>
              <w:t>P1</w:t>
            </w:r>
          </w:p>
        </w:tc>
        <w:tc>
          <w:tcPr>
            <w:tcW w:type="dxa" w:w="2541"/>
            <w:vAlign w:val="top"/>
          </w:tcPr>
          <w:p>
            <w:pPr>
              <w:spacing w:after="0"/>
            </w:pPr>
            <w:r/>
            <w:r>
              <w:rPr>
                <w:rFonts w:ascii="Aptos" w:hAnsi="Aptos"/>
                <w:b w:val="0"/>
                <w:sz w:val="15"/>
              </w:rPr>
              <w:t>Creates strong client/domain autonomy boundaries with shared protocols, claims and policy. Important as workload estate and client count grow.</w:t>
            </w:r>
          </w:p>
        </w:tc>
      </w:tr>
      <w:tr>
        <w:tc>
          <w:tcPr>
            <w:tcW w:type="dxa" w:w="2541"/>
            <w:vAlign w:val="top"/>
          </w:tcPr>
          <w:p>
            <w:pPr>
              <w:spacing w:after="0"/>
            </w:pPr>
            <w:r/>
            <w:r>
              <w:rPr>
                <w:rFonts w:ascii="Aptos" w:hAnsi="Aptos"/>
                <w:b w:val="0"/>
                <w:sz w:val="15"/>
              </w:rPr>
              <w:t>9</w:t>
            </w:r>
          </w:p>
        </w:tc>
        <w:tc>
          <w:tcPr>
            <w:tcW w:type="dxa" w:w="2541"/>
            <w:vAlign w:val="top"/>
          </w:tcPr>
          <w:p>
            <w:pPr>
              <w:spacing w:after="0"/>
            </w:pPr>
            <w:r/>
            <w:r>
              <w:rPr>
                <w:rFonts w:ascii="Aptos" w:hAnsi="Aptos"/>
                <w:b w:val="0"/>
                <w:sz w:val="15"/>
              </w:rPr>
              <w:t>Bicameral / Adversarial Governance</w:t>
            </w:r>
          </w:p>
        </w:tc>
        <w:tc>
          <w:tcPr>
            <w:tcW w:type="dxa" w:w="2541"/>
            <w:vAlign w:val="top"/>
          </w:tcPr>
          <w:p>
            <w:pPr>
              <w:spacing w:after="0"/>
            </w:pPr>
            <w:r/>
            <w:r>
              <w:rPr>
                <w:rFonts w:ascii="Aptos" w:hAnsi="Aptos"/>
                <w:b w:val="0"/>
                <w:sz w:val="15"/>
              </w:rPr>
              <w:t>P1</w:t>
            </w:r>
          </w:p>
        </w:tc>
        <w:tc>
          <w:tcPr>
            <w:tcW w:type="dxa" w:w="2541"/>
            <w:vAlign w:val="top"/>
          </w:tcPr>
          <w:p>
            <w:pPr>
              <w:spacing w:after="0"/>
            </w:pPr>
            <w:r/>
            <w:r>
              <w:rPr>
                <w:rFonts w:ascii="Aptos" w:hAnsi="Aptos"/>
                <w:b w:val="0"/>
                <w:sz w:val="15"/>
              </w:rPr>
              <w:t>Institutionalizes challenge for architecture, research and high-risk decisions. High trust benefit; selective use prevents latency explosion.</w:t>
            </w:r>
          </w:p>
        </w:tc>
      </w:tr>
      <w:tr>
        <w:tc>
          <w:tcPr>
            <w:tcW w:type="dxa" w:w="2541"/>
            <w:vAlign w:val="top"/>
          </w:tcPr>
          <w:p>
            <w:pPr>
              <w:spacing w:after="0"/>
            </w:pPr>
            <w:r/>
            <w:r>
              <w:rPr>
                <w:rFonts w:ascii="Aptos" w:hAnsi="Aptos"/>
                <w:b w:val="0"/>
                <w:sz w:val="15"/>
              </w:rPr>
              <w:t>10</w:t>
            </w:r>
          </w:p>
        </w:tc>
        <w:tc>
          <w:tcPr>
            <w:tcW w:type="dxa" w:w="2541"/>
            <w:vAlign w:val="top"/>
          </w:tcPr>
          <w:p>
            <w:pPr>
              <w:spacing w:after="0"/>
            </w:pPr>
            <w:r/>
            <w:r>
              <w:rPr>
                <w:rFonts w:ascii="Aptos" w:hAnsi="Aptos"/>
                <w:b w:val="0"/>
                <w:sz w:val="15"/>
              </w:rPr>
              <w:t>Capability Economy / Internal Market</w:t>
            </w:r>
          </w:p>
        </w:tc>
        <w:tc>
          <w:tcPr>
            <w:tcW w:type="dxa" w:w="2541"/>
            <w:vAlign w:val="top"/>
          </w:tcPr>
          <w:p>
            <w:pPr>
              <w:spacing w:after="0"/>
            </w:pPr>
            <w:r/>
            <w:r>
              <w:rPr>
                <w:rFonts w:ascii="Aptos" w:hAnsi="Aptos"/>
                <w:b w:val="0"/>
                <w:sz w:val="15"/>
              </w:rPr>
              <w:t>P2</w:t>
            </w:r>
          </w:p>
        </w:tc>
        <w:tc>
          <w:tcPr>
            <w:tcW w:type="dxa" w:w="2541"/>
            <w:vAlign w:val="top"/>
          </w:tcPr>
          <w:p>
            <w:pPr>
              <w:spacing w:after="0"/>
            </w:pPr>
            <w:r/>
            <w:r>
              <w:rPr>
                <w:rFonts w:ascii="Aptos" w:hAnsi="Aptos"/>
                <w:b w:val="0"/>
                <w:sz w:val="15"/>
              </w:rPr>
              <w:t>Useful only after many interchangeable certified teams exist and the Factory has trustworthy performance prediction and cost telemetry.</w:t>
            </w:r>
          </w:p>
        </w:tc>
      </w:tr>
      <w:tr>
        <w:tc>
          <w:tcPr>
            <w:tcW w:type="dxa" w:w="2541"/>
            <w:vAlign w:val="top"/>
          </w:tcPr>
          <w:p>
            <w:pPr>
              <w:spacing w:after="0"/>
            </w:pPr>
            <w:r/>
            <w:r>
              <w:rPr>
                <w:rFonts w:ascii="Aptos" w:hAnsi="Aptos"/>
                <w:b w:val="0"/>
                <w:sz w:val="15"/>
              </w:rPr>
              <w:t>11</w:t>
            </w:r>
          </w:p>
        </w:tc>
        <w:tc>
          <w:tcPr>
            <w:tcW w:type="dxa" w:w="2541"/>
            <w:vAlign w:val="top"/>
          </w:tcPr>
          <w:p>
            <w:pPr>
              <w:spacing w:after="0"/>
            </w:pPr>
            <w:r/>
            <w:r>
              <w:rPr>
                <w:rFonts w:ascii="Aptos" w:hAnsi="Aptos"/>
                <w:b w:val="0"/>
                <w:sz w:val="15"/>
              </w:rPr>
              <w:t>Evolutionary Ecology / Org Species</w:t>
            </w:r>
          </w:p>
        </w:tc>
        <w:tc>
          <w:tcPr>
            <w:tcW w:type="dxa" w:w="2541"/>
            <w:vAlign w:val="top"/>
          </w:tcPr>
          <w:p>
            <w:pPr>
              <w:spacing w:after="0"/>
            </w:pPr>
            <w:r/>
            <w:r>
              <w:rPr>
                <w:rFonts w:ascii="Aptos" w:hAnsi="Aptos"/>
                <w:b w:val="0"/>
                <w:sz w:val="15"/>
              </w:rPr>
              <w:t>P2</w:t>
            </w:r>
          </w:p>
        </w:tc>
        <w:tc>
          <w:tcPr>
            <w:tcW w:type="dxa" w:w="2541"/>
            <w:vAlign w:val="top"/>
          </w:tcPr>
          <w:p>
            <w:pPr>
              <w:spacing w:after="0"/>
            </w:pPr>
            <w:r/>
            <w:r>
              <w:rPr>
                <w:rFonts w:ascii="Aptos" w:hAnsi="Aptos"/>
                <w:b w:val="0"/>
                <w:sz w:val="15"/>
              </w:rPr>
              <w:t>High research upside, but depends on replayable evals, versioned Org-IR, shadow execution and anti-Goodhart controls.</w:t>
            </w:r>
          </w:p>
        </w:tc>
      </w:tr>
      <w:tr>
        <w:tc>
          <w:tcPr>
            <w:tcW w:type="dxa" w:w="2541"/>
            <w:vAlign w:val="top"/>
          </w:tcPr>
          <w:p>
            <w:pPr>
              <w:spacing w:after="0"/>
            </w:pPr>
            <w:r/>
            <w:r>
              <w:rPr>
                <w:rFonts w:ascii="Aptos" w:hAnsi="Aptos"/>
                <w:b w:val="0"/>
                <w:sz w:val="15"/>
              </w:rPr>
              <w:t>12</w:t>
            </w:r>
          </w:p>
        </w:tc>
        <w:tc>
          <w:tcPr>
            <w:tcW w:type="dxa" w:w="2541"/>
            <w:vAlign w:val="top"/>
          </w:tcPr>
          <w:p>
            <w:pPr>
              <w:spacing w:after="0"/>
            </w:pPr>
            <w:r/>
            <w:r>
              <w:rPr>
                <w:rFonts w:ascii="Aptos" w:hAnsi="Aptos"/>
                <w:b w:val="0"/>
                <w:sz w:val="15"/>
              </w:rPr>
              <w:t>Morphogenetic / Stigmergic Organization</w:t>
            </w:r>
          </w:p>
        </w:tc>
        <w:tc>
          <w:tcPr>
            <w:tcW w:type="dxa" w:w="2541"/>
            <w:vAlign w:val="top"/>
          </w:tcPr>
          <w:p>
            <w:pPr>
              <w:spacing w:after="0"/>
            </w:pPr>
            <w:r/>
            <w:r>
              <w:rPr>
                <w:rFonts w:ascii="Aptos" w:hAnsi="Aptos"/>
                <w:b w:val="0"/>
                <w:sz w:val="15"/>
              </w:rPr>
              <w:t>P3 Lab</w:t>
            </w:r>
          </w:p>
        </w:tc>
        <w:tc>
          <w:tcPr>
            <w:tcW w:type="dxa" w:w="2541"/>
            <w:vAlign w:val="top"/>
          </w:tcPr>
          <w:p>
            <w:pPr>
              <w:spacing w:after="0"/>
            </w:pPr>
            <w:r/>
            <w:r>
              <w:rPr>
                <w:rFonts w:ascii="Aptos" w:hAnsi="Aptos"/>
                <w:b w:val="0"/>
                <w:sz w:val="15"/>
              </w:rPr>
              <w:t>Most exploratory. Test in replay/sandbox after the mission graph and evaluation substrate can measure self-assembly and thrashing.</w:t>
            </w:r>
          </w:p>
        </w:tc>
      </w:tr>
    </w:tbl>
    <w:p>
      <w:pPr>
        <w:jc w:val="center"/>
      </w:pPr>
      <w:r>
        <w:drawing>
          <wp:inline xmlns:a="http://schemas.openxmlformats.org/drawingml/2006/main" xmlns:pic="http://schemas.openxmlformats.org/drawingml/2006/picture">
            <wp:extent cx="5760720" cy="3862552"/>
            <wp:docPr id="2" name="Picture 2"/>
            <wp:cNvGraphicFramePr>
              <a:graphicFrameLocks noChangeAspect="1"/>
            </wp:cNvGraphicFramePr>
            <a:graphic>
              <a:graphicData uri="http://schemas.openxmlformats.org/drawingml/2006/picture">
                <pic:pic>
                  <pic:nvPicPr>
                    <pic:cNvPr id="0" name="priority_stack.png"/>
                    <pic:cNvPicPr/>
                  </pic:nvPicPr>
                  <pic:blipFill>
                    <a:blip r:embed="rId10"/>
                    <a:stretch>
                      <a:fillRect/>
                    </a:stretch>
                  </pic:blipFill>
                  <pic:spPr>
                    <a:xfrm>
                      <a:off x="0" y="0"/>
                      <a:ext cx="5760720" cy="3862552"/>
                    </a:xfrm>
                    <a:prstGeom prst="rect"/>
                  </pic:spPr>
                </pic:pic>
              </a:graphicData>
            </a:graphic>
          </wp:inline>
        </w:drawing>
      </w:r>
    </w:p>
    <w:p>
      <w:pPr>
        <w:pStyle w:val="Small"/>
        <w:jc w:val="center"/>
      </w:pPr>
      <w:r>
        <w:t>Figure 2 — Recommended implementation stack: production assurance first; optimization and emergent organization later.</w:t>
      </w:r>
    </w:p>
    <w:p>
      <w:pPr>
        <w:pStyle w:val="Heading1"/>
        <w:keepNext/>
      </w:pPr>
      <w:r>
        <w:t>2. Grounding: current Agent Factory vision and operational reality</w:t>
      </w:r>
    </w:p>
    <w:p>
      <w:r>
        <w:t>The prioritization is based on the architecture already described in the Agent Factory Vision, plus the current project inventory established in prior Agent Factory work. These are treated as constraints, not as a greenfield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5"/>
              </w:rPr>
              <w:t>Area</w:t>
            </w:r>
          </w:p>
        </w:tc>
        <w:tc>
          <w:tcPr>
            <w:tcW w:type="dxa" w:w="5083"/>
            <w:shd w:fill="DCE5EF"/>
          </w:tcPr>
          <w:p>
            <w:pPr>
              <w:spacing w:after="0"/>
            </w:pPr>
            <w:r/>
            <w:r>
              <w:rPr>
                <w:rFonts w:ascii="Aptos" w:hAnsi="Aptos"/>
                <w:b/>
                <w:sz w:val="15"/>
              </w:rPr>
              <w:t>Current direction / constraint</w:t>
            </w:r>
          </w:p>
        </w:tc>
      </w:tr>
      <w:tr>
        <w:tc>
          <w:tcPr>
            <w:tcW w:type="dxa" w:w="5083"/>
            <w:vAlign w:val="top"/>
          </w:tcPr>
          <w:p>
            <w:pPr>
              <w:spacing w:after="0"/>
            </w:pPr>
            <w:r/>
            <w:r>
              <w:rPr>
                <w:rFonts w:ascii="Aptos" w:hAnsi="Aptos"/>
                <w:b w:val="0"/>
                <w:sz w:val="15"/>
              </w:rPr>
              <w:t>Platform shape</w:t>
            </w:r>
          </w:p>
        </w:tc>
        <w:tc>
          <w:tcPr>
            <w:tcW w:type="dxa" w:w="5083"/>
            <w:vAlign w:val="top"/>
          </w:tcPr>
          <w:p>
            <w:pPr>
              <w:spacing w:after="0"/>
            </w:pPr>
            <w:r/>
            <w:r>
              <w:rPr>
                <w:rFonts w:ascii="Aptos" w:hAnsi="Aptos"/>
                <w:b w:val="0"/>
                <w:sz w:val="15"/>
              </w:rPr>
              <w:t>Hybrid platform monorepo + federated workload repos. Agent Factory is the first production vertical of an Agentic Organization OS.</w:t>
            </w:r>
          </w:p>
        </w:tc>
      </w:tr>
      <w:tr>
        <w:tc>
          <w:tcPr>
            <w:tcW w:type="dxa" w:w="5083"/>
            <w:vAlign w:val="top"/>
          </w:tcPr>
          <w:p>
            <w:pPr>
              <w:spacing w:after="0"/>
            </w:pPr>
            <w:r/>
            <w:r>
              <w:rPr>
                <w:rFonts w:ascii="Aptos" w:hAnsi="Aptos"/>
                <w:b w:val="0"/>
                <w:sz w:val="15"/>
              </w:rPr>
              <w:t>Core platform components</w:t>
            </w:r>
          </w:p>
        </w:tc>
        <w:tc>
          <w:tcPr>
            <w:tcW w:type="dxa" w:w="5083"/>
            <w:vAlign w:val="top"/>
          </w:tcPr>
          <w:p>
            <w:pPr>
              <w:spacing w:after="0"/>
            </w:pPr>
            <w:r/>
            <w:r>
              <w:rPr>
                <w:rFonts w:ascii="Aptos" w:hAnsi="Aptos"/>
                <w:b w:val="0"/>
                <w:sz w:val="15"/>
              </w:rPr>
              <w:t>Orchestrator, context compiler, memory/knowledge broker, evaluation, simulation, capability registry, observability, Mission Control, Agent Factory, Org-IR, Collective Cognition.</w:t>
            </w:r>
          </w:p>
        </w:tc>
      </w:tr>
      <w:tr>
        <w:tc>
          <w:tcPr>
            <w:tcW w:type="dxa" w:w="5083"/>
            <w:vAlign w:val="top"/>
          </w:tcPr>
          <w:p>
            <w:pPr>
              <w:spacing w:after="0"/>
            </w:pPr>
            <w:r/>
            <w:r>
              <w:rPr>
                <w:rFonts w:ascii="Aptos" w:hAnsi="Aptos"/>
                <w:b w:val="0"/>
                <w:sz w:val="15"/>
              </w:rPr>
              <w:t>Execution model</w:t>
            </w:r>
          </w:p>
        </w:tc>
        <w:tc>
          <w:tcPr>
            <w:tcW w:type="dxa" w:w="5083"/>
            <w:vAlign w:val="top"/>
          </w:tcPr>
          <w:p>
            <w:pPr>
              <w:spacing w:after="0"/>
            </w:pPr>
            <w:r/>
            <w:r>
              <w:rPr>
                <w:rFonts w:ascii="Aptos" w:hAnsi="Aptos"/>
                <w:b w:val="0"/>
                <w:sz w:val="15"/>
              </w:rPr>
              <w:t>A hybrid deterministic + agentic mission pipeline with explicit stages and human gates; ambiguous synthesis belongs with agents while classification/gating should remain testable/deterministic.</w:t>
            </w:r>
          </w:p>
        </w:tc>
      </w:tr>
      <w:tr>
        <w:tc>
          <w:tcPr>
            <w:tcW w:type="dxa" w:w="5083"/>
            <w:vAlign w:val="top"/>
          </w:tcPr>
          <w:p>
            <w:pPr>
              <w:spacing w:after="0"/>
            </w:pPr>
            <w:r/>
            <w:r>
              <w:rPr>
                <w:rFonts w:ascii="Aptos" w:hAnsi="Aptos"/>
                <w:b w:val="0"/>
                <w:sz w:val="15"/>
              </w:rPr>
              <w:t>Versioning direction</w:t>
            </w:r>
          </w:p>
        </w:tc>
        <w:tc>
          <w:tcPr>
            <w:tcW w:type="dxa" w:w="5083"/>
            <w:vAlign w:val="top"/>
          </w:tcPr>
          <w:p>
            <w:pPr>
              <w:spacing w:after="0"/>
            </w:pPr>
            <w:r/>
            <w:r>
              <w:rPr>
                <w:rFonts w:ascii="Aptos" w:hAnsi="Aptos"/>
                <w:b w:val="0"/>
                <w:sz w:val="15"/>
              </w:rPr>
              <w:t>Agent, team, manager/command, army and organizational blueprints should become versioned and certifiable rather than implicit prompt/session state.</w:t>
            </w:r>
          </w:p>
        </w:tc>
      </w:tr>
      <w:tr>
        <w:tc>
          <w:tcPr>
            <w:tcW w:type="dxa" w:w="5083"/>
            <w:vAlign w:val="top"/>
          </w:tcPr>
          <w:p>
            <w:pPr>
              <w:spacing w:after="0"/>
            </w:pPr>
            <w:r/>
            <w:r>
              <w:rPr>
                <w:rFonts w:ascii="Aptos" w:hAnsi="Aptos"/>
                <w:b w:val="0"/>
                <w:sz w:val="15"/>
              </w:rPr>
              <w:t>Knowledge direction</w:t>
            </w:r>
          </w:p>
        </w:tc>
        <w:tc>
          <w:tcPr>
            <w:tcW w:type="dxa" w:w="5083"/>
            <w:vAlign w:val="top"/>
          </w:tcPr>
          <w:p>
            <w:pPr>
              <w:spacing w:after="0"/>
            </w:pPr>
            <w:r/>
            <w:r>
              <w:rPr>
                <w:rFonts w:ascii="Aptos" w:hAnsi="Aptos"/>
                <w:b w:val="0"/>
                <w:sz w:val="15"/>
              </w:rPr>
              <w:t>Shared permissioned historical knowledge with provenance, retrieval, contradiction handling, restructuring, and cross-team transfer.</w:t>
            </w:r>
          </w:p>
        </w:tc>
      </w:tr>
      <w:tr>
        <w:tc>
          <w:tcPr>
            <w:tcW w:type="dxa" w:w="5083"/>
            <w:vAlign w:val="top"/>
          </w:tcPr>
          <w:p>
            <w:pPr>
              <w:spacing w:after="0"/>
            </w:pPr>
            <w:r/>
            <w:r>
              <w:rPr>
                <w:rFonts w:ascii="Aptos" w:hAnsi="Aptos"/>
                <w:b w:val="0"/>
                <w:sz w:val="15"/>
              </w:rPr>
              <w:t>Evolution direction</w:t>
            </w:r>
          </w:p>
        </w:tc>
        <w:tc>
          <w:tcPr>
            <w:tcW w:type="dxa" w:w="5083"/>
            <w:vAlign w:val="top"/>
          </w:tcPr>
          <w:p>
            <w:pPr>
              <w:spacing w:after="0"/>
            </w:pPr>
            <w:r/>
            <w:r>
              <w:rPr>
                <w:rFonts w:ascii="Aptos" w:hAnsi="Aptos"/>
                <w:b w:val="0"/>
                <w:sz w:val="15"/>
              </w:rPr>
              <w:t>Presets/topologies should become candidates evaluated in simulation/replay, not static templates; research findings should feed an Evolution Chamber rather than auto-deploy.</w:t>
            </w:r>
          </w:p>
        </w:tc>
      </w:tr>
      <w:tr>
        <w:tc>
          <w:tcPr>
            <w:tcW w:type="dxa" w:w="5083"/>
            <w:vAlign w:val="top"/>
          </w:tcPr>
          <w:p>
            <w:pPr>
              <w:spacing w:after="0"/>
            </w:pPr>
            <w:r/>
            <w:r>
              <w:rPr>
                <w:rFonts w:ascii="Aptos" w:hAnsi="Aptos"/>
                <w:b w:val="0"/>
                <w:sz w:val="15"/>
              </w:rPr>
              <w:t>Self-maintenance direction</w:t>
            </w:r>
          </w:p>
        </w:tc>
        <w:tc>
          <w:tcPr>
            <w:tcW w:type="dxa" w:w="5083"/>
            <w:vAlign w:val="top"/>
          </w:tcPr>
          <w:p>
            <w:pPr>
              <w:spacing w:after="0"/>
            </w:pPr>
            <w:r/>
            <w:r>
              <w:rPr>
                <w:rFonts w:ascii="Aptos" w:hAnsi="Aptos"/>
                <w:b w:val="0"/>
                <w:sz w:val="15"/>
              </w:rPr>
              <w:t>Observe → diagnose → plan → evaluate → gate → canary → deploy → learn; Agent Factory itself becomes a client of its maintenance organizations.</w:t>
            </w:r>
          </w:p>
        </w:tc>
      </w:tr>
      <w:tr>
        <w:tc>
          <w:tcPr>
            <w:tcW w:type="dxa" w:w="5083"/>
            <w:vAlign w:val="top"/>
          </w:tcPr>
          <w:p>
            <w:pPr>
              <w:spacing w:after="0"/>
            </w:pPr>
            <w:r/>
            <w:r>
              <w:rPr>
                <w:rFonts w:ascii="Aptos" w:hAnsi="Aptos"/>
                <w:b w:val="0"/>
                <w:sz w:val="15"/>
              </w:rPr>
              <w:t>Research direction</w:t>
            </w:r>
          </w:p>
        </w:tc>
        <w:tc>
          <w:tcPr>
            <w:tcW w:type="dxa" w:w="5083"/>
            <w:vAlign w:val="top"/>
          </w:tcPr>
          <w:p>
            <w:pPr>
              <w:spacing w:after="0"/>
            </w:pPr>
            <w:r/>
            <w:r>
              <w:rPr>
                <w:rFonts w:ascii="Aptos" w:hAnsi="Aptos"/>
                <w:b w:val="0"/>
                <w:sz w:val="15"/>
              </w:rPr>
              <w:t>An Organizational Research Compiler / Research Army should map prior art, normalize evidence, attack novelty claims, propose experiments, and write structured knowledge back.</w:t>
            </w:r>
          </w:p>
        </w:tc>
      </w:tr>
      <w:tr>
        <w:tc>
          <w:tcPr>
            <w:tcW w:type="dxa" w:w="5083"/>
            <w:vAlign w:val="top"/>
          </w:tcPr>
          <w:p>
            <w:pPr>
              <w:spacing w:after="0"/>
            </w:pPr>
            <w:r/>
            <w:r>
              <w:rPr>
                <w:rFonts w:ascii="Aptos" w:hAnsi="Aptos"/>
                <w:b w:val="0"/>
                <w:sz w:val="15"/>
              </w:rPr>
              <w:t>Current gaps to close before frontier autonomy</w:t>
            </w:r>
          </w:p>
        </w:tc>
        <w:tc>
          <w:tcPr>
            <w:tcW w:type="dxa" w:w="5083"/>
            <w:vAlign w:val="top"/>
          </w:tcPr>
          <w:p>
            <w:pPr>
              <w:spacing w:after="0"/>
            </w:pPr>
            <w:r/>
            <w:r>
              <w:rPr>
                <w:rFonts w:ascii="Aptos" w:hAnsi="Aptos"/>
                <w:b w:val="0"/>
                <w:sz w:val="15"/>
              </w:rPr>
              <w:t>Per-change definition of green, team eval harness, declarative/versioned team blueprint, version pinning/lockfile, performance dashboard, stronger preflight/readiness, reliable monitoring, and an explicit organization-level success contract.</w:t>
            </w:r>
          </w:p>
        </w:tc>
      </w:tr>
    </w:tbl>
    <w:tbl>
      <w:tblPr>
        <w:tblW w:type="auto" w:w="0"/>
        <w:jc w:val="center"/>
        <w:tblLook w:firstColumn="1" w:firstRow="1" w:lastColumn="0" w:lastRow="0" w:noHBand="0" w:noVBand="1" w:val="04A0"/>
      </w:tblPr>
      <w:tblGrid>
        <w:gridCol w:w="10166"/>
      </w:tblGrid>
      <w:tr>
        <w:tc>
          <w:tcPr>
            <w:tcW w:type="dxa" w:w="10166"/>
            <w:shd w:fill="EEF3F8"/>
          </w:tcPr>
          <w:p>
            <w:pPr>
              <w:pStyle w:val="QuoteBox"/>
            </w:pPr>
            <w:r>
              <w:rPr>
                <w:b/>
              </w:rPr>
              <w:t xml:space="preserve">Why this matters — </w:t>
            </w:r>
            <w:r>
              <w:t>The highest-priority frontier architectures are the ones that strengthen missing contracts, evaluation, evidence flow and bounded recovery while fitting the current deterministic/agent hybrid. Architectures that require a mature fleet, rich outcome history or autonomous topology mutation are deliberately deferred.</w:t>
            </w:r>
          </w:p>
        </w:tc>
      </w:tr>
    </w:tbl>
    <w:p>
      <w:pPr>
        <w:pStyle w:val="Heading1"/>
        <w:keepNext/>
      </w:pPr>
      <w:r>
        <w:t>3. How an architecture creates business value</w:t>
      </w:r>
    </w:p>
    <w:p>
      <w:r>
        <w:t>Every experimental architecture should be justified through the same causal chain. If the chain cannot be stated and measured, the architecture belongs in research—not the product roadmap.</w:t>
      </w:r>
    </w:p>
    <w:p>
      <w:pPr>
        <w:jc w:val="center"/>
      </w:pPr>
      <w:r>
        <w:drawing>
          <wp:inline xmlns:a="http://schemas.openxmlformats.org/drawingml/2006/main" xmlns:pic="http://schemas.openxmlformats.org/drawingml/2006/picture">
            <wp:extent cx="5989320" cy="407179"/>
            <wp:docPr id="3" name="Picture 3"/>
            <wp:cNvGraphicFramePr>
              <a:graphicFrameLocks noChangeAspect="1"/>
            </wp:cNvGraphicFramePr>
            <a:graphic>
              <a:graphicData uri="http://schemas.openxmlformats.org/drawingml/2006/picture">
                <pic:pic>
                  <pic:nvPicPr>
                    <pic:cNvPr id="0" name="value_chain.png"/>
                    <pic:cNvPicPr/>
                  </pic:nvPicPr>
                  <pic:blipFill>
                    <a:blip r:embed="rId11"/>
                    <a:stretch>
                      <a:fillRect/>
                    </a:stretch>
                  </pic:blipFill>
                  <pic:spPr>
                    <a:xfrm>
                      <a:off x="0" y="0"/>
                      <a:ext cx="5989320" cy="407179"/>
                    </a:xfrm>
                    <a:prstGeom prst="rect"/>
                  </pic:spPr>
                </pic:pic>
              </a:graphicData>
            </a:graphic>
          </wp:inline>
        </w:drawing>
      </w:r>
    </w:p>
    <w:p>
      <w:pPr>
        <w:pStyle w:val="Small"/>
        <w:jc w:val="center"/>
      </w:pPr>
      <w:r>
        <w:t>Figure 3 — Required value chain from architectural mechanism to client-visible trust evidence.</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Value dimension</w:t>
            </w:r>
          </w:p>
        </w:tc>
        <w:tc>
          <w:tcPr>
            <w:tcW w:type="dxa" w:w="5083"/>
            <w:shd w:fill="DCE5EF"/>
          </w:tcPr>
          <w:p>
            <w:pPr>
              <w:spacing w:after="0"/>
            </w:pPr>
            <w:r/>
            <w:r>
              <w:rPr>
                <w:rFonts w:ascii="Aptos" w:hAnsi="Aptos"/>
                <w:b/>
                <w:sz w:val="16"/>
              </w:rPr>
              <w:t>Measure it with</w:t>
            </w:r>
          </w:p>
        </w:tc>
      </w:tr>
      <w:tr>
        <w:tc>
          <w:tcPr>
            <w:tcW w:type="dxa" w:w="5083"/>
            <w:vAlign w:val="top"/>
          </w:tcPr>
          <w:p>
            <w:pPr>
              <w:spacing w:after="0"/>
            </w:pPr>
            <w:r/>
            <w:r>
              <w:rPr>
                <w:rFonts w:ascii="Aptos" w:hAnsi="Aptos"/>
                <w:b w:val="0"/>
                <w:sz w:val="16"/>
              </w:rPr>
              <w:t>Business / commercial</w:t>
            </w:r>
          </w:p>
        </w:tc>
        <w:tc>
          <w:tcPr>
            <w:tcW w:type="dxa" w:w="5083"/>
            <w:vAlign w:val="top"/>
          </w:tcPr>
          <w:p>
            <w:pPr>
              <w:spacing w:after="0"/>
            </w:pPr>
            <w:r/>
            <w:r>
              <w:rPr>
                <w:rFonts w:ascii="Aptos" w:hAnsi="Aptos"/>
                <w:b w:val="0"/>
                <w:sz w:val="16"/>
              </w:rPr>
              <w:t>Accepted changes per engineer-week; cost per accepted change; onboarding lead time; gross-margin contribution; avoidable incident/rework cost; capacity without headcount growth.</w:t>
            </w:r>
          </w:p>
        </w:tc>
      </w:tr>
      <w:tr>
        <w:tc>
          <w:tcPr>
            <w:tcW w:type="dxa" w:w="5083"/>
            <w:vAlign w:val="top"/>
          </w:tcPr>
          <w:p>
            <w:pPr>
              <w:spacing w:after="0"/>
            </w:pPr>
            <w:r/>
            <w:r>
              <w:rPr>
                <w:rFonts w:ascii="Aptos" w:hAnsi="Aptos"/>
                <w:b w:val="0"/>
                <w:sz w:val="16"/>
              </w:rPr>
              <w:t>Performance / efficiency</w:t>
            </w:r>
          </w:p>
        </w:tc>
        <w:tc>
          <w:tcPr>
            <w:tcW w:type="dxa" w:w="5083"/>
            <w:vAlign w:val="top"/>
          </w:tcPr>
          <w:p>
            <w:pPr>
              <w:spacing w:after="0"/>
            </w:pPr>
            <w:r/>
            <w:r>
              <w:rPr>
                <w:rFonts w:ascii="Aptos" w:hAnsi="Aptos"/>
                <w:b w:val="0"/>
                <w:sz w:val="16"/>
              </w:rPr>
              <w:t>Time-to-green; time-to-first-useful-evidence; model/tool calls; execution latency; parallelism; queue time; MTTR; context/token volume.</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Eval pass rate; RED→GREEN proof; regression rate; escaped defects; rollback/rework rate; recurrence rate; first-pass success.</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Time-to-first-value; delivery predictability; SLA attainment; fewer clarification loops; status transparency; fewer surprises; responsiveness to incidents.</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Provenance coverage; pinned versions; replayability; evidence completeness; policy compliance; human-gate precision; rollback readiness; independent verification/disagreement visibility.</w:t>
            </w:r>
          </w:p>
        </w:tc>
      </w:tr>
      <w:tr>
        <w:tc>
          <w:tcPr>
            <w:tcW w:type="dxa" w:w="5083"/>
            <w:vAlign w:val="top"/>
          </w:tcPr>
          <w:p>
            <w:pPr>
              <w:spacing w:after="0"/>
            </w:pPr>
            <w:r/>
            <w:r>
              <w:rPr>
                <w:rFonts w:ascii="Aptos" w:hAnsi="Aptos"/>
                <w:b w:val="0"/>
                <w:sz w:val="16"/>
              </w:rPr>
              <w:t>Strategic leverage</w:t>
            </w:r>
          </w:p>
        </w:tc>
        <w:tc>
          <w:tcPr>
            <w:tcW w:type="dxa" w:w="5083"/>
            <w:vAlign w:val="top"/>
          </w:tcPr>
          <w:p>
            <w:pPr>
              <w:spacing w:after="0"/>
            </w:pPr>
            <w:r/>
            <w:r>
              <w:rPr>
                <w:rFonts w:ascii="Aptos" w:hAnsi="Aptos"/>
                <w:b w:val="0"/>
                <w:sz w:val="16"/>
              </w:rPr>
              <w:t>Reusability across clients/repos; data flywheel; ability to create new organizational presets; research learning rate; reduction in bespoke orchestration code.</w:t>
            </w:r>
          </w:p>
        </w:tc>
      </w:tr>
    </w:tbl>
    <w:p>
      <w:pPr>
        <w:pStyle w:val="Heading1"/>
        <w:keepNext/>
      </w:pPr>
      <w:r>
        <w:t>4. Scoring method</w:t>
      </w:r>
    </w:p>
    <w:p>
      <w:r>
        <w:t>Scores below are directional planning judgments, not measured ROI. They are intentionally separated from effort and evidence maturity so speculative frontier ideas do not outrank boring mechanisms that solve current reliability and trust problems.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5EF"/>
          </w:tcPr>
          <w:p>
            <w:pPr>
              <w:spacing w:after="0"/>
            </w:pPr>
            <w:r/>
            <w:r>
              <w:rPr>
                <w:rFonts w:ascii="Aptos" w:hAnsi="Aptos"/>
                <w:b/>
                <w:sz w:val="16"/>
              </w:rPr>
              <w:t>Dimension</w:t>
            </w:r>
          </w:p>
        </w:tc>
        <w:tc>
          <w:tcPr>
            <w:tcW w:type="dxa" w:w="3389"/>
            <w:shd w:fill="DCE5EF"/>
          </w:tcPr>
          <w:p>
            <w:pPr>
              <w:spacing w:after="0"/>
            </w:pPr>
            <w:r/>
            <w:r>
              <w:rPr>
                <w:rFonts w:ascii="Aptos" w:hAnsi="Aptos"/>
                <w:b/>
                <w:sz w:val="16"/>
              </w:rPr>
              <w:t>Weight</w:t>
            </w:r>
          </w:p>
        </w:tc>
        <w:tc>
          <w:tcPr>
            <w:tcW w:type="dxa" w:w="3389"/>
            <w:shd w:fill="DCE5EF"/>
          </w:tcPr>
          <w:p>
            <w:pPr>
              <w:spacing w:after="0"/>
            </w:pPr>
            <w:r/>
            <w:r>
              <w:rPr>
                <w:rFonts w:ascii="Aptos" w:hAnsi="Aptos"/>
                <w:b/>
                <w:sz w:val="16"/>
              </w:rPr>
              <w:t>Interpretation</w:t>
            </w:r>
          </w:p>
        </w:tc>
      </w:tr>
      <w:tr>
        <w:tc>
          <w:tcPr>
            <w:tcW w:type="dxa" w:w="3389"/>
            <w:vAlign w:val="top"/>
          </w:tcPr>
          <w:p>
            <w:pPr>
              <w:spacing w:after="0"/>
            </w:pPr>
            <w:r/>
            <w:r>
              <w:rPr>
                <w:rFonts w:ascii="Aptos" w:hAnsi="Aptos"/>
                <w:b w:val="0"/>
                <w:sz w:val="16"/>
              </w:rPr>
              <w:t>Business value</w:t>
            </w:r>
          </w:p>
        </w:tc>
        <w:tc>
          <w:tcPr>
            <w:tcW w:type="dxa" w:w="3389"/>
            <w:vAlign w:val="top"/>
          </w:tcPr>
          <w:p>
            <w:pPr>
              <w:spacing w:after="0"/>
            </w:pPr>
            <w:r/>
            <w:r>
              <w:rPr>
                <w:rFonts w:ascii="Aptos" w:hAnsi="Aptos"/>
                <w:b w:val="0"/>
                <w:sz w:val="16"/>
              </w:rPr>
              <w:t>20</w:t>
            </w:r>
          </w:p>
        </w:tc>
        <w:tc>
          <w:tcPr>
            <w:tcW w:type="dxa" w:w="3389"/>
            <w:vAlign w:val="top"/>
          </w:tcPr>
          <w:p>
            <w:pPr>
              <w:spacing w:after="0"/>
            </w:pPr>
            <w:r/>
            <w:r>
              <w:rPr>
                <w:rFonts w:ascii="Aptos" w:hAnsi="Aptos"/>
                <w:b w:val="0"/>
                <w:sz w:val="16"/>
              </w:rPr>
              <w:t>Revenue/capacity/margin/lead-time impact</w:t>
            </w:r>
          </w:p>
        </w:tc>
      </w:tr>
      <w:tr>
        <w:tc>
          <w:tcPr>
            <w:tcW w:type="dxa" w:w="3389"/>
            <w:vAlign w:val="top"/>
          </w:tcPr>
          <w:p>
            <w:pPr>
              <w:spacing w:after="0"/>
            </w:pPr>
            <w:r/>
            <w:r>
              <w:rPr>
                <w:rFonts w:ascii="Aptos" w:hAnsi="Aptos"/>
                <w:b w:val="0"/>
                <w:sz w:val="16"/>
              </w:rPr>
              <w:t>Performance</w:t>
            </w:r>
          </w:p>
        </w:tc>
        <w:tc>
          <w:tcPr>
            <w:tcW w:type="dxa" w:w="3389"/>
            <w:vAlign w:val="top"/>
          </w:tcPr>
          <w:p>
            <w:pPr>
              <w:spacing w:after="0"/>
            </w:pPr>
            <w:r/>
            <w:r>
              <w:rPr>
                <w:rFonts w:ascii="Aptos" w:hAnsi="Aptos"/>
                <w:b w:val="0"/>
                <w:sz w:val="16"/>
              </w:rPr>
              <w:t>15</w:t>
            </w:r>
          </w:p>
        </w:tc>
        <w:tc>
          <w:tcPr>
            <w:tcW w:type="dxa" w:w="3389"/>
            <w:vAlign w:val="top"/>
          </w:tcPr>
          <w:p>
            <w:pPr>
              <w:spacing w:after="0"/>
            </w:pPr>
            <w:r/>
            <w:r>
              <w:rPr>
                <w:rFonts w:ascii="Aptos" w:hAnsi="Aptos"/>
                <w:b w:val="0"/>
                <w:sz w:val="16"/>
              </w:rPr>
              <w:t>Speed/cost/throughput/coordination efficiency</w:t>
            </w:r>
          </w:p>
        </w:tc>
      </w:tr>
      <w:tr>
        <w:tc>
          <w:tcPr>
            <w:tcW w:type="dxa" w:w="3389"/>
            <w:vAlign w:val="top"/>
          </w:tcPr>
          <w:p>
            <w:pPr>
              <w:spacing w:after="0"/>
            </w:pPr>
            <w:r/>
            <w:r>
              <w:rPr>
                <w:rFonts w:ascii="Aptos" w:hAnsi="Aptos"/>
                <w:b w:val="0"/>
                <w:sz w:val="16"/>
              </w:rPr>
              <w:t>Quality</w:t>
            </w:r>
          </w:p>
        </w:tc>
        <w:tc>
          <w:tcPr>
            <w:tcW w:type="dxa" w:w="3389"/>
            <w:vAlign w:val="top"/>
          </w:tcPr>
          <w:p>
            <w:pPr>
              <w:spacing w:after="0"/>
            </w:pPr>
            <w:r/>
            <w:r>
              <w:rPr>
                <w:rFonts w:ascii="Aptos" w:hAnsi="Aptos"/>
                <w:b w:val="0"/>
                <w:sz w:val="16"/>
              </w:rPr>
              <w:t>20</w:t>
            </w:r>
          </w:p>
        </w:tc>
        <w:tc>
          <w:tcPr>
            <w:tcW w:type="dxa" w:w="3389"/>
            <w:vAlign w:val="top"/>
          </w:tcPr>
          <w:p>
            <w:pPr>
              <w:spacing w:after="0"/>
            </w:pPr>
            <w:r/>
            <w:r>
              <w:rPr>
                <w:rFonts w:ascii="Aptos" w:hAnsi="Aptos"/>
                <w:b w:val="0"/>
                <w:sz w:val="16"/>
              </w:rPr>
              <w:t>Correctness, regression and rework reduction</w:t>
            </w:r>
          </w:p>
        </w:tc>
      </w:tr>
      <w:tr>
        <w:tc>
          <w:tcPr>
            <w:tcW w:type="dxa" w:w="3389"/>
            <w:vAlign w:val="top"/>
          </w:tcPr>
          <w:p>
            <w:pPr>
              <w:spacing w:after="0"/>
            </w:pPr>
            <w:r/>
            <w:r>
              <w:rPr>
                <w:rFonts w:ascii="Aptos" w:hAnsi="Aptos"/>
                <w:b w:val="0"/>
                <w:sz w:val="16"/>
              </w:rPr>
              <w:t>Client satisfaction</w:t>
            </w:r>
          </w:p>
        </w:tc>
        <w:tc>
          <w:tcPr>
            <w:tcW w:type="dxa" w:w="3389"/>
            <w:vAlign w:val="top"/>
          </w:tcPr>
          <w:p>
            <w:pPr>
              <w:spacing w:after="0"/>
            </w:pPr>
            <w:r/>
            <w:r>
              <w:rPr>
                <w:rFonts w:ascii="Aptos" w:hAnsi="Aptos"/>
                <w:b w:val="0"/>
                <w:sz w:val="16"/>
              </w:rPr>
              <w:t>10</w:t>
            </w:r>
          </w:p>
        </w:tc>
        <w:tc>
          <w:tcPr>
            <w:tcW w:type="dxa" w:w="3389"/>
            <w:vAlign w:val="top"/>
          </w:tcPr>
          <w:p>
            <w:pPr>
              <w:spacing w:after="0"/>
            </w:pPr>
            <w:r/>
            <w:r>
              <w:rPr>
                <w:rFonts w:ascii="Aptos" w:hAnsi="Aptos"/>
                <w:b w:val="0"/>
                <w:sz w:val="16"/>
              </w:rPr>
              <w:t>Predictability, responsiveness and clarity</w:t>
            </w:r>
          </w:p>
        </w:tc>
      </w:tr>
      <w:tr>
        <w:tc>
          <w:tcPr>
            <w:tcW w:type="dxa" w:w="3389"/>
            <w:vAlign w:val="top"/>
          </w:tcPr>
          <w:p>
            <w:pPr>
              <w:spacing w:after="0"/>
            </w:pPr>
            <w:r/>
            <w:r>
              <w:rPr>
                <w:rFonts w:ascii="Aptos" w:hAnsi="Aptos"/>
                <w:b w:val="0"/>
                <w:sz w:val="16"/>
              </w:rPr>
              <w:t>Trust / safety</w:t>
            </w:r>
          </w:p>
        </w:tc>
        <w:tc>
          <w:tcPr>
            <w:tcW w:type="dxa" w:w="3389"/>
            <w:vAlign w:val="top"/>
          </w:tcPr>
          <w:p>
            <w:pPr>
              <w:spacing w:after="0"/>
            </w:pPr>
            <w:r/>
            <w:r>
              <w:rPr>
                <w:rFonts w:ascii="Aptos" w:hAnsi="Aptos"/>
                <w:b w:val="0"/>
                <w:sz w:val="16"/>
              </w:rPr>
              <w:t>15</w:t>
            </w:r>
          </w:p>
        </w:tc>
        <w:tc>
          <w:tcPr>
            <w:tcW w:type="dxa" w:w="3389"/>
            <w:vAlign w:val="top"/>
          </w:tcPr>
          <w:p>
            <w:pPr>
              <w:spacing w:after="0"/>
            </w:pPr>
            <w:r/>
            <w:r>
              <w:rPr>
                <w:rFonts w:ascii="Aptos" w:hAnsi="Aptos"/>
                <w:b w:val="0"/>
                <w:sz w:val="16"/>
              </w:rPr>
              <w:t>Evidence, governance, isolation and recovery</w:t>
            </w:r>
          </w:p>
        </w:tc>
      </w:tr>
      <w:tr>
        <w:tc>
          <w:tcPr>
            <w:tcW w:type="dxa" w:w="3389"/>
            <w:vAlign w:val="top"/>
          </w:tcPr>
          <w:p>
            <w:pPr>
              <w:spacing w:after="0"/>
            </w:pPr>
            <w:r/>
            <w:r>
              <w:rPr>
                <w:rFonts w:ascii="Aptos" w:hAnsi="Aptos"/>
                <w:b w:val="0"/>
                <w:sz w:val="16"/>
              </w:rPr>
              <w:t>Strategic leverage</w:t>
            </w:r>
          </w:p>
        </w:tc>
        <w:tc>
          <w:tcPr>
            <w:tcW w:type="dxa" w:w="3389"/>
            <w:vAlign w:val="top"/>
          </w:tcPr>
          <w:p>
            <w:pPr>
              <w:spacing w:after="0"/>
            </w:pPr>
            <w:r/>
            <w:r>
              <w:rPr>
                <w:rFonts w:ascii="Aptos" w:hAnsi="Aptos"/>
                <w:b w:val="0"/>
                <w:sz w:val="16"/>
              </w:rPr>
              <w:t>10</w:t>
            </w:r>
          </w:p>
        </w:tc>
        <w:tc>
          <w:tcPr>
            <w:tcW w:type="dxa" w:w="3389"/>
            <w:vAlign w:val="top"/>
          </w:tcPr>
          <w:p>
            <w:pPr>
              <w:spacing w:after="0"/>
            </w:pPr>
            <w:r/>
            <w:r>
              <w:rPr>
                <w:rFonts w:ascii="Aptos" w:hAnsi="Aptos"/>
                <w:b w:val="0"/>
                <w:sz w:val="16"/>
              </w:rPr>
              <w:t>Reusable substrate / compounding benefit</w:t>
            </w:r>
          </w:p>
        </w:tc>
      </w:tr>
      <w:tr>
        <w:tc>
          <w:tcPr>
            <w:tcW w:type="dxa" w:w="3389"/>
            <w:vAlign w:val="top"/>
          </w:tcPr>
          <w:p>
            <w:pPr>
              <w:spacing w:after="0"/>
            </w:pPr>
            <w:r/>
            <w:r>
              <w:rPr>
                <w:rFonts w:ascii="Aptos" w:hAnsi="Aptos"/>
                <w:b w:val="0"/>
                <w:sz w:val="16"/>
              </w:rPr>
              <w:t>Current-fit / dependency readiness</w:t>
            </w:r>
          </w:p>
        </w:tc>
        <w:tc>
          <w:tcPr>
            <w:tcW w:type="dxa" w:w="3389"/>
            <w:vAlign w:val="top"/>
          </w:tcPr>
          <w:p>
            <w:pPr>
              <w:spacing w:after="0"/>
            </w:pPr>
            <w:r/>
            <w:r>
              <w:rPr>
                <w:rFonts w:ascii="Aptos" w:hAnsi="Aptos"/>
                <w:b w:val="0"/>
                <w:sz w:val="16"/>
              </w:rPr>
              <w:t>10</w:t>
            </w:r>
          </w:p>
        </w:tc>
        <w:tc>
          <w:tcPr>
            <w:tcW w:type="dxa" w:w="3389"/>
            <w:vAlign w:val="top"/>
          </w:tcPr>
          <w:p>
            <w:pPr>
              <w:spacing w:after="0"/>
            </w:pPr>
            <w:r/>
            <w:r>
              <w:rPr>
                <w:rFonts w:ascii="Aptos" w:hAnsi="Aptos"/>
                <w:b w:val="0"/>
                <w:sz w:val="16"/>
              </w:rPr>
              <w:t>How well it fits what Agent Factory already has</w:t>
            </w:r>
          </w:p>
        </w:tc>
      </w:tr>
    </w:tbl>
    <w:p>
      <w:r>
        <w:t>Effort is scored separately from 1 (small) to 5 (large). Evidence maturity is Low / Medium / High based on prior art and how directly the effect can be validated in the current Factory.</w:t>
      </w:r>
    </w:p>
    <w:p>
      <w:pPr>
        <w:pStyle w:val="Heading1"/>
        <w:keepNext/>
      </w:pPr>
      <w:r>
        <w:t>5. Portfolio scorecard</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c>
          <w:tcPr>
            <w:tcW w:type="dxa" w:w="1017"/>
            <w:shd w:fill="DCE5EF"/>
          </w:tcPr>
          <w:p>
            <w:pPr>
              <w:spacing w:after="0"/>
            </w:pPr>
            <w:r/>
            <w:r>
              <w:rPr>
                <w:rFonts w:ascii="Aptos" w:hAnsi="Aptos"/>
                <w:b/>
                <w:sz w:val="13"/>
              </w:rPr>
              <w:t>Architecture</w:t>
            </w:r>
          </w:p>
        </w:tc>
        <w:tc>
          <w:tcPr>
            <w:tcW w:type="dxa" w:w="1017"/>
            <w:shd w:fill="DCE5EF"/>
          </w:tcPr>
          <w:p>
            <w:pPr>
              <w:spacing w:after="0"/>
            </w:pPr>
            <w:r/>
            <w:r>
              <w:rPr>
                <w:rFonts w:ascii="Aptos" w:hAnsi="Aptos"/>
                <w:b/>
                <w:sz w:val="13"/>
              </w:rPr>
              <w:t>Pri</w:t>
            </w:r>
          </w:p>
        </w:tc>
        <w:tc>
          <w:tcPr>
            <w:tcW w:type="dxa" w:w="1017"/>
            <w:shd w:fill="DCE5EF"/>
          </w:tcPr>
          <w:p>
            <w:pPr>
              <w:spacing w:after="0"/>
            </w:pPr>
            <w:r/>
            <w:r>
              <w:rPr>
                <w:rFonts w:ascii="Aptos" w:hAnsi="Aptos"/>
                <w:b/>
                <w:sz w:val="13"/>
              </w:rPr>
              <w:t>Value</w:t>
            </w:r>
          </w:p>
        </w:tc>
        <w:tc>
          <w:tcPr>
            <w:tcW w:type="dxa" w:w="1017"/>
            <w:shd w:fill="DCE5EF"/>
          </w:tcPr>
          <w:p>
            <w:pPr>
              <w:spacing w:after="0"/>
            </w:pPr>
            <w:r/>
            <w:r>
              <w:rPr>
                <w:rFonts w:ascii="Aptos" w:hAnsi="Aptos"/>
                <w:b/>
                <w:sz w:val="13"/>
              </w:rPr>
              <w:t>Business</w:t>
            </w:r>
          </w:p>
        </w:tc>
        <w:tc>
          <w:tcPr>
            <w:tcW w:type="dxa" w:w="1017"/>
            <w:shd w:fill="DCE5EF"/>
          </w:tcPr>
          <w:p>
            <w:pPr>
              <w:spacing w:after="0"/>
            </w:pPr>
            <w:r/>
            <w:r>
              <w:rPr>
                <w:rFonts w:ascii="Aptos" w:hAnsi="Aptos"/>
                <w:b/>
                <w:sz w:val="13"/>
              </w:rPr>
              <w:t>Perf</w:t>
            </w:r>
          </w:p>
        </w:tc>
        <w:tc>
          <w:tcPr>
            <w:tcW w:type="dxa" w:w="1017"/>
            <w:shd w:fill="DCE5EF"/>
          </w:tcPr>
          <w:p>
            <w:pPr>
              <w:spacing w:after="0"/>
            </w:pPr>
            <w:r/>
            <w:r>
              <w:rPr>
                <w:rFonts w:ascii="Aptos" w:hAnsi="Aptos"/>
                <w:b/>
                <w:sz w:val="13"/>
              </w:rPr>
              <w:t>Quality</w:t>
            </w:r>
          </w:p>
        </w:tc>
        <w:tc>
          <w:tcPr>
            <w:tcW w:type="dxa" w:w="1017"/>
            <w:shd w:fill="DCE5EF"/>
          </w:tcPr>
          <w:p>
            <w:pPr>
              <w:spacing w:after="0"/>
            </w:pPr>
            <w:r/>
            <w:r>
              <w:rPr>
                <w:rFonts w:ascii="Aptos" w:hAnsi="Aptos"/>
                <w:b/>
                <w:sz w:val="13"/>
              </w:rPr>
              <w:t>Client</w:t>
            </w:r>
          </w:p>
        </w:tc>
        <w:tc>
          <w:tcPr>
            <w:tcW w:type="dxa" w:w="1017"/>
            <w:shd w:fill="DCE5EF"/>
          </w:tcPr>
          <w:p>
            <w:pPr>
              <w:spacing w:after="0"/>
            </w:pPr>
            <w:r/>
            <w:r>
              <w:rPr>
                <w:rFonts w:ascii="Aptos" w:hAnsi="Aptos"/>
                <w:b/>
                <w:sz w:val="13"/>
              </w:rPr>
              <w:t>Trust</w:t>
            </w:r>
          </w:p>
        </w:tc>
        <w:tc>
          <w:tcPr>
            <w:tcW w:type="dxa" w:w="1017"/>
            <w:shd w:fill="DCE5EF"/>
          </w:tcPr>
          <w:p>
            <w:pPr>
              <w:spacing w:after="0"/>
            </w:pPr>
            <w:r/>
            <w:r>
              <w:rPr>
                <w:rFonts w:ascii="Aptos" w:hAnsi="Aptos"/>
                <w:b/>
                <w:sz w:val="13"/>
              </w:rPr>
              <w:t>Effort</w:t>
            </w:r>
          </w:p>
        </w:tc>
        <w:tc>
          <w:tcPr>
            <w:tcW w:type="dxa" w:w="1017"/>
            <w:shd w:fill="DCE5EF"/>
          </w:tcPr>
          <w:p>
            <w:pPr>
              <w:spacing w:after="0"/>
            </w:pPr>
            <w:r/>
            <w:r>
              <w:rPr>
                <w:rFonts w:ascii="Aptos" w:hAnsi="Aptos"/>
                <w:b/>
                <w:sz w:val="13"/>
              </w:rPr>
              <w:t>Evidence</w:t>
            </w:r>
          </w:p>
        </w:tc>
      </w:tr>
      <w:tr>
        <w:tc>
          <w:tcPr>
            <w:tcW w:type="dxa" w:w="1017"/>
            <w:vAlign w:val="top"/>
          </w:tcPr>
          <w:p>
            <w:pPr>
              <w:spacing w:after="0"/>
            </w:pPr>
            <w:r/>
            <w:r>
              <w:rPr>
                <w:rFonts w:ascii="Aptos" w:hAnsi="Aptos"/>
                <w:b w:val="0"/>
                <w:sz w:val="13"/>
              </w:rPr>
              <w:t>Mission Hypergraph / Mesh</w:t>
            </w:r>
          </w:p>
        </w:tc>
        <w:tc>
          <w:tcPr>
            <w:tcW w:type="dxa" w:w="1017"/>
            <w:vAlign w:val="top"/>
          </w:tcPr>
          <w:p>
            <w:pPr>
              <w:spacing w:after="0"/>
            </w:pPr>
            <w:r/>
            <w:r>
              <w:rPr>
                <w:rFonts w:ascii="Aptos" w:hAnsi="Aptos"/>
                <w:b w:val="0"/>
                <w:sz w:val="13"/>
              </w:rPr>
              <w:t>P0</w:t>
            </w:r>
          </w:p>
        </w:tc>
        <w:tc>
          <w:tcPr>
            <w:tcW w:type="dxa" w:w="1017"/>
            <w:vAlign w:val="top"/>
          </w:tcPr>
          <w:p>
            <w:pPr>
              <w:spacing w:after="0"/>
            </w:pPr>
            <w:r/>
            <w:r>
              <w:rPr>
                <w:rFonts w:ascii="Aptos" w:hAnsi="Aptos"/>
                <w:b w:val="0"/>
                <w:sz w:val="13"/>
              </w:rPr>
              <w:t>4.55/5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3</w:t>
            </w:r>
          </w:p>
        </w:tc>
        <w:tc>
          <w:tcPr>
            <w:tcW w:type="dxa" w:w="1017"/>
            <w:vAlign w:val="top"/>
          </w:tcPr>
          <w:p>
            <w:pPr>
              <w:spacing w:after="0"/>
            </w:pPr>
            <w:r/>
            <w:r>
              <w:rPr>
                <w:rFonts w:ascii="Aptos" w:hAnsi="Aptos"/>
                <w:b w:val="0"/>
                <w:sz w:val="13"/>
              </w:rPr>
              <w:t>High</w:t>
            </w:r>
          </w:p>
        </w:tc>
      </w:tr>
      <w:tr>
        <w:tc>
          <w:tcPr>
            <w:tcW w:type="dxa" w:w="1017"/>
            <w:vAlign w:val="top"/>
          </w:tcPr>
          <w:p>
            <w:pPr>
              <w:spacing w:after="0"/>
            </w:pPr>
            <w:r/>
            <w:r>
              <w:rPr>
                <w:rFonts w:ascii="Aptos" w:hAnsi="Aptos"/>
                <w:b w:val="0"/>
                <w:sz w:val="13"/>
              </w:rPr>
              <w:t>Constitutional Institution / Type System</w:t>
            </w:r>
          </w:p>
        </w:tc>
        <w:tc>
          <w:tcPr>
            <w:tcW w:type="dxa" w:w="1017"/>
            <w:vAlign w:val="top"/>
          </w:tcPr>
          <w:p>
            <w:pPr>
              <w:spacing w:after="0"/>
            </w:pPr>
            <w:r/>
            <w:r>
              <w:rPr>
                <w:rFonts w:ascii="Aptos" w:hAnsi="Aptos"/>
                <w:b w:val="0"/>
                <w:sz w:val="13"/>
              </w:rPr>
              <w:t>P0</w:t>
            </w:r>
          </w:p>
        </w:tc>
        <w:tc>
          <w:tcPr>
            <w:tcW w:type="dxa" w:w="1017"/>
            <w:vAlign w:val="top"/>
          </w:tcPr>
          <w:p>
            <w:pPr>
              <w:spacing w:after="0"/>
            </w:pPr>
            <w:r/>
            <w:r>
              <w:rPr>
                <w:rFonts w:ascii="Aptos" w:hAnsi="Aptos"/>
                <w:b w:val="0"/>
                <w:sz w:val="13"/>
              </w:rPr>
              <w:t>4.60/5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3</w:t>
            </w:r>
          </w:p>
        </w:tc>
        <w:tc>
          <w:tcPr>
            <w:tcW w:type="dxa" w:w="1017"/>
            <w:vAlign w:val="top"/>
          </w:tcPr>
          <w:p>
            <w:pPr>
              <w:spacing w:after="0"/>
            </w:pPr>
            <w:r/>
            <w:r>
              <w:rPr>
                <w:rFonts w:ascii="Aptos" w:hAnsi="Aptos"/>
                <w:b w:val="0"/>
                <w:sz w:val="13"/>
              </w:rPr>
              <w:t>High</w:t>
            </w:r>
          </w:p>
        </w:tc>
      </w:tr>
      <w:tr>
        <w:tc>
          <w:tcPr>
            <w:tcW w:type="dxa" w:w="1017"/>
            <w:vAlign w:val="top"/>
          </w:tcPr>
          <w:p>
            <w:pPr>
              <w:spacing w:after="0"/>
            </w:pPr>
            <w:r/>
            <w:r>
              <w:rPr>
                <w:rFonts w:ascii="Aptos" w:hAnsi="Aptos"/>
                <w:b w:val="0"/>
                <w:sz w:val="13"/>
              </w:rPr>
              <w:t>Shadow Twin / Counterfactual Organization</w:t>
            </w:r>
          </w:p>
        </w:tc>
        <w:tc>
          <w:tcPr>
            <w:tcW w:type="dxa" w:w="1017"/>
            <w:vAlign w:val="top"/>
          </w:tcPr>
          <w:p>
            <w:pPr>
              <w:spacing w:after="0"/>
            </w:pPr>
            <w:r/>
            <w:r>
              <w:rPr>
                <w:rFonts w:ascii="Aptos" w:hAnsi="Aptos"/>
                <w:b w:val="0"/>
                <w:sz w:val="13"/>
              </w:rPr>
              <w:t>P0</w:t>
            </w:r>
          </w:p>
        </w:tc>
        <w:tc>
          <w:tcPr>
            <w:tcW w:type="dxa" w:w="1017"/>
            <w:vAlign w:val="top"/>
          </w:tcPr>
          <w:p>
            <w:pPr>
              <w:spacing w:after="0"/>
            </w:pPr>
            <w:r/>
            <w:r>
              <w:rPr>
                <w:rFonts w:ascii="Aptos" w:hAnsi="Aptos"/>
                <w:b w:val="0"/>
                <w:sz w:val="13"/>
              </w:rPr>
              <w:t>4.45/5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3</w:t>
            </w:r>
          </w:p>
        </w:tc>
        <w:tc>
          <w:tcPr>
            <w:tcW w:type="dxa" w:w="1017"/>
            <w:vAlign w:val="top"/>
          </w:tcPr>
          <w:p>
            <w:pPr>
              <w:spacing w:after="0"/>
            </w:pPr>
            <w:r/>
            <w:r>
              <w:rPr>
                <w:rFonts w:ascii="Aptos" w:hAnsi="Aptos"/>
                <w:b w:val="0"/>
                <w:sz w:val="13"/>
              </w:rPr>
              <w:t>High</w:t>
            </w:r>
          </w:p>
        </w:tc>
      </w:tr>
      <w:tr>
        <w:tc>
          <w:tcPr>
            <w:tcW w:type="dxa" w:w="1017"/>
            <w:vAlign w:val="top"/>
          </w:tcPr>
          <w:p>
            <w:pPr>
              <w:spacing w:after="0"/>
            </w:pPr>
            <w:r/>
            <w:r>
              <w:rPr>
                <w:rFonts w:ascii="Aptos" w:hAnsi="Aptos"/>
                <w:b w:val="0"/>
                <w:sz w:val="13"/>
              </w:rPr>
              <w:t>Collective Cognition / Global Workspace</w:t>
            </w:r>
          </w:p>
        </w:tc>
        <w:tc>
          <w:tcPr>
            <w:tcW w:type="dxa" w:w="1017"/>
            <w:vAlign w:val="top"/>
          </w:tcPr>
          <w:p>
            <w:pPr>
              <w:spacing w:after="0"/>
            </w:pPr>
            <w:r/>
            <w:r>
              <w:rPr>
                <w:rFonts w:ascii="Aptos" w:hAnsi="Aptos"/>
                <w:b w:val="0"/>
                <w:sz w:val="13"/>
              </w:rPr>
              <w:t>P0</w:t>
            </w:r>
          </w:p>
        </w:tc>
        <w:tc>
          <w:tcPr>
            <w:tcW w:type="dxa" w:w="1017"/>
            <w:vAlign w:val="top"/>
          </w:tcPr>
          <w:p>
            <w:pPr>
              <w:spacing w:after="0"/>
            </w:pPr>
            <w:r/>
            <w:r>
              <w:rPr>
                <w:rFonts w:ascii="Aptos" w:hAnsi="Aptos"/>
                <w:b w:val="0"/>
                <w:sz w:val="13"/>
              </w:rPr>
              <w:t>4.60/5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3</w:t>
            </w:r>
          </w:p>
        </w:tc>
        <w:tc>
          <w:tcPr>
            <w:tcW w:type="dxa" w:w="1017"/>
            <w:vAlign w:val="top"/>
          </w:tcPr>
          <w:p>
            <w:pPr>
              <w:spacing w:after="0"/>
            </w:pPr>
            <w:r/>
            <w:r>
              <w:rPr>
                <w:rFonts w:ascii="Aptos" w:hAnsi="Aptos"/>
                <w:b w:val="0"/>
                <w:sz w:val="13"/>
              </w:rPr>
              <w:t>High</w:t>
            </w:r>
          </w:p>
        </w:tc>
      </w:tr>
      <w:tr>
        <w:tc>
          <w:tcPr>
            <w:tcW w:type="dxa" w:w="1017"/>
            <w:vAlign w:val="top"/>
          </w:tcPr>
          <w:p>
            <w:pPr>
              <w:spacing w:after="0"/>
            </w:pPr>
            <w:r/>
            <w:r>
              <w:rPr>
                <w:rFonts w:ascii="Aptos" w:hAnsi="Aptos"/>
                <w:b w:val="0"/>
                <w:sz w:val="13"/>
              </w:rPr>
              <w:t>Bounded Self-Hosting Reconciliation</w:t>
            </w:r>
          </w:p>
        </w:tc>
        <w:tc>
          <w:tcPr>
            <w:tcW w:type="dxa" w:w="1017"/>
            <w:vAlign w:val="top"/>
          </w:tcPr>
          <w:p>
            <w:pPr>
              <w:spacing w:after="0"/>
            </w:pPr>
            <w:r/>
            <w:r>
              <w:rPr>
                <w:rFonts w:ascii="Aptos" w:hAnsi="Aptos"/>
                <w:b w:val="0"/>
                <w:sz w:val="13"/>
              </w:rPr>
              <w:t>P0</w:t>
            </w:r>
          </w:p>
        </w:tc>
        <w:tc>
          <w:tcPr>
            <w:tcW w:type="dxa" w:w="1017"/>
            <w:vAlign w:val="top"/>
          </w:tcPr>
          <w:p>
            <w:pPr>
              <w:spacing w:after="0"/>
            </w:pPr>
            <w:r/>
            <w:r>
              <w:rPr>
                <w:rFonts w:ascii="Aptos" w:hAnsi="Aptos"/>
                <w:b w:val="0"/>
                <w:sz w:val="13"/>
              </w:rPr>
              <w:t>4.75/5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4</w:t>
            </w:r>
          </w:p>
        </w:tc>
        <w:tc>
          <w:tcPr>
            <w:tcW w:type="dxa" w:w="1017"/>
            <w:vAlign w:val="top"/>
          </w:tcPr>
          <w:p>
            <w:pPr>
              <w:spacing w:after="0"/>
            </w:pPr>
            <w:r/>
            <w:r>
              <w:rPr>
                <w:rFonts w:ascii="Aptos" w:hAnsi="Aptos"/>
                <w:b w:val="0"/>
                <w:sz w:val="13"/>
              </w:rPr>
              <w:t>High</w:t>
            </w:r>
          </w:p>
        </w:tc>
      </w:tr>
      <w:tr>
        <w:tc>
          <w:tcPr>
            <w:tcW w:type="dxa" w:w="1017"/>
            <w:vAlign w:val="top"/>
          </w:tcPr>
          <w:p>
            <w:pPr>
              <w:spacing w:after="0"/>
            </w:pPr>
            <w:r/>
            <w:r>
              <w:rPr>
                <w:rFonts w:ascii="Aptos" w:hAnsi="Aptos"/>
                <w:b w:val="0"/>
                <w:sz w:val="13"/>
              </w:rPr>
              <w:t>Recursive Holarchy / Viable Command</w:t>
            </w:r>
          </w:p>
        </w:tc>
        <w:tc>
          <w:tcPr>
            <w:tcW w:type="dxa" w:w="1017"/>
            <w:vAlign w:val="top"/>
          </w:tcPr>
          <w:p>
            <w:pPr>
              <w:spacing w:after="0"/>
            </w:pPr>
            <w:r/>
            <w:r>
              <w:rPr>
                <w:rFonts w:ascii="Aptos" w:hAnsi="Aptos"/>
                <w:b w:val="0"/>
                <w:sz w:val="13"/>
              </w:rPr>
              <w:t>P1</w:t>
            </w:r>
          </w:p>
        </w:tc>
        <w:tc>
          <w:tcPr>
            <w:tcW w:type="dxa" w:w="1017"/>
            <w:vAlign w:val="top"/>
          </w:tcPr>
          <w:p>
            <w:pPr>
              <w:spacing w:after="0"/>
            </w:pPr>
            <w:r/>
            <w:r>
              <w:rPr>
                <w:rFonts w:ascii="Aptos" w:hAnsi="Aptos"/>
                <w:b w:val="0"/>
                <w:sz w:val="13"/>
              </w:rPr>
              <w:t>4.00/5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4</w:t>
            </w:r>
          </w:p>
        </w:tc>
        <w:tc>
          <w:tcPr>
            <w:tcW w:type="dxa" w:w="1017"/>
            <w:vAlign w:val="top"/>
          </w:tcPr>
          <w:p>
            <w:pPr>
              <w:spacing w:after="0"/>
            </w:pPr>
            <w:r/>
            <w:r>
              <w:rPr>
                <w:rFonts w:ascii="Aptos" w:hAnsi="Aptos"/>
                <w:b w:val="0"/>
                <w:sz w:val="13"/>
              </w:rPr>
              <w:t>Medium</w:t>
            </w:r>
          </w:p>
        </w:tc>
      </w:tr>
      <w:tr>
        <w:tc>
          <w:tcPr>
            <w:tcW w:type="dxa" w:w="1017"/>
            <w:vAlign w:val="top"/>
          </w:tcPr>
          <w:p>
            <w:pPr>
              <w:spacing w:after="0"/>
            </w:pPr>
            <w:r/>
            <w:r>
              <w:rPr>
                <w:rFonts w:ascii="Aptos" w:hAnsi="Aptos"/>
                <w:b w:val="0"/>
                <w:sz w:val="13"/>
              </w:rPr>
              <w:t>Temporal Echelons</w:t>
            </w:r>
          </w:p>
        </w:tc>
        <w:tc>
          <w:tcPr>
            <w:tcW w:type="dxa" w:w="1017"/>
            <w:vAlign w:val="top"/>
          </w:tcPr>
          <w:p>
            <w:pPr>
              <w:spacing w:after="0"/>
            </w:pPr>
            <w:r/>
            <w:r>
              <w:rPr>
                <w:rFonts w:ascii="Aptos" w:hAnsi="Aptos"/>
                <w:b w:val="0"/>
                <w:sz w:val="13"/>
              </w:rPr>
              <w:t>P1</w:t>
            </w:r>
          </w:p>
        </w:tc>
        <w:tc>
          <w:tcPr>
            <w:tcW w:type="dxa" w:w="1017"/>
            <w:vAlign w:val="top"/>
          </w:tcPr>
          <w:p>
            <w:pPr>
              <w:spacing w:after="0"/>
            </w:pPr>
            <w:r/>
            <w:r>
              <w:rPr>
                <w:rFonts w:ascii="Aptos" w:hAnsi="Aptos"/>
                <w:b w:val="0"/>
                <w:sz w:val="13"/>
              </w:rPr>
              <w:t>4.00/5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3</w:t>
            </w:r>
          </w:p>
        </w:tc>
        <w:tc>
          <w:tcPr>
            <w:tcW w:type="dxa" w:w="1017"/>
            <w:vAlign w:val="top"/>
          </w:tcPr>
          <w:p>
            <w:pPr>
              <w:spacing w:after="0"/>
            </w:pPr>
            <w:r/>
            <w:r>
              <w:rPr>
                <w:rFonts w:ascii="Aptos" w:hAnsi="Aptos"/>
                <w:b w:val="0"/>
                <w:sz w:val="13"/>
              </w:rPr>
              <w:t>Medium</w:t>
            </w:r>
          </w:p>
        </w:tc>
      </w:tr>
      <w:tr>
        <w:tc>
          <w:tcPr>
            <w:tcW w:type="dxa" w:w="1017"/>
            <w:vAlign w:val="top"/>
          </w:tcPr>
          <w:p>
            <w:pPr>
              <w:spacing w:after="0"/>
            </w:pPr>
            <w:r/>
            <w:r>
              <w:rPr>
                <w:rFonts w:ascii="Aptos" w:hAnsi="Aptos"/>
                <w:b w:val="0"/>
                <w:sz w:val="13"/>
              </w:rPr>
              <w:t>Polycentric Federation</w:t>
            </w:r>
          </w:p>
        </w:tc>
        <w:tc>
          <w:tcPr>
            <w:tcW w:type="dxa" w:w="1017"/>
            <w:vAlign w:val="top"/>
          </w:tcPr>
          <w:p>
            <w:pPr>
              <w:spacing w:after="0"/>
            </w:pPr>
            <w:r/>
            <w:r>
              <w:rPr>
                <w:rFonts w:ascii="Aptos" w:hAnsi="Aptos"/>
                <w:b w:val="0"/>
                <w:sz w:val="13"/>
              </w:rPr>
              <w:t>P1</w:t>
            </w:r>
          </w:p>
        </w:tc>
        <w:tc>
          <w:tcPr>
            <w:tcW w:type="dxa" w:w="1017"/>
            <w:vAlign w:val="top"/>
          </w:tcPr>
          <w:p>
            <w:pPr>
              <w:spacing w:after="0"/>
            </w:pPr>
            <w:r/>
            <w:r>
              <w:rPr>
                <w:rFonts w:ascii="Aptos" w:hAnsi="Aptos"/>
                <w:b w:val="0"/>
                <w:sz w:val="13"/>
              </w:rPr>
              <w:t>4.45/5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4</w:t>
            </w:r>
          </w:p>
        </w:tc>
        <w:tc>
          <w:tcPr>
            <w:tcW w:type="dxa" w:w="1017"/>
            <w:vAlign w:val="top"/>
          </w:tcPr>
          <w:p>
            <w:pPr>
              <w:spacing w:after="0"/>
            </w:pPr>
            <w:r/>
            <w:r>
              <w:rPr>
                <w:rFonts w:ascii="Aptos" w:hAnsi="Aptos"/>
                <w:b w:val="0"/>
                <w:sz w:val="13"/>
              </w:rPr>
              <w:t>High</w:t>
            </w:r>
          </w:p>
        </w:tc>
      </w:tr>
      <w:tr>
        <w:tc>
          <w:tcPr>
            <w:tcW w:type="dxa" w:w="1017"/>
            <w:vAlign w:val="top"/>
          </w:tcPr>
          <w:p>
            <w:pPr>
              <w:spacing w:after="0"/>
            </w:pPr>
            <w:r/>
            <w:r>
              <w:rPr>
                <w:rFonts w:ascii="Aptos" w:hAnsi="Aptos"/>
                <w:b w:val="0"/>
                <w:sz w:val="13"/>
              </w:rPr>
              <w:t>Bicameral / Adversarial Governance</w:t>
            </w:r>
          </w:p>
        </w:tc>
        <w:tc>
          <w:tcPr>
            <w:tcW w:type="dxa" w:w="1017"/>
            <w:vAlign w:val="top"/>
          </w:tcPr>
          <w:p>
            <w:pPr>
              <w:spacing w:after="0"/>
            </w:pPr>
            <w:r/>
            <w:r>
              <w:rPr>
                <w:rFonts w:ascii="Aptos" w:hAnsi="Aptos"/>
                <w:b w:val="0"/>
                <w:sz w:val="13"/>
              </w:rPr>
              <w:t>P1</w:t>
            </w:r>
          </w:p>
        </w:tc>
        <w:tc>
          <w:tcPr>
            <w:tcW w:type="dxa" w:w="1017"/>
            <w:vAlign w:val="top"/>
          </w:tcPr>
          <w:p>
            <w:pPr>
              <w:spacing w:after="0"/>
            </w:pPr>
            <w:r/>
            <w:r>
              <w:rPr>
                <w:rFonts w:ascii="Aptos" w:hAnsi="Aptos"/>
                <w:b w:val="0"/>
                <w:sz w:val="13"/>
              </w:rPr>
              <w:t>4.05/5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2</w:t>
            </w:r>
          </w:p>
        </w:tc>
        <w:tc>
          <w:tcPr>
            <w:tcW w:type="dxa" w:w="1017"/>
            <w:vAlign w:val="top"/>
          </w:tcPr>
          <w:p>
            <w:pPr>
              <w:spacing w:after="0"/>
            </w:pPr>
            <w:r/>
            <w:r>
              <w:rPr>
                <w:rFonts w:ascii="Aptos" w:hAnsi="Aptos"/>
                <w:b w:val="0"/>
                <w:sz w:val="13"/>
              </w:rPr>
              <w:t>High</w:t>
            </w:r>
          </w:p>
        </w:tc>
      </w:tr>
      <w:tr>
        <w:tc>
          <w:tcPr>
            <w:tcW w:type="dxa" w:w="1017"/>
            <w:vAlign w:val="top"/>
          </w:tcPr>
          <w:p>
            <w:pPr>
              <w:spacing w:after="0"/>
            </w:pPr>
            <w:r/>
            <w:r>
              <w:rPr>
                <w:rFonts w:ascii="Aptos" w:hAnsi="Aptos"/>
                <w:b w:val="0"/>
                <w:sz w:val="13"/>
              </w:rPr>
              <w:t>Capability Economy / Internal Market</w:t>
            </w:r>
          </w:p>
        </w:tc>
        <w:tc>
          <w:tcPr>
            <w:tcW w:type="dxa" w:w="1017"/>
            <w:vAlign w:val="top"/>
          </w:tcPr>
          <w:p>
            <w:pPr>
              <w:spacing w:after="0"/>
            </w:pPr>
            <w:r/>
            <w:r>
              <w:rPr>
                <w:rFonts w:ascii="Aptos" w:hAnsi="Aptos"/>
                <w:b w:val="0"/>
                <w:sz w:val="13"/>
              </w:rPr>
              <w:t>P2</w:t>
            </w:r>
          </w:p>
        </w:tc>
        <w:tc>
          <w:tcPr>
            <w:tcW w:type="dxa" w:w="1017"/>
            <w:vAlign w:val="top"/>
          </w:tcPr>
          <w:p>
            <w:pPr>
              <w:spacing w:after="0"/>
            </w:pPr>
            <w:r/>
            <w:r>
              <w:rPr>
                <w:rFonts w:ascii="Aptos" w:hAnsi="Aptos"/>
                <w:b w:val="0"/>
                <w:sz w:val="13"/>
              </w:rPr>
              <w:t>3.50/5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4</w:t>
            </w:r>
          </w:p>
        </w:tc>
        <w:tc>
          <w:tcPr>
            <w:tcW w:type="dxa" w:w="1017"/>
            <w:vAlign w:val="top"/>
          </w:tcPr>
          <w:p>
            <w:pPr>
              <w:spacing w:after="0"/>
            </w:pPr>
            <w:r/>
            <w:r>
              <w:rPr>
                <w:rFonts w:ascii="Aptos" w:hAnsi="Aptos"/>
                <w:b w:val="0"/>
                <w:sz w:val="13"/>
              </w:rPr>
              <w:t>Medium</w:t>
            </w:r>
          </w:p>
        </w:tc>
      </w:tr>
      <w:tr>
        <w:tc>
          <w:tcPr>
            <w:tcW w:type="dxa" w:w="1017"/>
            <w:vAlign w:val="top"/>
          </w:tcPr>
          <w:p>
            <w:pPr>
              <w:spacing w:after="0"/>
            </w:pPr>
            <w:r/>
            <w:r>
              <w:rPr>
                <w:rFonts w:ascii="Aptos" w:hAnsi="Aptos"/>
                <w:b w:val="0"/>
                <w:sz w:val="13"/>
              </w:rPr>
              <w:t>Evolutionary Ecology / Organizational Species</w:t>
            </w:r>
          </w:p>
        </w:tc>
        <w:tc>
          <w:tcPr>
            <w:tcW w:type="dxa" w:w="1017"/>
            <w:vAlign w:val="top"/>
          </w:tcPr>
          <w:p>
            <w:pPr>
              <w:spacing w:after="0"/>
            </w:pPr>
            <w:r/>
            <w:r>
              <w:rPr>
                <w:rFonts w:ascii="Aptos" w:hAnsi="Aptos"/>
                <w:b w:val="0"/>
                <w:sz w:val="13"/>
              </w:rPr>
              <w:t>P2</w:t>
            </w:r>
          </w:p>
        </w:tc>
        <w:tc>
          <w:tcPr>
            <w:tcW w:type="dxa" w:w="1017"/>
            <w:vAlign w:val="top"/>
          </w:tcPr>
          <w:p>
            <w:pPr>
              <w:spacing w:after="0"/>
            </w:pPr>
            <w:r/>
            <w:r>
              <w:rPr>
                <w:rFonts w:ascii="Aptos" w:hAnsi="Aptos"/>
                <w:b w:val="0"/>
                <w:sz w:val="13"/>
              </w:rPr>
              <w:t>4.20/5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5</w:t>
            </w:r>
          </w:p>
        </w:tc>
        <w:tc>
          <w:tcPr>
            <w:tcW w:type="dxa" w:w="1017"/>
            <w:vAlign w:val="top"/>
          </w:tcPr>
          <w:p>
            <w:pPr>
              <w:spacing w:after="0"/>
            </w:pPr>
            <w:r/>
            <w:r>
              <w:rPr>
                <w:rFonts w:ascii="Aptos" w:hAnsi="Aptos"/>
                <w:b w:val="0"/>
                <w:sz w:val="13"/>
              </w:rPr>
              <w:t>Medium</w:t>
            </w:r>
          </w:p>
        </w:tc>
      </w:tr>
      <w:tr>
        <w:tc>
          <w:tcPr>
            <w:tcW w:type="dxa" w:w="1017"/>
            <w:vAlign w:val="top"/>
          </w:tcPr>
          <w:p>
            <w:pPr>
              <w:spacing w:after="0"/>
            </w:pPr>
            <w:r/>
            <w:r>
              <w:rPr>
                <w:rFonts w:ascii="Aptos" w:hAnsi="Aptos"/>
                <w:b w:val="0"/>
                <w:sz w:val="13"/>
              </w:rPr>
              <w:t>Morphogenetic / Stigmergic Organization</w:t>
            </w:r>
          </w:p>
        </w:tc>
        <w:tc>
          <w:tcPr>
            <w:tcW w:type="dxa" w:w="1017"/>
            <w:vAlign w:val="top"/>
          </w:tcPr>
          <w:p>
            <w:pPr>
              <w:spacing w:after="0"/>
            </w:pPr>
            <w:r/>
            <w:r>
              <w:rPr>
                <w:rFonts w:ascii="Aptos" w:hAnsi="Aptos"/>
                <w:b w:val="0"/>
                <w:sz w:val="13"/>
              </w:rPr>
              <w:t>P3 Lab</w:t>
            </w:r>
          </w:p>
        </w:tc>
        <w:tc>
          <w:tcPr>
            <w:tcW w:type="dxa" w:w="1017"/>
            <w:vAlign w:val="top"/>
          </w:tcPr>
          <w:p>
            <w:pPr>
              <w:spacing w:after="0"/>
            </w:pPr>
            <w:r/>
            <w:r>
              <w:rPr>
                <w:rFonts w:ascii="Aptos" w:hAnsi="Aptos"/>
                <w:b w:val="0"/>
                <w:sz w:val="13"/>
              </w:rPr>
              <w:t>2.90/5</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w:t>
            </w:r>
          </w:p>
        </w:tc>
        <w:tc>
          <w:tcPr>
            <w:tcW w:type="dxa" w:w="1017"/>
            <w:vAlign w:val="top"/>
          </w:tcPr>
          <w:p>
            <w:pPr>
              <w:spacing w:after="0"/>
            </w:pPr>
            <w:r/>
            <w:r>
              <w:rPr>
                <w:rFonts w:ascii="Aptos" w:hAnsi="Aptos"/>
                <w:b w:val="0"/>
                <w:sz w:val="13"/>
              </w:rPr>
              <w:t>5</w:t>
            </w:r>
          </w:p>
        </w:tc>
        <w:tc>
          <w:tcPr>
            <w:tcW w:type="dxa" w:w="1017"/>
            <w:vAlign w:val="top"/>
          </w:tcPr>
          <w:p>
            <w:pPr>
              <w:spacing w:after="0"/>
            </w:pPr>
            <w:r/>
            <w:r>
              <w:rPr>
                <w:rFonts w:ascii="Aptos" w:hAnsi="Aptos"/>
                <w:b w:val="0"/>
                <w:sz w:val="13"/>
              </w:rPr>
              <w:t>Low-Medium</w:t>
            </w:r>
          </w:p>
        </w:tc>
      </w:tr>
    </w:tbl>
    <w:p>
      <w:r>
        <w:t>Interpretation: a high score does not mean “build now.” Evolutionary Ecology scores highly on long-term value but remains P2 because current-fit/evidence dependencies are not ready. Shadow Twin scores lower on raw performance because it deliberately duplicates reasoning, yet ranks P0 because the quality/trust and evaluation-data benefits are immediate.</w:t>
      </w:r>
    </w:p>
    <w:p>
      <w:pPr>
        <w:pStyle w:val="Heading1"/>
        <w:keepNext/>
      </w:pPr>
      <w:r>
        <w:t>6. Architecture-by-architecture business and client impact</w:t>
      </w:r>
    </w:p>
    <w:p>
      <w:pPr>
        <w:pStyle w:val="Heading2"/>
        <w:keepNext/>
      </w:pPr>
      <w:r>
        <w:t>6.1 Mission Hypergraph / Mesh — P0</w:t>
      </w:r>
    </w:p>
    <w:p>
      <w:r>
        <w:rPr>
          <w:b/>
        </w:rPr>
        <w:t>Planning value score: 4.55/5 | Effort: 3/5 | Evidence maturity: High</w:t>
      </w:r>
    </w:p>
    <w:p>
      <w:r>
        <w:t>Promote objectives, artifacts, risks, dependencies, gates and capability requirements into a typed mission graph rather than leaving them implicit in stage code and handoffs.</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More work can run in parallel without losing dependency control; easier to reuse orchestration across repos and client work.</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Critical-path visibility, less idle waiting, task-local routing, better parallelism.</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Dependencies and success evidence are explicit; fewer “stage succeeded but mission failed” states.</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More accurate progress/status and fewer schedule surprises.</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A replayable graph explains what ran, why it ran, what evidence each node produced and what is still blocked.</w:t>
            </w:r>
          </w:p>
        </w:tc>
      </w:tr>
    </w:tbl>
    <w:p>
      <w:pPr>
        <w:pStyle w:val="Heading3"/>
        <w:keepNext/>
      </w:pPr>
      <w:r>
        <w:t>Minimum valuable implementation</w:t>
      </w:r>
    </w:p>
    <w:p>
      <w:r>
        <w:t>Compile the existing production DAG plus agent handoffs into typed MissionNode/MissionEdge/Artifact/Evidence objects. Do not add autonomous graph rewriting yet.</w:t>
      </w:r>
    </w:p>
    <w:p>
      <w:pPr>
        <w:pStyle w:val="Heading3"/>
        <w:keepNext/>
      </w:pPr>
      <w:r>
        <w:t>Measure before expanding</w:t>
      </w:r>
    </w:p>
    <w:p>
      <w:r>
        <w:t>time-to-green; blocked minutes; critical-path accuracy; stage-success vs mission-success mismatch; handoff count</w:t>
      </w:r>
    </w:p>
    <w:p>
      <w:pPr>
        <w:pStyle w:val="Heading2"/>
        <w:keepNext/>
      </w:pPr>
      <w:r>
        <w:t>6.2 Constitutional Institution / Type System — P0</w:t>
      </w:r>
    </w:p>
    <w:p>
      <w:r>
        <w:rPr>
          <w:b/>
        </w:rPr>
        <w:t>Planning value score: 4.60/5 | Effort: 3/5 | Evidence maturity: High</w:t>
      </w:r>
    </w:p>
    <w:p>
      <w:r>
        <w:t>Make permissions, required evidence, data/tool scope, budget, segregation-of-duty and approval rules compile-time/runtime contracts in Org-IR.</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Reduces costly unsafe changes and makes enterprise/client adoption easier because controls can be demonstrated.</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Some gate overhead, offset by earlier rejection of doomed or invalid missions.</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Blocks organizations that cannot satisfy success/evidence conditions before execution.</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Fewer failed changes and clearer approval responsibilities.</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Strongest direct trust layer: policy is inspectable, versioned and enforced independently of agent persuasion.</w:t>
            </w:r>
          </w:p>
        </w:tc>
      </w:tr>
    </w:tbl>
    <w:p>
      <w:pPr>
        <w:pStyle w:val="Heading3"/>
        <w:keepNext/>
      </w:pPr>
      <w:r>
        <w:t>Minimum valuable implementation</w:t>
      </w:r>
    </w:p>
    <w:p>
      <w:r>
        <w:t>Add OrganizationPreflight with required_evidence, allowed_tools, environments, max_budget, approval policy, role separation and current-certification checks.</w:t>
      </w:r>
    </w:p>
    <w:p>
      <w:pPr>
        <w:pStyle w:val="Heading3"/>
        <w:keepNext/>
      </w:pPr>
      <w:r>
        <w:t>Measure before expanding</w:t>
      </w:r>
    </w:p>
    <w:p>
      <w:r>
        <w:t>preflight catch rate; unsafe proposal rejection; false-block rate; post-gate defect rate; audit completeness</w:t>
      </w:r>
    </w:p>
    <w:p>
      <w:pPr>
        <w:pStyle w:val="Heading2"/>
        <w:keepNext/>
      </w:pPr>
      <w:r>
        <w:t>6.3 Shadow Twin / Counterfactual Organization — P0</w:t>
      </w:r>
    </w:p>
    <w:p>
      <w:r>
        <w:rPr>
          <w:b/>
        </w:rPr>
        <w:t>Planning value score: 4.45/5 | Effort: 3/5 | Evidence maturity: High</w:t>
      </w:r>
    </w:p>
    <w:p>
      <w:r>
        <w:t>Run a side-effect-free independent organization against the same intent/evidence and compare plan, confidence, predicted outcome and risks.</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Lower escaped-defect and rework cost; creates safe production-like data for evaluating new architectures.</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Adds inference/tool cost; must be risk-triggered rather than universal.</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Independent disagreement catches weak assumptions before irreversible gates.</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Fewer surprises and more reliable high-risk delivery.</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Can expose “independent verifier agreed/disagreed” plus evidence used, making autonomy auditable rather than opaque.</w:t>
            </w:r>
          </w:p>
        </w:tc>
      </w:tr>
    </w:tbl>
    <w:p>
      <w:pPr>
        <w:pStyle w:val="Heading3"/>
        <w:keepNext/>
      </w:pPr>
      <w:r>
        <w:t>Minimum valuable implementation</w:t>
      </w:r>
    </w:p>
    <w:p>
      <w:r>
        <w:t>Shadow only high-risk implementation/deployment tickets with a compact verifier organization. No side effects; gate only on material disagreement.</w:t>
      </w:r>
    </w:p>
    <w:p>
      <w:pPr>
        <w:pStyle w:val="Heading3"/>
        <w:keepNext/>
      </w:pPr>
      <w:r>
        <w:t>Measure before expanding</w:t>
      </w:r>
    </w:p>
    <w:p>
      <w:r>
        <w:t>defects caught pre-merge; disagreement precision; cost per caught defect; false disagreement; escaped defects</w:t>
      </w:r>
    </w:p>
    <w:p>
      <w:pPr>
        <w:pStyle w:val="Heading2"/>
        <w:keepNext/>
      </w:pPr>
      <w:r>
        <w:t>6.4 Collective Cognition / Global Workspace — P0</w:t>
      </w:r>
    </w:p>
    <w:p>
      <w:r>
        <w:rPr>
          <w:b/>
        </w:rPr>
        <w:t>Planning value score: 4.60/5 | Effort: 3/5 | Evidence maturity: High</w:t>
      </w:r>
    </w:p>
    <w:p>
      <w:r>
        <w:t>Bound the organization-wide context surface to promoted facts, blockers, hypotheses, contradictions and commitments with provenance and TTL.</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Reduces duplicate investigation and makes knowledge compound across missions/clients without dumping entire histories into every prompt.</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Lower context volume, faster cross-team evidence propagation, fewer handoffs.</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Important contradictory or decisive evidence becomes harder to miss.</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Faster answers and fewer repeated discovery questions.</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Claims have provenance, confidence, freshness and ownership instead of becoming anonymous “memory”.</w:t>
            </w:r>
          </w:p>
        </w:tc>
      </w:tr>
    </w:tbl>
    <w:p>
      <w:pPr>
        <w:pStyle w:val="Heading3"/>
        <w:keepNext/>
      </w:pPr>
      <w:r>
        <w:t>Minimum valuable implementation</w:t>
      </w:r>
    </w:p>
    <w:p>
      <w:r>
        <w:t>20–50 item mission workspace; promotion policy based on relevance, confidence, urgency and dependency; immutable source references.</w:t>
      </w:r>
    </w:p>
    <w:p>
      <w:pPr>
        <w:pStyle w:val="Heading3"/>
        <w:keepNext/>
      </w:pPr>
      <w:r>
        <w:t>Measure before expanding</w:t>
      </w:r>
    </w:p>
    <w:p>
      <w:r>
        <w:t>duplicate investigation rate; context tokens; evidence propagation latency; stale-claim usage; handoff rate</w:t>
      </w:r>
    </w:p>
    <w:p>
      <w:pPr>
        <w:pStyle w:val="Heading2"/>
        <w:keepNext/>
      </w:pPr>
      <w:r>
        <w:t>6.5 Bounded Self-Hosting Reconciliation — P0</w:t>
      </w:r>
    </w:p>
    <w:p>
      <w:r>
        <w:rPr>
          <w:b/>
        </w:rPr>
        <w:t>Planning value score: 4.75/5 | Effort: 4/5 | Evidence maturity: High</w:t>
      </w:r>
    </w:p>
    <w:p>
      <w:r>
        <w:t>Declare desired certified organization state, observe actual health/evals, and reconcile through bounded actions such as quarantine, rollback, restart or route-to-last-certified-version.</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Higher platform uptime and less engineer time spent nursing agent/runtime drift.</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Faster recovery and fewer repeated failed missions.</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Degraded agent/team versions are removed from the path before they contaminate more missions.</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More stable service and fewer recurring incidents.</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Recovery behavior is deterministic, versioned and replayable; no need to trust an unconstrained “fix-it agent”.</w:t>
            </w:r>
          </w:p>
        </w:tc>
      </w:tr>
    </w:tbl>
    <w:p>
      <w:pPr>
        <w:pStyle w:val="Heading3"/>
        <w:keepNext/>
      </w:pPr>
      <w:r>
        <w:t>Minimum valuable implementation</w:t>
      </w:r>
    </w:p>
    <w:p>
      <w:r>
        <w:t>One controller: certification loss → quarantine → fallback to last-certified organization → human-visible incident. No autonomous code edits.</w:t>
      </w:r>
    </w:p>
    <w:p>
      <w:pPr>
        <w:pStyle w:val="Heading3"/>
        <w:keepNext/>
      </w:pPr>
      <w:r>
        <w:t>Measure before expanding</w:t>
      </w:r>
    </w:p>
    <w:p>
      <w:r>
        <w:t>MTTR; recurrence; missions protected by rollback; false quarantine rate; operator interventions</w:t>
      </w:r>
    </w:p>
    <w:p>
      <w:pPr>
        <w:pStyle w:val="Heading2"/>
        <w:keepNext/>
      </w:pPr>
      <w:r>
        <w:t>6.6 Recursive Holarchy / Viable Command — P1</w:t>
      </w:r>
    </w:p>
    <w:p>
      <w:r>
        <w:rPr>
          <w:b/>
        </w:rPr>
        <w:t>Planning value score: 4.00/5 | Effort: 4/5 | Evidence maturity: Medium</w:t>
      </w:r>
    </w:p>
    <w:p>
      <w:r>
        <w:t>Each command level carries explicit operations, coordination, control, future-intelligence and policy/audit functions; local viable units remain autonomous.</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Scales delivery across domains/clients without one master agent or one operator becoming the bottleneck.</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Local decisions reduce central coordination traffic; extra structure can become overhead at small scale.</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Health/strategy/policy functions prevent execution-only teams from drifting.</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Better ownership continuity as estate grows.</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Clear escalation and responsibility boundaries; policy function is distinct from execution.</w:t>
            </w:r>
          </w:p>
        </w:tc>
      </w:tr>
    </w:tbl>
    <w:p>
      <w:pPr>
        <w:pStyle w:val="Heading3"/>
        <w:keepNext/>
      </w:pPr>
      <w:r>
        <w:t>Minimum valuable implementation</w:t>
      </w:r>
    </w:p>
    <w:p>
      <w:r>
        <w:t>Apply the five-function pattern to one army only. Compare against current manager design before making it a platform abstraction.</w:t>
      </w:r>
    </w:p>
    <w:p>
      <w:pPr>
        <w:pStyle w:val="Heading3"/>
        <w:keepNext/>
      </w:pPr>
      <w:r>
        <w:t>Measure before expanding</w:t>
      </w:r>
    </w:p>
    <w:p>
      <w:r>
        <w:t>escalation rate; manager context load; throughput per domain; incident containment; coordination overhead</w:t>
      </w:r>
    </w:p>
    <w:p>
      <w:pPr>
        <w:pStyle w:val="Heading2"/>
        <w:keepNext/>
      </w:pPr>
      <w:r>
        <w:t>6.7 Temporal Echelons — P1</w:t>
      </w:r>
    </w:p>
    <w:p>
      <w:r>
        <w:rPr>
          <w:b/>
        </w:rPr>
        <w:t>Planning value score: 4.00/5 | Effort: 3/5 | Evidence maturity: Medium</w:t>
      </w:r>
    </w:p>
    <w:p>
      <w:r>
        <w:t>Separate real-time/reflex, tactical, daily reliability and strategic research organizations, coupled through compressed commitments and forecasts.</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Reduces firefighting and helps research improvements reach operations deliberately rather than as ad-hoc prompt changes.</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Urgent work is not blocked by slow strategic reasoning.</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Recurring incidents can be promoted from immediate response to deeper root-cause and doctrine work.</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Faster incident response plus visible proactive improvement.</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Makes it clear which layer is allowed to act immediately versus only propose future changes.</w:t>
            </w:r>
          </w:p>
        </w:tc>
      </w:tr>
    </w:tbl>
    <w:p>
      <w:pPr>
        <w:pStyle w:val="Heading3"/>
        <w:keepNext/>
      </w:pPr>
      <w:r>
        <w:t>Minimum valuable implementation</w:t>
      </w:r>
    </w:p>
    <w:p>
      <w:r>
        <w:t>Create incident-now, reliability-daily and architecture-weekly queues over the same event stream; require explicit escalation/promotion objects.</w:t>
      </w:r>
    </w:p>
    <w:p>
      <w:pPr>
        <w:pStyle w:val="Heading3"/>
        <w:keepNext/>
      </w:pPr>
      <w:r>
        <w:t>Measure before expanding</w:t>
      </w:r>
    </w:p>
    <w:p>
      <w:r>
        <w:t>repeat incident rate; response latency; strategic recommendation adoption; urgent-work delay</w:t>
      </w:r>
    </w:p>
    <w:p>
      <w:pPr>
        <w:pStyle w:val="Heading2"/>
        <w:keepNext/>
      </w:pPr>
      <w:r>
        <w:t>6.8 Polycentric Federation — P1</w:t>
      </w:r>
    </w:p>
    <w:p>
      <w:r>
        <w:rPr>
          <w:b/>
        </w:rPr>
        <w:t>Planning value score: 4.45/5 | Effort: 4/5 | Evidence maturity: High</w:t>
      </w:r>
    </w:p>
    <w:p>
      <w:r>
        <w:t>Independent commands/armies own their domain or client boundary and cooperate only through typed federation contracts, shared claims and central policy/arbitration where necessary.</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Supports more clients/products without merging all context, permissions and failure domains.</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Local execution remains fast; cross-domain work pays contract/protocol cost.</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Reduces cross-client/context contamination and limits blast radius.</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Enables tailored domain/client operations while preserving common platform standards.</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Strong isolation story: what can cross boundaries is explicit and auditable.</w:t>
            </w:r>
          </w:p>
        </w:tc>
      </w:tr>
    </w:tbl>
    <w:p>
      <w:pPr>
        <w:pStyle w:val="Heading3"/>
        <w:keepNext/>
      </w:pPr>
      <w:r>
        <w:t>Minimum valuable implementation</w:t>
      </w:r>
    </w:p>
    <w:p>
      <w:r>
        <w:t>Two armies with separate memory and permissions; only typed Claim, CapabilityRequest and ArtifactTransfer messages may cross.</w:t>
      </w:r>
    </w:p>
    <w:p>
      <w:pPr>
        <w:pStyle w:val="Heading3"/>
        <w:keepNext/>
      </w:pPr>
      <w:r>
        <w:t>Measure before expanding</w:t>
      </w:r>
    </w:p>
    <w:p>
      <w:r>
        <w:t>cross-boundary leakage; federation latency; cross-domain success; permission violations; duplicated knowledge</w:t>
      </w:r>
    </w:p>
    <w:p>
      <w:pPr>
        <w:pStyle w:val="Heading2"/>
        <w:keepNext/>
      </w:pPr>
      <w:r>
        <w:t>6.9 Bicameral / Adversarial Governance — P1</w:t>
      </w:r>
    </w:p>
    <w:p>
      <w:r>
        <w:rPr>
          <w:b/>
        </w:rPr>
        <w:t>Planning value score: 4.05/5 | Effort: 2/5 | Evidence maturity: High</w:t>
      </w:r>
    </w:p>
    <w:p>
      <w:r>
        <w:t>Builder/proposer and skeptic/challenger organizations optimize different objectives; high-risk decisions require resolution rather than unilateral execution.</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Cheap way to improve important architecture/research/change decisions before adding sophisticated evolution.</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Adds latency; use only at risk thresholds or decision classes where challenge has value.</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Strong at surfacing missing assumptions and simpler alternatives.</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Fewer design reversals and stronger decision quality.</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Demonstrates that the system is designed to challenge itself, not merely self-confirm.</w:t>
            </w:r>
          </w:p>
        </w:tc>
      </w:tr>
    </w:tbl>
    <w:p>
      <w:pPr>
        <w:pStyle w:val="Heading3"/>
        <w:keepNext/>
      </w:pPr>
      <w:r>
        <w:t>Minimum valuable implementation</w:t>
      </w:r>
    </w:p>
    <w:p>
      <w:r>
        <w:t>Builder + Skeptic for architecture ADRs and high-risk production plans; independent prompts/context; explicit disagreement categories.</w:t>
      </w:r>
    </w:p>
    <w:p>
      <w:pPr>
        <w:pStyle w:val="Heading3"/>
        <w:keepNext/>
      </w:pPr>
      <w:r>
        <w:t>Measure before expanding</w:t>
      </w:r>
    </w:p>
    <w:p>
      <w:r>
        <w:t>defects caught; decision reversal rate; latency cost; disagreement usefulness; false objections</w:t>
      </w:r>
    </w:p>
    <w:p>
      <w:pPr>
        <w:pStyle w:val="Heading2"/>
        <w:keepNext/>
      </w:pPr>
      <w:r>
        <w:t>6.10 Capability Economy / Internal Market — P2</w:t>
      </w:r>
    </w:p>
    <w:p>
      <w:r>
        <w:rPr>
          <w:b/>
        </w:rPr>
        <w:t>Planning value score: 3.50/5 | Effort: 4/5 | Evidence maturity: Medium</w:t>
      </w:r>
    </w:p>
    <w:p>
      <w:r>
        <w:t>Certified agents/teams bid for missions using predicted success, cost, latency, context fit and load; allocator awards work against a policy objective.</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Could materially improve margin and fleet utilization once there are enough substitutable teams.</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Direct optimization of load/cost/latency is the main benefit.</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Only safe if bidder predictions are calibrated and certification is enforced.</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Mostly indirect: faster delivery/lower cost; market mechanics should remain invisible.</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Requires anti-gaming, audit and minimum-quality constraints or it can optimize the wrong thing.</w:t>
            </w:r>
          </w:p>
        </w:tc>
      </w:tr>
    </w:tbl>
    <w:p>
      <w:pPr>
        <w:pStyle w:val="Heading3"/>
        <w:keepNext/>
      </w:pPr>
      <w:r>
        <w:t>Minimum valuable implementation</w:t>
      </w:r>
    </w:p>
    <w:p>
      <w:r>
        <w:t>Shadow-route historical/replayed missions only; compare market picks with static routing. No production allocation initially.</w:t>
      </w:r>
    </w:p>
    <w:p>
      <w:pPr>
        <w:pStyle w:val="Heading3"/>
        <w:keepNext/>
      </w:pPr>
      <w:r>
        <w:t>Measure before expanding</w:t>
      </w:r>
    </w:p>
    <w:p>
      <w:r>
        <w:t>cost per accepted mission; utilization; routing regret; calibration; starvation/exploration rate</w:t>
      </w:r>
    </w:p>
    <w:p>
      <w:pPr>
        <w:pStyle w:val="Heading2"/>
        <w:keepNext/>
      </w:pPr>
      <w:r>
        <w:t>6.11 Evolutionary Ecology / Organizational Species — P2</w:t>
      </w:r>
    </w:p>
    <w:p>
      <w:r>
        <w:rPr>
          <w:b/>
        </w:rPr>
        <w:t>Planning value score: 4.20/5 | Effort: 5/5 | Evidence maturity: Medium</w:t>
      </w:r>
    </w:p>
    <w:p>
      <w:r>
        <w:t>Encode organization topology/prompts/tools/memory/gates/budgets as versioned genomes; mutate/recombine in a sandbox; retain multiple niche elites rather than one universal winner.</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Potential long-term moat: the Factory learns which organization is best for each mission family instead of shipping static handcrafted teams.</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Can discover cheaper/faster workflows humans would not design, but search cost is substantial.</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Can optimize directly for held-out mission quality and regression safety once evals are trustworthy.</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Benefit is improved delivery over time, but clients should see certified versions—not experimental evolution.</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Needs strict separation of research/evolution from production, immutable eval records and anti-Goodhart controls.</w:t>
            </w:r>
          </w:p>
        </w:tc>
      </w:tr>
    </w:tbl>
    <w:p>
      <w:pPr>
        <w:pStyle w:val="Heading3"/>
        <w:keepNext/>
      </w:pPr>
      <w:r>
        <w:t>Minimum valuable implementation</w:t>
      </w:r>
    </w:p>
    <w:p>
      <w:r>
        <w:t>6–10 seeded Org-IR variants; mutate only topology + one role dimension; sandbox/replay only; quality-diversity archive.</w:t>
      </w:r>
    </w:p>
    <w:p>
      <w:pPr>
        <w:pStyle w:val="Heading3"/>
        <w:keepNext/>
      </w:pPr>
      <w:r>
        <w:t>Measure before expanding</w:t>
      </w:r>
    </w:p>
    <w:p>
      <w:r>
        <w:t>held-out improvement; search cost; generalization; diversity of elite orgs; regression safety</w:t>
      </w:r>
    </w:p>
    <w:p>
      <w:pPr>
        <w:pStyle w:val="Heading2"/>
        <w:keepNext/>
      </w:pPr>
      <w:r>
        <w:t>6.12 Morphogenetic / Stigmergic Organization — P3 Lab</w:t>
      </w:r>
    </w:p>
    <w:p>
      <w:r>
        <w:rPr>
          <w:b/>
        </w:rPr>
        <w:t>Planning value score: 2.90/5 | Effort: 5/5 | Evidence maturity: Low-Medium</w:t>
      </w:r>
    </w:p>
    <w:p>
      <w:r>
        <w:t>Tasks, failures, contradictions and knowledge gaps emit typed fields/signals; agents/teams self-assemble, split and dissolve around gradients rather than being centrally assigned.</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Dimension</w:t>
            </w:r>
          </w:p>
        </w:tc>
        <w:tc>
          <w:tcPr>
            <w:tcW w:type="dxa" w:w="5083"/>
            <w:shd w:fill="DCE5EF"/>
          </w:tcPr>
          <w:p>
            <w:pPr>
              <w:spacing w:after="0"/>
            </w:pPr>
            <w:r/>
            <w:r>
              <w:rPr>
                <w:rFonts w:ascii="Aptos" w:hAnsi="Aptos"/>
                <w:b/>
                <w:sz w:val="16"/>
              </w:rPr>
              <w:t>How value appears</w:t>
            </w:r>
          </w:p>
        </w:tc>
      </w:tr>
      <w:tr>
        <w:tc>
          <w:tcPr>
            <w:tcW w:type="dxa" w:w="5083"/>
            <w:vAlign w:val="top"/>
          </w:tcPr>
          <w:p>
            <w:pPr>
              <w:spacing w:after="0"/>
            </w:pPr>
            <w:r/>
            <w:r>
              <w:rPr>
                <w:rFonts w:ascii="Aptos" w:hAnsi="Aptos"/>
                <w:b w:val="0"/>
                <w:sz w:val="16"/>
              </w:rPr>
              <w:t>Business</w:t>
            </w:r>
          </w:p>
        </w:tc>
        <w:tc>
          <w:tcPr>
            <w:tcW w:type="dxa" w:w="5083"/>
            <w:vAlign w:val="top"/>
          </w:tcPr>
          <w:p>
            <w:pPr>
              <w:spacing w:after="0"/>
            </w:pPr>
            <w:r/>
            <w:r>
              <w:rPr>
                <w:rFonts w:ascii="Aptos" w:hAnsi="Aptos"/>
                <w:b w:val="0"/>
                <w:sz w:val="16"/>
              </w:rPr>
              <w:t>Potentially valuable for unknown-unknown incidents/research where predefined teams are wrong, but too experimental for a core client promise today.</w:t>
            </w:r>
          </w:p>
        </w:tc>
      </w:tr>
      <w:tr>
        <w:tc>
          <w:tcPr>
            <w:tcW w:type="dxa" w:w="5083"/>
            <w:vAlign w:val="top"/>
          </w:tcPr>
          <w:p>
            <w:pPr>
              <w:spacing w:after="0"/>
            </w:pPr>
            <w:r/>
            <w:r>
              <w:rPr>
                <w:rFonts w:ascii="Aptos" w:hAnsi="Aptos"/>
                <w:b w:val="0"/>
                <w:sz w:val="16"/>
              </w:rPr>
              <w:t>Performance</w:t>
            </w:r>
          </w:p>
        </w:tc>
        <w:tc>
          <w:tcPr>
            <w:tcW w:type="dxa" w:w="5083"/>
            <w:vAlign w:val="top"/>
          </w:tcPr>
          <w:p>
            <w:pPr>
              <w:spacing w:after="0"/>
            </w:pPr>
            <w:r/>
            <w:r>
              <w:rPr>
                <w:rFonts w:ascii="Aptos" w:hAnsi="Aptos"/>
                <w:b w:val="0"/>
                <w:sz w:val="16"/>
              </w:rPr>
              <w:t>Could recruit the right specialists quickly; can also thrash and waste context/cost.</w:t>
            </w:r>
          </w:p>
        </w:tc>
      </w:tr>
      <w:tr>
        <w:tc>
          <w:tcPr>
            <w:tcW w:type="dxa" w:w="5083"/>
            <w:vAlign w:val="top"/>
          </w:tcPr>
          <w:p>
            <w:pPr>
              <w:spacing w:after="0"/>
            </w:pPr>
            <w:r/>
            <w:r>
              <w:rPr>
                <w:rFonts w:ascii="Aptos" w:hAnsi="Aptos"/>
                <w:b w:val="0"/>
                <w:sz w:val="16"/>
              </w:rPr>
              <w:t>Quality</w:t>
            </w:r>
          </w:p>
        </w:tc>
        <w:tc>
          <w:tcPr>
            <w:tcW w:type="dxa" w:w="5083"/>
            <w:vAlign w:val="top"/>
          </w:tcPr>
          <w:p>
            <w:pPr>
              <w:spacing w:after="0"/>
            </w:pPr>
            <w:r/>
            <w:r>
              <w:rPr>
                <w:rFonts w:ascii="Aptos" w:hAnsi="Aptos"/>
                <w:b w:val="0"/>
                <w:sz w:val="16"/>
              </w:rPr>
              <w:t>Emergent topology may find novel solutions but is harder to reproduce/debug.</w:t>
            </w:r>
          </w:p>
        </w:tc>
      </w:tr>
      <w:tr>
        <w:tc>
          <w:tcPr>
            <w:tcW w:type="dxa" w:w="5083"/>
            <w:vAlign w:val="top"/>
          </w:tcPr>
          <w:p>
            <w:pPr>
              <w:spacing w:after="0"/>
            </w:pPr>
            <w:r/>
            <w:r>
              <w:rPr>
                <w:rFonts w:ascii="Aptos" w:hAnsi="Aptos"/>
                <w:b w:val="0"/>
                <w:sz w:val="16"/>
              </w:rPr>
              <w:t>Client satisfaction</w:t>
            </w:r>
          </w:p>
        </w:tc>
        <w:tc>
          <w:tcPr>
            <w:tcW w:type="dxa" w:w="5083"/>
            <w:vAlign w:val="top"/>
          </w:tcPr>
          <w:p>
            <w:pPr>
              <w:spacing w:after="0"/>
            </w:pPr>
            <w:r/>
            <w:r>
              <w:rPr>
                <w:rFonts w:ascii="Aptos" w:hAnsi="Aptos"/>
                <w:b w:val="0"/>
                <w:sz w:val="16"/>
              </w:rPr>
              <w:t>Do not expose as uncontrolled “swarm” behavior; only use behind a certified mission boundary if proven.</w:t>
            </w:r>
          </w:p>
        </w:tc>
      </w:tr>
      <w:tr>
        <w:tc>
          <w:tcPr>
            <w:tcW w:type="dxa" w:w="5083"/>
            <w:vAlign w:val="top"/>
          </w:tcPr>
          <w:p>
            <w:pPr>
              <w:spacing w:after="0"/>
            </w:pPr>
            <w:r/>
            <w:r>
              <w:rPr>
                <w:rFonts w:ascii="Aptos" w:hAnsi="Aptos"/>
                <w:b w:val="0"/>
                <w:sz w:val="16"/>
              </w:rPr>
              <w:t>Trust / assurance</w:t>
            </w:r>
          </w:p>
        </w:tc>
        <w:tc>
          <w:tcPr>
            <w:tcW w:type="dxa" w:w="5083"/>
            <w:vAlign w:val="top"/>
          </w:tcPr>
          <w:p>
            <w:pPr>
              <w:spacing w:after="0"/>
            </w:pPr>
            <w:r/>
            <w:r>
              <w:rPr>
                <w:rFonts w:ascii="Aptos" w:hAnsi="Aptos"/>
                <w:b w:val="0"/>
                <w:sz w:val="16"/>
              </w:rPr>
              <w:t>Weak until field dynamics, replay and limits are deterministic enough to explain.</w:t>
            </w:r>
          </w:p>
        </w:tc>
      </w:tr>
    </w:tbl>
    <w:p>
      <w:pPr>
        <w:pStyle w:val="Heading3"/>
        <w:keepNext/>
      </w:pPr>
      <w:r>
        <w:t>Minimum valuable implementation</w:t>
      </w:r>
    </w:p>
    <w:p>
      <w:r>
        <w:t>Sandbox only. Typed blocker/uncertainty signals with TTL and hard population/budget caps; compare with fixed team on replayed unknown-unknown cases.</w:t>
      </w:r>
    </w:p>
    <w:p>
      <w:pPr>
        <w:pStyle w:val="Heading3"/>
        <w:keepNext/>
      </w:pPr>
      <w:r>
        <w:t>Measure before expanding</w:t>
      </w:r>
    </w:p>
    <w:p>
      <w:r>
        <w:t>time to recruit useful capability; topology churn; cost; mission success; replay determinism</w:t>
      </w:r>
    </w:p>
    <w:p>
      <w:pPr>
        <w:pStyle w:val="Heading1"/>
        <w:keepNext/>
      </w:pPr>
      <w:r>
        <w:t>7. Foundational capabilities that should be treated as non-negotiable substrate</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Foundation</w:t>
            </w:r>
          </w:p>
        </w:tc>
        <w:tc>
          <w:tcPr>
            <w:tcW w:type="dxa" w:w="5083"/>
            <w:shd w:fill="DCE5EF"/>
          </w:tcPr>
          <w:p>
            <w:pPr>
              <w:spacing w:after="0"/>
            </w:pPr>
            <w:r/>
            <w:r>
              <w:rPr>
                <w:rFonts w:ascii="Aptos" w:hAnsi="Aptos"/>
                <w:b/>
                <w:sz w:val="16"/>
              </w:rPr>
              <w:t>Why it is required</w:t>
            </w:r>
          </w:p>
        </w:tc>
      </w:tr>
      <w:tr>
        <w:tc>
          <w:tcPr>
            <w:tcW w:type="dxa" w:w="5083"/>
            <w:vAlign w:val="top"/>
          </w:tcPr>
          <w:p>
            <w:pPr>
              <w:spacing w:after="0"/>
            </w:pPr>
            <w:r/>
            <w:r>
              <w:rPr>
                <w:rFonts w:ascii="Aptos" w:hAnsi="Aptos"/>
                <w:b w:val="0"/>
                <w:sz w:val="16"/>
              </w:rPr>
              <w:t>Intent Contract / definition of green</w:t>
            </w:r>
          </w:p>
        </w:tc>
        <w:tc>
          <w:tcPr>
            <w:tcW w:type="dxa" w:w="5083"/>
            <w:vAlign w:val="top"/>
          </w:tcPr>
          <w:p>
            <w:pPr>
              <w:spacing w:after="0"/>
            </w:pPr>
            <w:r/>
            <w:r>
              <w:rPr>
                <w:rFonts w:ascii="Aptos" w:hAnsi="Aptos"/>
                <w:b w:val="0"/>
                <w:sz w:val="16"/>
              </w:rPr>
              <w:t>Every mission has typed desired state, acceptable evidence, forbidden outcomes, risk class, success metrics and fallback. Without this, optimization selects for activity rather than outcomes.</w:t>
            </w:r>
          </w:p>
        </w:tc>
      </w:tr>
      <w:tr>
        <w:tc>
          <w:tcPr>
            <w:tcW w:type="dxa" w:w="5083"/>
            <w:vAlign w:val="top"/>
          </w:tcPr>
          <w:p>
            <w:pPr>
              <w:spacing w:after="0"/>
            </w:pPr>
            <w:r/>
            <w:r>
              <w:rPr>
                <w:rFonts w:ascii="Aptos" w:hAnsi="Aptos"/>
                <w:b w:val="0"/>
                <w:sz w:val="16"/>
              </w:rPr>
              <w:t>Versioned Org-IR + lockfile</w:t>
            </w:r>
          </w:p>
        </w:tc>
        <w:tc>
          <w:tcPr>
            <w:tcW w:type="dxa" w:w="5083"/>
            <w:vAlign w:val="top"/>
          </w:tcPr>
          <w:p>
            <w:pPr>
              <w:spacing w:after="0"/>
            </w:pPr>
            <w:r/>
            <w:r>
              <w:rPr>
                <w:rFonts w:ascii="Aptos" w:hAnsi="Aptos"/>
                <w:b w:val="0"/>
                <w:sz w:val="16"/>
              </w:rPr>
              <w:t>Pin agent prompt/model/tools/budget, team topology, gates, knowledge snapshot/reference and evaluator. Replays must be able to explain exactly what organization ran.</w:t>
            </w:r>
          </w:p>
        </w:tc>
      </w:tr>
      <w:tr>
        <w:tc>
          <w:tcPr>
            <w:tcW w:type="dxa" w:w="5083"/>
            <w:vAlign w:val="top"/>
          </w:tcPr>
          <w:p>
            <w:pPr>
              <w:spacing w:after="0"/>
            </w:pPr>
            <w:r/>
            <w:r>
              <w:rPr>
                <w:rFonts w:ascii="Aptos" w:hAnsi="Aptos"/>
                <w:b w:val="0"/>
                <w:sz w:val="16"/>
              </w:rPr>
              <w:t>Evaluation harness</w:t>
            </w:r>
          </w:p>
        </w:tc>
        <w:tc>
          <w:tcPr>
            <w:tcW w:type="dxa" w:w="5083"/>
            <w:vAlign w:val="top"/>
          </w:tcPr>
          <w:p>
            <w:pPr>
              <w:spacing w:after="0"/>
            </w:pPr>
            <w:r/>
            <w:r>
              <w:rPr>
                <w:rFonts w:ascii="Aptos" w:hAnsi="Aptos"/>
                <w:b w:val="0"/>
                <w:sz w:val="16"/>
              </w:rPr>
              <w:t>Replay known failures and known-good fixes; prove RED→GREEN; regression suite; cost and latency; held-out mission set. This is the gate for all evolution claims.</w:t>
            </w:r>
          </w:p>
        </w:tc>
      </w:tr>
      <w:tr>
        <w:tc>
          <w:tcPr>
            <w:tcW w:type="dxa" w:w="5083"/>
            <w:vAlign w:val="top"/>
          </w:tcPr>
          <w:p>
            <w:pPr>
              <w:spacing w:after="0"/>
            </w:pPr>
            <w:r/>
            <w:r>
              <w:rPr>
                <w:rFonts w:ascii="Aptos" w:hAnsi="Aptos"/>
                <w:b w:val="0"/>
                <w:sz w:val="16"/>
              </w:rPr>
              <w:t>Provenance + evidence model</w:t>
            </w:r>
          </w:p>
        </w:tc>
        <w:tc>
          <w:tcPr>
            <w:tcW w:type="dxa" w:w="5083"/>
            <w:vAlign w:val="top"/>
          </w:tcPr>
          <w:p>
            <w:pPr>
              <w:spacing w:after="0"/>
            </w:pPr>
            <w:r/>
            <w:r>
              <w:rPr>
                <w:rFonts w:ascii="Aptos" w:hAnsi="Aptos"/>
                <w:b w:val="0"/>
                <w:sz w:val="16"/>
              </w:rPr>
              <w:t>Claims, artifacts, decisions and knowledge writes carry source, author/agent, time, confidence and mission linkage.</w:t>
            </w:r>
          </w:p>
        </w:tc>
      </w:tr>
      <w:tr>
        <w:tc>
          <w:tcPr>
            <w:tcW w:type="dxa" w:w="5083"/>
            <w:vAlign w:val="top"/>
          </w:tcPr>
          <w:p>
            <w:pPr>
              <w:spacing w:after="0"/>
            </w:pPr>
            <w:r/>
            <w:r>
              <w:rPr>
                <w:rFonts w:ascii="Aptos" w:hAnsi="Aptos"/>
                <w:b w:val="0"/>
                <w:sz w:val="16"/>
              </w:rPr>
              <w:t>Organization debugger / replay</w:t>
            </w:r>
          </w:p>
        </w:tc>
        <w:tc>
          <w:tcPr>
            <w:tcW w:type="dxa" w:w="5083"/>
            <w:vAlign w:val="top"/>
          </w:tcPr>
          <w:p>
            <w:pPr>
              <w:spacing w:after="0"/>
            </w:pPr>
            <w:r/>
            <w:r>
              <w:rPr>
                <w:rFonts w:ascii="Aptos" w:hAnsi="Aptos"/>
                <w:b w:val="0"/>
                <w:sz w:val="16"/>
              </w:rPr>
              <w:t>Timeline of nodes, tool calls, evidence, decisions, gates, costs and mutations. Essential for client trust and engineering diagnosis.</w:t>
            </w:r>
          </w:p>
        </w:tc>
      </w:tr>
      <w:tr>
        <w:tc>
          <w:tcPr>
            <w:tcW w:type="dxa" w:w="5083"/>
            <w:vAlign w:val="top"/>
          </w:tcPr>
          <w:p>
            <w:pPr>
              <w:spacing w:after="0"/>
            </w:pPr>
            <w:r/>
            <w:r>
              <w:rPr>
                <w:rFonts w:ascii="Aptos" w:hAnsi="Aptos"/>
                <w:b w:val="0"/>
                <w:sz w:val="16"/>
              </w:rPr>
              <w:t>Capability readiness / preflight</w:t>
            </w:r>
          </w:p>
        </w:tc>
        <w:tc>
          <w:tcPr>
            <w:tcW w:type="dxa" w:w="5083"/>
            <w:vAlign w:val="top"/>
          </w:tcPr>
          <w:p>
            <w:pPr>
              <w:spacing w:after="0"/>
            </w:pPr>
            <w:r/>
            <w:r>
              <w:rPr>
                <w:rFonts w:ascii="Aptos" w:hAnsi="Aptos"/>
                <w:b w:val="0"/>
                <w:sz w:val="16"/>
              </w:rPr>
              <w:t>Validate not merely infrastructure reachability but whether credentials/contracts/artifacts/models/tools needed for the specific change are actually viable.</w:t>
            </w:r>
          </w:p>
        </w:tc>
      </w:tr>
      <w:tr>
        <w:tc>
          <w:tcPr>
            <w:tcW w:type="dxa" w:w="5083"/>
            <w:vAlign w:val="top"/>
          </w:tcPr>
          <w:p>
            <w:pPr>
              <w:spacing w:after="0"/>
            </w:pPr>
            <w:r/>
            <w:r>
              <w:rPr>
                <w:rFonts w:ascii="Aptos" w:hAnsi="Aptos"/>
                <w:b w:val="0"/>
                <w:sz w:val="16"/>
              </w:rPr>
              <w:t>Mission Control / human control plane</w:t>
            </w:r>
          </w:p>
        </w:tc>
        <w:tc>
          <w:tcPr>
            <w:tcW w:type="dxa" w:w="5083"/>
            <w:vAlign w:val="top"/>
          </w:tcPr>
          <w:p>
            <w:pPr>
              <w:spacing w:after="0"/>
            </w:pPr>
            <w:r/>
            <w:r>
              <w:rPr>
                <w:rFonts w:ascii="Aptos" w:hAnsi="Aptos"/>
                <w:b w:val="0"/>
                <w:sz w:val="16"/>
              </w:rPr>
              <w:t>What is broken, why, confidence, evidence, proposed action, next gate, who owns it, and how to intervene/rollback.</w:t>
            </w:r>
          </w:p>
        </w:tc>
      </w:tr>
      <w:tr>
        <w:tc>
          <w:tcPr>
            <w:tcW w:type="dxa" w:w="5083"/>
            <w:vAlign w:val="top"/>
          </w:tcPr>
          <w:p>
            <w:pPr>
              <w:spacing w:after="0"/>
            </w:pPr>
            <w:r/>
            <w:r>
              <w:rPr>
                <w:rFonts w:ascii="Aptos" w:hAnsi="Aptos"/>
                <w:b w:val="0"/>
                <w:sz w:val="16"/>
              </w:rPr>
              <w:t>Knowledge lifecycle</w:t>
            </w:r>
          </w:p>
        </w:tc>
        <w:tc>
          <w:tcPr>
            <w:tcW w:type="dxa" w:w="5083"/>
            <w:vAlign w:val="top"/>
          </w:tcPr>
          <w:p>
            <w:pPr>
              <w:spacing w:after="0"/>
            </w:pPr>
            <w:r/>
            <w:r>
              <w:rPr>
                <w:rFonts w:ascii="Aptos" w:hAnsi="Aptos"/>
                <w:b w:val="0"/>
                <w:sz w:val="16"/>
              </w:rPr>
              <w:t>Ingest, retrieve, contradict, supersede, expire/archive and measure knowledge usefulness. Avoid an ever-growing uncurated memory dump.</w:t>
            </w:r>
          </w:p>
        </w:tc>
      </w:tr>
      <w:tr>
        <w:tc>
          <w:tcPr>
            <w:tcW w:type="dxa" w:w="5083"/>
            <w:vAlign w:val="top"/>
          </w:tcPr>
          <w:p>
            <w:pPr>
              <w:spacing w:after="0"/>
            </w:pPr>
            <w:r/>
            <w:r>
              <w:rPr>
                <w:rFonts w:ascii="Aptos" w:hAnsi="Aptos"/>
                <w:b w:val="0"/>
                <w:sz w:val="16"/>
              </w:rPr>
              <w:t>Experiment registry</w:t>
            </w:r>
          </w:p>
        </w:tc>
        <w:tc>
          <w:tcPr>
            <w:tcW w:type="dxa" w:w="5083"/>
            <w:vAlign w:val="top"/>
          </w:tcPr>
          <w:p>
            <w:pPr>
              <w:spacing w:after="0"/>
            </w:pPr>
            <w:r/>
            <w:r>
              <w:rPr>
                <w:rFonts w:ascii="Aptos" w:hAnsi="Aptos"/>
                <w:b w:val="0"/>
                <w:sz w:val="16"/>
              </w:rPr>
              <w:t>Every frontier topology change gets hypothesis, version, eval set, metrics, result, decision and promotion status.</w:t>
            </w:r>
          </w:p>
        </w:tc>
      </w:tr>
    </w:tbl>
    <w:tbl>
      <w:tblPr>
        <w:tblW w:type="auto" w:w="0"/>
        <w:jc w:val="center"/>
        <w:tblLook w:firstColumn="1" w:firstRow="1" w:lastColumn="0" w:lastRow="0" w:noHBand="0" w:noVBand="1" w:val="04A0"/>
      </w:tblPr>
      <w:tblGrid>
        <w:gridCol w:w="10166"/>
      </w:tblGrid>
      <w:tr>
        <w:tc>
          <w:tcPr>
            <w:tcW w:type="dxa" w:w="10166"/>
            <w:shd w:fill="EEF3F8"/>
          </w:tcPr>
          <w:p>
            <w:pPr>
              <w:pStyle w:val="QuoteBox"/>
            </w:pPr>
            <w:r>
              <w:rPr>
                <w:b/>
              </w:rPr>
              <w:t xml:space="preserve">Roadmap constraint — </w:t>
            </w:r>
            <w:r>
              <w:t>Do not build autonomous topology mutation, markets, or institution self-amendment until the Organization Lab can replay a mission with pinned versions and prove whether the candidate organization improved the intended outcome on held-out cases.</w:t>
            </w:r>
          </w:p>
        </w:tc>
      </w:tr>
    </w:tbl>
    <w:p>
      <w:pPr>
        <w:pStyle w:val="Heading1"/>
        <w:keepNext/>
      </w:pPr>
      <w:r>
        <w:t>8. How this becomes a business advantage in concrete Agent Factory use-cases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CE5EF"/>
          </w:tcPr>
          <w:p>
            <w:pPr>
              <w:spacing w:after="0"/>
            </w:pPr>
            <w:r/>
            <w:r>
              <w:rPr>
                <w:rFonts w:ascii="Aptos" w:hAnsi="Aptos"/>
                <w:b/>
                <w:sz w:val="15"/>
              </w:rPr>
              <w:t>Use case</w:t>
            </w:r>
          </w:p>
        </w:tc>
        <w:tc>
          <w:tcPr>
            <w:tcW w:type="dxa" w:w="2541"/>
            <w:shd w:fill="DCE5EF"/>
          </w:tcPr>
          <w:p>
            <w:pPr>
              <w:spacing w:after="0"/>
            </w:pPr>
            <w:r/>
            <w:r>
              <w:rPr>
                <w:rFonts w:ascii="Aptos" w:hAnsi="Aptos"/>
                <w:b/>
                <w:sz w:val="15"/>
              </w:rPr>
              <w:t>Architecture combination</w:t>
            </w:r>
          </w:p>
        </w:tc>
        <w:tc>
          <w:tcPr>
            <w:tcW w:type="dxa" w:w="2541"/>
            <w:shd w:fill="DCE5EF"/>
          </w:tcPr>
          <w:p>
            <w:pPr>
              <w:spacing w:after="0"/>
            </w:pPr>
            <w:r/>
            <w:r>
              <w:rPr>
                <w:rFonts w:ascii="Aptos" w:hAnsi="Aptos"/>
                <w:b/>
                <w:sz w:val="15"/>
              </w:rPr>
              <w:t>Business / client gain</w:t>
            </w:r>
          </w:p>
        </w:tc>
        <w:tc>
          <w:tcPr>
            <w:tcW w:type="dxa" w:w="2541"/>
            <w:shd w:fill="DCE5EF"/>
          </w:tcPr>
          <w:p>
            <w:pPr>
              <w:spacing w:after="0"/>
            </w:pPr>
            <w:r/>
            <w:r>
              <w:rPr>
                <w:rFonts w:ascii="Aptos" w:hAnsi="Aptos"/>
                <w:b/>
                <w:sz w:val="15"/>
              </w:rPr>
              <w:t>Trust artifact</w:t>
            </w:r>
          </w:p>
        </w:tc>
      </w:tr>
      <w:tr>
        <w:tc>
          <w:tcPr>
            <w:tcW w:type="dxa" w:w="2541"/>
            <w:vAlign w:val="top"/>
          </w:tcPr>
          <w:p>
            <w:pPr>
              <w:spacing w:after="0"/>
            </w:pPr>
            <w:r/>
            <w:r>
              <w:rPr>
                <w:rFonts w:ascii="Aptos" w:hAnsi="Aptos"/>
                <w:b w:val="0"/>
                <w:sz w:val="15"/>
              </w:rPr>
              <w:t>Connector / migration factory</w:t>
            </w:r>
          </w:p>
        </w:tc>
        <w:tc>
          <w:tcPr>
            <w:tcW w:type="dxa" w:w="2541"/>
            <w:vAlign w:val="top"/>
          </w:tcPr>
          <w:p>
            <w:pPr>
              <w:spacing w:after="0"/>
            </w:pPr>
            <w:r/>
            <w:r>
              <w:rPr>
                <w:rFonts w:ascii="Aptos" w:hAnsi="Aptos"/>
                <w:b w:val="0"/>
                <w:sz w:val="15"/>
              </w:rPr>
              <w:t>Mission Hypergraph + Constitutional Preflight + Shadow Twin</w:t>
            </w:r>
          </w:p>
        </w:tc>
        <w:tc>
          <w:tcPr>
            <w:tcW w:type="dxa" w:w="2541"/>
            <w:vAlign w:val="top"/>
          </w:tcPr>
          <w:p>
            <w:pPr>
              <w:spacing w:after="0"/>
            </w:pPr>
            <w:r/>
            <w:r>
              <w:rPr>
                <w:rFonts w:ascii="Aptos" w:hAnsi="Aptos"/>
                <w:b w:val="0"/>
                <w:sz w:val="15"/>
              </w:rPr>
              <w:t>Higher first-pass migration success; fewer auth/config/runtime surprises; reusable mission blueprints; faster client onboarding.</w:t>
            </w:r>
          </w:p>
        </w:tc>
        <w:tc>
          <w:tcPr>
            <w:tcW w:type="dxa" w:w="2541"/>
            <w:vAlign w:val="top"/>
          </w:tcPr>
          <w:p>
            <w:pPr>
              <w:spacing w:after="0"/>
            </w:pPr>
            <w:r/>
            <w:r>
              <w:rPr>
                <w:rFonts w:ascii="Aptos" w:hAnsi="Aptos"/>
                <w:b w:val="0"/>
                <w:sz w:val="15"/>
              </w:rPr>
              <w:t>Mission assurance receipt showing required checks, diff, tests, parity evidence, approvals and rollback.</w:t>
            </w:r>
          </w:p>
        </w:tc>
      </w:tr>
      <w:tr>
        <w:tc>
          <w:tcPr>
            <w:tcW w:type="dxa" w:w="2541"/>
            <w:vAlign w:val="top"/>
          </w:tcPr>
          <w:p>
            <w:pPr>
              <w:spacing w:after="0"/>
            </w:pPr>
            <w:r/>
            <w:r>
              <w:rPr>
                <w:rFonts w:ascii="Aptos" w:hAnsi="Aptos"/>
                <w:b w:val="0"/>
                <w:sz w:val="15"/>
              </w:rPr>
              <w:t>Rapid incident / triage</w:t>
            </w:r>
          </w:p>
        </w:tc>
        <w:tc>
          <w:tcPr>
            <w:tcW w:type="dxa" w:w="2541"/>
            <w:vAlign w:val="top"/>
          </w:tcPr>
          <w:p>
            <w:pPr>
              <w:spacing w:after="0"/>
            </w:pPr>
            <w:r/>
            <w:r>
              <w:rPr>
                <w:rFonts w:ascii="Aptos" w:hAnsi="Aptos"/>
                <w:b w:val="0"/>
                <w:sz w:val="15"/>
              </w:rPr>
              <w:t>Global Workspace + Temporal Echelons + bounded Reconciliation</w:t>
            </w:r>
          </w:p>
        </w:tc>
        <w:tc>
          <w:tcPr>
            <w:tcW w:type="dxa" w:w="2541"/>
            <w:vAlign w:val="top"/>
          </w:tcPr>
          <w:p>
            <w:pPr>
              <w:spacing w:after="0"/>
            </w:pPr>
            <w:r/>
            <w:r>
              <w:rPr>
                <w:rFonts w:ascii="Aptos" w:hAnsi="Aptos"/>
                <w:b w:val="0"/>
                <w:sz w:val="15"/>
              </w:rPr>
              <w:t>Faster diagnosis and recovery; less duplicate investigation; recurring problems escalate into deeper reliability work.</w:t>
            </w:r>
          </w:p>
        </w:tc>
        <w:tc>
          <w:tcPr>
            <w:tcW w:type="dxa" w:w="2541"/>
            <w:vAlign w:val="top"/>
          </w:tcPr>
          <w:p>
            <w:pPr>
              <w:spacing w:after="0"/>
            </w:pPr>
            <w:r/>
            <w:r>
              <w:rPr>
                <w:rFonts w:ascii="Aptos" w:hAnsi="Aptos"/>
                <w:b w:val="0"/>
                <w:sz w:val="15"/>
              </w:rPr>
              <w:t>Timeline showing hypotheses, decisive evidence, actions, recovery, and recurrence-prevention owner.</w:t>
            </w:r>
          </w:p>
        </w:tc>
      </w:tr>
      <w:tr>
        <w:tc>
          <w:tcPr>
            <w:tcW w:type="dxa" w:w="2541"/>
            <w:vAlign w:val="top"/>
          </w:tcPr>
          <w:p>
            <w:pPr>
              <w:spacing w:after="0"/>
            </w:pPr>
            <w:r/>
            <w:r>
              <w:rPr>
                <w:rFonts w:ascii="Aptos" w:hAnsi="Aptos"/>
                <w:b w:val="0"/>
                <w:sz w:val="15"/>
              </w:rPr>
              <w:t>Client discovery / briefing room</w:t>
            </w:r>
          </w:p>
        </w:tc>
        <w:tc>
          <w:tcPr>
            <w:tcW w:type="dxa" w:w="2541"/>
            <w:vAlign w:val="top"/>
          </w:tcPr>
          <w:p>
            <w:pPr>
              <w:spacing w:after="0"/>
            </w:pPr>
            <w:r/>
            <w:r>
              <w:rPr>
                <w:rFonts w:ascii="Aptos" w:hAnsi="Aptos"/>
                <w:b w:val="0"/>
                <w:sz w:val="15"/>
              </w:rPr>
              <w:t>Global Workspace + Bicameral review + Federation boundaries</w:t>
            </w:r>
          </w:p>
        </w:tc>
        <w:tc>
          <w:tcPr>
            <w:tcW w:type="dxa" w:w="2541"/>
            <w:vAlign w:val="top"/>
          </w:tcPr>
          <w:p>
            <w:pPr>
              <w:spacing w:after="0"/>
            </w:pPr>
            <w:r/>
            <w:r>
              <w:rPr>
                <w:rFonts w:ascii="Aptos" w:hAnsi="Aptos"/>
                <w:b w:val="0"/>
                <w:sz w:val="15"/>
              </w:rPr>
              <w:t>Fewer clarification loops; higher spec completeness; client-specific knowledge remains isolated while reusable domain knowledge can cross safely.</w:t>
            </w:r>
          </w:p>
        </w:tc>
        <w:tc>
          <w:tcPr>
            <w:tcW w:type="dxa" w:w="2541"/>
            <w:vAlign w:val="top"/>
          </w:tcPr>
          <w:p>
            <w:pPr>
              <w:spacing w:after="0"/>
            </w:pPr>
            <w:r/>
            <w:r>
              <w:rPr>
                <w:rFonts w:ascii="Aptos" w:hAnsi="Aptos"/>
                <w:b w:val="0"/>
                <w:sz w:val="15"/>
              </w:rPr>
              <w:t>Client-approved Intent Contract + unresolved uncertainty map + source/provenance trail.</w:t>
            </w:r>
          </w:p>
        </w:tc>
      </w:tr>
      <w:tr>
        <w:tc>
          <w:tcPr>
            <w:tcW w:type="dxa" w:w="2541"/>
            <w:vAlign w:val="top"/>
          </w:tcPr>
          <w:p>
            <w:pPr>
              <w:spacing w:after="0"/>
            </w:pPr>
            <w:r/>
            <w:r>
              <w:rPr>
                <w:rFonts w:ascii="Aptos" w:hAnsi="Aptos"/>
                <w:b w:val="0"/>
                <w:sz w:val="15"/>
              </w:rPr>
              <w:t>Multi-client managed agent teams</w:t>
            </w:r>
          </w:p>
        </w:tc>
        <w:tc>
          <w:tcPr>
            <w:tcW w:type="dxa" w:w="2541"/>
            <w:vAlign w:val="top"/>
          </w:tcPr>
          <w:p>
            <w:pPr>
              <w:spacing w:after="0"/>
            </w:pPr>
            <w:r/>
            <w:r>
              <w:rPr>
                <w:rFonts w:ascii="Aptos" w:hAnsi="Aptos"/>
                <w:b w:val="0"/>
                <w:sz w:val="15"/>
              </w:rPr>
              <w:t>Federation + Holarchy + Constitution</w:t>
            </w:r>
          </w:p>
        </w:tc>
        <w:tc>
          <w:tcPr>
            <w:tcW w:type="dxa" w:w="2541"/>
            <w:vAlign w:val="top"/>
          </w:tcPr>
          <w:p>
            <w:pPr>
              <w:spacing w:after="0"/>
            </w:pPr>
            <w:r/>
            <w:r>
              <w:rPr>
                <w:rFonts w:ascii="Aptos" w:hAnsi="Aptos"/>
                <w:b w:val="0"/>
                <w:sz w:val="15"/>
              </w:rPr>
              <w:t>Scale number of clients without one giant context/policy plane; local autonomy with platform governance.</w:t>
            </w:r>
          </w:p>
        </w:tc>
        <w:tc>
          <w:tcPr>
            <w:tcW w:type="dxa" w:w="2541"/>
            <w:vAlign w:val="top"/>
          </w:tcPr>
          <w:p>
            <w:pPr>
              <w:spacing w:after="0"/>
            </w:pPr>
            <w:r/>
            <w:r>
              <w:rPr>
                <w:rFonts w:ascii="Aptos" w:hAnsi="Aptos"/>
                <w:b w:val="0"/>
                <w:sz w:val="15"/>
              </w:rPr>
              <w:t>Tenant/client boundary certificate, approved capabilities, pinned organization version and audit trail.</w:t>
            </w:r>
          </w:p>
        </w:tc>
      </w:tr>
      <w:tr>
        <w:tc>
          <w:tcPr>
            <w:tcW w:type="dxa" w:w="2541"/>
            <w:vAlign w:val="top"/>
          </w:tcPr>
          <w:p>
            <w:pPr>
              <w:spacing w:after="0"/>
            </w:pPr>
            <w:r/>
            <w:r>
              <w:rPr>
                <w:rFonts w:ascii="Aptos" w:hAnsi="Aptos"/>
                <w:b w:val="0"/>
                <w:sz w:val="15"/>
              </w:rPr>
              <w:t>Continuous platform reliability</w:t>
            </w:r>
          </w:p>
        </w:tc>
        <w:tc>
          <w:tcPr>
            <w:tcW w:type="dxa" w:w="2541"/>
            <w:vAlign w:val="top"/>
          </w:tcPr>
          <w:p>
            <w:pPr>
              <w:spacing w:after="0"/>
            </w:pPr>
            <w:r/>
            <w:r>
              <w:rPr>
                <w:rFonts w:ascii="Aptos" w:hAnsi="Aptos"/>
                <w:b w:val="0"/>
                <w:sz w:val="15"/>
              </w:rPr>
              <w:t>Self-Reconciliation + Temporal Echelons</w:t>
            </w:r>
          </w:p>
        </w:tc>
        <w:tc>
          <w:tcPr>
            <w:tcW w:type="dxa" w:w="2541"/>
            <w:vAlign w:val="top"/>
          </w:tcPr>
          <w:p>
            <w:pPr>
              <w:spacing w:after="0"/>
            </w:pPr>
            <w:r/>
            <w:r>
              <w:rPr>
                <w:rFonts w:ascii="Aptos" w:hAnsi="Aptos"/>
                <w:b w:val="0"/>
                <w:sz w:val="15"/>
              </w:rPr>
              <w:t>Lower operational support burden and repeated failure cost; Factory maintains its own certified configuration.</w:t>
            </w:r>
          </w:p>
        </w:tc>
        <w:tc>
          <w:tcPr>
            <w:tcW w:type="dxa" w:w="2541"/>
            <w:vAlign w:val="top"/>
          </w:tcPr>
          <w:p>
            <w:pPr>
              <w:spacing w:after="0"/>
            </w:pPr>
            <w:r/>
            <w:r>
              <w:rPr>
                <w:rFonts w:ascii="Aptos" w:hAnsi="Aptos"/>
                <w:b w:val="0"/>
                <w:sz w:val="15"/>
              </w:rPr>
              <w:t>Health/certification state, automatic fallback record, incident evidence and human override history.</w:t>
            </w:r>
          </w:p>
        </w:tc>
      </w:tr>
      <w:tr>
        <w:tc>
          <w:tcPr>
            <w:tcW w:type="dxa" w:w="2541"/>
            <w:vAlign w:val="top"/>
          </w:tcPr>
          <w:p>
            <w:pPr>
              <w:spacing w:after="0"/>
            </w:pPr>
            <w:r/>
            <w:r>
              <w:rPr>
                <w:rFonts w:ascii="Aptos" w:hAnsi="Aptos"/>
                <w:b w:val="0"/>
                <w:sz w:val="15"/>
              </w:rPr>
              <w:t>Agentic R&amp;D / product moat</w:t>
            </w:r>
          </w:p>
        </w:tc>
        <w:tc>
          <w:tcPr>
            <w:tcW w:type="dxa" w:w="2541"/>
            <w:vAlign w:val="top"/>
          </w:tcPr>
          <w:p>
            <w:pPr>
              <w:spacing w:after="0"/>
            </w:pPr>
            <w:r/>
            <w:r>
              <w:rPr>
                <w:rFonts w:ascii="Aptos" w:hAnsi="Aptos"/>
                <w:b w:val="0"/>
                <w:sz w:val="15"/>
              </w:rPr>
              <w:t>Shadow Twin + Evolutionary Ecology + Quality-Diversity archive</w:t>
            </w:r>
          </w:p>
        </w:tc>
        <w:tc>
          <w:tcPr>
            <w:tcW w:type="dxa" w:w="2541"/>
            <w:vAlign w:val="top"/>
          </w:tcPr>
          <w:p>
            <w:pPr>
              <w:spacing w:after="0"/>
            </w:pPr>
            <w:r/>
            <w:r>
              <w:rPr>
                <w:rFonts w:ascii="Aptos" w:hAnsi="Aptos"/>
                <w:b w:val="0"/>
                <w:sz w:val="15"/>
              </w:rPr>
              <w:t>Continuously discover cheaper/better org designs using real replay data; convert successful repeated behavior into presets/meta-tools.</w:t>
            </w:r>
          </w:p>
        </w:tc>
        <w:tc>
          <w:tcPr>
            <w:tcW w:type="dxa" w:w="2541"/>
            <w:vAlign w:val="top"/>
          </w:tcPr>
          <w:p>
            <w:pPr>
              <w:spacing w:after="0"/>
            </w:pPr>
            <w:r/>
            <w:r>
              <w:rPr>
                <w:rFonts w:ascii="Aptos" w:hAnsi="Aptos"/>
                <w:b w:val="0"/>
                <w:sz w:val="15"/>
              </w:rPr>
              <w:t>Clients see only certified promoted org versions and trend evidence—not experimental mutation.</w:t>
            </w:r>
          </w:p>
        </w:tc>
      </w:tr>
    </w:tbl>
    <w:p>
      <w:pPr>
        <w:pStyle w:val="Heading1"/>
        <w:keepNext/>
      </w:pPr>
      <w:r>
        <w:t>9. Client trust should become a product surface, not just an internal property</w:t>
      </w:r>
    </w:p>
    <w:p>
      <w:r>
        <w:t>If Agent Factory is used for client-facing production work, “more autonomous” is not inherently persuasive. The stronger product story is controlled autonomy with proof. Every meaningful mission should be able to emit a concise machine-generated assurance receipt.</w:t>
      </w:r>
    </w:p>
    <w:p>
      <w:pPr>
        <w:jc w:val="center"/>
      </w:pPr>
      <w:r>
        <w:drawing>
          <wp:inline xmlns:a="http://schemas.openxmlformats.org/drawingml/2006/main" xmlns:pic="http://schemas.openxmlformats.org/drawingml/2006/picture">
            <wp:extent cx="5166360" cy="7322199"/>
            <wp:docPr id="4" name="Picture 4"/>
            <wp:cNvGraphicFramePr>
              <a:graphicFrameLocks noChangeAspect="1"/>
            </wp:cNvGraphicFramePr>
            <a:graphic>
              <a:graphicData uri="http://schemas.openxmlformats.org/drawingml/2006/picture">
                <pic:pic>
                  <pic:nvPicPr>
                    <pic:cNvPr id="0" name="trust_certificate.png"/>
                    <pic:cNvPicPr/>
                  </pic:nvPicPr>
                  <pic:blipFill>
                    <a:blip r:embed="rId12"/>
                    <a:stretch>
                      <a:fillRect/>
                    </a:stretch>
                  </pic:blipFill>
                  <pic:spPr>
                    <a:xfrm>
                      <a:off x="0" y="0"/>
                      <a:ext cx="5166360" cy="7322199"/>
                    </a:xfrm>
                    <a:prstGeom prst="rect"/>
                  </pic:spPr>
                </pic:pic>
              </a:graphicData>
            </a:graphic>
          </wp:inline>
        </w:drawing>
      </w:r>
    </w:p>
    <w:p>
      <w:pPr>
        <w:pStyle w:val="Small"/>
        <w:jc w:val="center"/>
      </w:pPr>
      <w:r>
        <w:t>Figure 4 — Proposed client-facing Mission Assurance Receipt generated from the same evidence used by the runtime.</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Receipt section</w:t>
            </w:r>
          </w:p>
        </w:tc>
        <w:tc>
          <w:tcPr>
            <w:tcW w:type="dxa" w:w="5083"/>
            <w:shd w:fill="DCE5EF"/>
          </w:tcPr>
          <w:p>
            <w:pPr>
              <w:spacing w:after="0"/>
            </w:pPr>
            <w:r/>
            <w:r>
              <w:rPr>
                <w:rFonts w:ascii="Aptos" w:hAnsi="Aptos"/>
                <w:b/>
                <w:sz w:val="16"/>
              </w:rPr>
              <w:t>Client-visible content</w:t>
            </w:r>
          </w:p>
        </w:tc>
      </w:tr>
      <w:tr>
        <w:tc>
          <w:tcPr>
            <w:tcW w:type="dxa" w:w="5083"/>
            <w:vAlign w:val="top"/>
          </w:tcPr>
          <w:p>
            <w:pPr>
              <w:spacing w:after="0"/>
            </w:pPr>
            <w:r/>
            <w:r>
              <w:rPr>
                <w:rFonts w:ascii="Aptos" w:hAnsi="Aptos"/>
                <w:b w:val="0"/>
                <w:sz w:val="16"/>
              </w:rPr>
              <w:t>Identity</w:t>
            </w:r>
          </w:p>
        </w:tc>
        <w:tc>
          <w:tcPr>
            <w:tcW w:type="dxa" w:w="5083"/>
            <w:vAlign w:val="top"/>
          </w:tcPr>
          <w:p>
            <w:pPr>
              <w:spacing w:after="0"/>
            </w:pPr>
            <w:r/>
            <w:r>
              <w:rPr>
                <w:rFonts w:ascii="Aptos" w:hAnsi="Aptos"/>
                <w:b w:val="0"/>
                <w:sz w:val="16"/>
              </w:rPr>
              <w:t>Mission ID; client/project; Intent Contract version; risk class.</w:t>
            </w:r>
          </w:p>
        </w:tc>
      </w:tr>
      <w:tr>
        <w:tc>
          <w:tcPr>
            <w:tcW w:type="dxa" w:w="5083"/>
            <w:vAlign w:val="top"/>
          </w:tcPr>
          <w:p>
            <w:pPr>
              <w:spacing w:after="0"/>
            </w:pPr>
            <w:r/>
            <w:r>
              <w:rPr>
                <w:rFonts w:ascii="Aptos" w:hAnsi="Aptos"/>
                <w:b w:val="0"/>
                <w:sz w:val="16"/>
              </w:rPr>
              <w:t>Organization</w:t>
            </w:r>
          </w:p>
        </w:tc>
        <w:tc>
          <w:tcPr>
            <w:tcW w:type="dxa" w:w="5083"/>
            <w:vAlign w:val="top"/>
          </w:tcPr>
          <w:p>
            <w:pPr>
              <w:spacing w:after="0"/>
            </w:pPr>
            <w:r/>
            <w:r>
              <w:rPr>
                <w:rFonts w:ascii="Aptos" w:hAnsi="Aptos"/>
                <w:b w:val="0"/>
                <w:sz w:val="16"/>
              </w:rPr>
              <w:t>Org preset + version; agent/model/tool versions; knowledge snapshot or source references.</w:t>
            </w:r>
          </w:p>
        </w:tc>
      </w:tr>
      <w:tr>
        <w:tc>
          <w:tcPr>
            <w:tcW w:type="dxa" w:w="5083"/>
            <w:vAlign w:val="top"/>
          </w:tcPr>
          <w:p>
            <w:pPr>
              <w:spacing w:after="0"/>
            </w:pPr>
            <w:r/>
            <w:r>
              <w:rPr>
                <w:rFonts w:ascii="Aptos" w:hAnsi="Aptos"/>
                <w:b w:val="0"/>
                <w:sz w:val="16"/>
              </w:rPr>
              <w:t>Execution</w:t>
            </w:r>
          </w:p>
        </w:tc>
        <w:tc>
          <w:tcPr>
            <w:tcW w:type="dxa" w:w="5083"/>
            <w:vAlign w:val="top"/>
          </w:tcPr>
          <w:p>
            <w:pPr>
              <w:spacing w:after="0"/>
            </w:pPr>
            <w:r/>
            <w:r>
              <w:rPr>
                <w:rFonts w:ascii="Aptos" w:hAnsi="Aptos"/>
                <w:b w:val="0"/>
                <w:sz w:val="16"/>
              </w:rPr>
              <w:t>Mission graph; completed/blocked nodes; deterministic vs agentic actions.</w:t>
            </w:r>
          </w:p>
        </w:tc>
      </w:tr>
      <w:tr>
        <w:tc>
          <w:tcPr>
            <w:tcW w:type="dxa" w:w="5083"/>
            <w:vAlign w:val="top"/>
          </w:tcPr>
          <w:p>
            <w:pPr>
              <w:spacing w:after="0"/>
            </w:pPr>
            <w:r/>
            <w:r>
              <w:rPr>
                <w:rFonts w:ascii="Aptos" w:hAnsi="Aptos"/>
                <w:b w:val="0"/>
                <w:sz w:val="16"/>
              </w:rPr>
              <w:t>Evidence</w:t>
            </w:r>
          </w:p>
        </w:tc>
        <w:tc>
          <w:tcPr>
            <w:tcW w:type="dxa" w:w="5083"/>
            <w:vAlign w:val="top"/>
          </w:tcPr>
          <w:p>
            <w:pPr>
              <w:spacing w:after="0"/>
            </w:pPr>
            <w:r/>
            <w:r>
              <w:rPr>
                <w:rFonts w:ascii="Aptos" w:hAnsi="Aptos"/>
                <w:b w:val="0"/>
                <w:sz w:val="16"/>
              </w:rPr>
              <w:t>Tests/evals, RED→GREEN proof, parity/data checks, diff summary, artifact hashes where appropriate.</w:t>
            </w:r>
          </w:p>
        </w:tc>
      </w:tr>
      <w:tr>
        <w:tc>
          <w:tcPr>
            <w:tcW w:type="dxa" w:w="5083"/>
            <w:vAlign w:val="top"/>
          </w:tcPr>
          <w:p>
            <w:pPr>
              <w:spacing w:after="0"/>
            </w:pPr>
            <w:r/>
            <w:r>
              <w:rPr>
                <w:rFonts w:ascii="Aptos" w:hAnsi="Aptos"/>
                <w:b w:val="0"/>
                <w:sz w:val="16"/>
              </w:rPr>
              <w:t>Independent challenge</w:t>
            </w:r>
          </w:p>
        </w:tc>
        <w:tc>
          <w:tcPr>
            <w:tcW w:type="dxa" w:w="5083"/>
            <w:vAlign w:val="top"/>
          </w:tcPr>
          <w:p>
            <w:pPr>
              <w:spacing w:after="0"/>
            </w:pPr>
            <w:r/>
            <w:r>
              <w:rPr>
                <w:rFonts w:ascii="Aptos" w:hAnsi="Aptos"/>
                <w:b w:val="0"/>
                <w:sz w:val="16"/>
              </w:rPr>
              <w:t>Shadow organization agreement/disagreement; skeptic findings; unresolved uncertainty.</w:t>
            </w:r>
          </w:p>
        </w:tc>
      </w:tr>
      <w:tr>
        <w:tc>
          <w:tcPr>
            <w:tcW w:type="dxa" w:w="5083"/>
            <w:vAlign w:val="top"/>
          </w:tcPr>
          <w:p>
            <w:pPr>
              <w:spacing w:after="0"/>
            </w:pPr>
            <w:r/>
            <w:r>
              <w:rPr>
                <w:rFonts w:ascii="Aptos" w:hAnsi="Aptos"/>
                <w:b w:val="0"/>
                <w:sz w:val="16"/>
              </w:rPr>
              <w:t>Governance</w:t>
            </w:r>
          </w:p>
        </w:tc>
        <w:tc>
          <w:tcPr>
            <w:tcW w:type="dxa" w:w="5083"/>
            <w:vAlign w:val="top"/>
          </w:tcPr>
          <w:p>
            <w:pPr>
              <w:spacing w:after="0"/>
            </w:pPr>
            <w:r/>
            <w:r>
              <w:rPr>
                <w:rFonts w:ascii="Aptos" w:hAnsi="Aptos"/>
                <w:b w:val="0"/>
                <w:sz w:val="16"/>
              </w:rPr>
              <w:t>Policies evaluated; human/automatic gates; approvals/rejections; budget actual vs limit.</w:t>
            </w:r>
          </w:p>
        </w:tc>
      </w:tr>
      <w:tr>
        <w:tc>
          <w:tcPr>
            <w:tcW w:type="dxa" w:w="5083"/>
            <w:vAlign w:val="top"/>
          </w:tcPr>
          <w:p>
            <w:pPr>
              <w:spacing w:after="0"/>
            </w:pPr>
            <w:r/>
            <w:r>
              <w:rPr>
                <w:rFonts w:ascii="Aptos" w:hAnsi="Aptos"/>
                <w:b w:val="0"/>
                <w:sz w:val="16"/>
              </w:rPr>
              <w:t>Recovery</w:t>
            </w:r>
          </w:p>
        </w:tc>
        <w:tc>
          <w:tcPr>
            <w:tcW w:type="dxa" w:w="5083"/>
            <w:vAlign w:val="top"/>
          </w:tcPr>
          <w:p>
            <w:pPr>
              <w:spacing w:after="0"/>
            </w:pPr>
            <w:r/>
            <w:r>
              <w:rPr>
                <w:rFonts w:ascii="Aptos" w:hAnsi="Aptos"/>
                <w:b w:val="0"/>
                <w:sz w:val="16"/>
              </w:rPr>
              <w:t>Rollback/canary strategy; last-certified fallback; incident links.</w:t>
            </w:r>
          </w:p>
        </w:tc>
      </w:tr>
      <w:tr>
        <w:tc>
          <w:tcPr>
            <w:tcW w:type="dxa" w:w="5083"/>
            <w:vAlign w:val="top"/>
          </w:tcPr>
          <w:p>
            <w:pPr>
              <w:spacing w:after="0"/>
            </w:pPr>
            <w:r/>
            <w:r>
              <w:rPr>
                <w:rFonts w:ascii="Aptos" w:hAnsi="Aptos"/>
                <w:b w:val="0"/>
                <w:sz w:val="16"/>
              </w:rPr>
              <w:t>Provenance</w:t>
            </w:r>
          </w:p>
        </w:tc>
        <w:tc>
          <w:tcPr>
            <w:tcW w:type="dxa" w:w="5083"/>
            <w:vAlign w:val="top"/>
          </w:tcPr>
          <w:p>
            <w:pPr>
              <w:spacing w:after="0"/>
            </w:pPr>
            <w:r/>
            <w:r>
              <w:rPr>
                <w:rFonts w:ascii="Aptos" w:hAnsi="Aptos"/>
                <w:b w:val="0"/>
                <w:sz w:val="16"/>
              </w:rPr>
              <w:t>Where decisive claims came from and when they were checked.</w:t>
            </w:r>
          </w:p>
        </w:tc>
      </w:tr>
      <w:tr>
        <w:tc>
          <w:tcPr>
            <w:tcW w:type="dxa" w:w="5083"/>
            <w:vAlign w:val="top"/>
          </w:tcPr>
          <w:p>
            <w:pPr>
              <w:spacing w:after="0"/>
            </w:pPr>
            <w:r/>
            <w:r>
              <w:rPr>
                <w:rFonts w:ascii="Aptos" w:hAnsi="Aptos"/>
                <w:b w:val="0"/>
                <w:sz w:val="16"/>
              </w:rPr>
              <w:t>Outcome</w:t>
            </w:r>
          </w:p>
        </w:tc>
        <w:tc>
          <w:tcPr>
            <w:tcW w:type="dxa" w:w="5083"/>
            <w:vAlign w:val="top"/>
          </w:tcPr>
          <w:p>
            <w:pPr>
              <w:spacing w:after="0"/>
            </w:pPr>
            <w:r/>
            <w:r>
              <w:rPr>
                <w:rFonts w:ascii="Aptos" w:hAnsi="Aptos"/>
                <w:b w:val="0"/>
                <w:sz w:val="16"/>
              </w:rPr>
              <w:t>What changed, measured result, residual risk, follow-up commitments.</w:t>
            </w:r>
          </w:p>
        </w:tc>
      </w:tr>
    </w:tbl>
    <w:tbl>
      <w:tblPr>
        <w:tblW w:type="auto" w:w="0"/>
        <w:jc w:val="center"/>
        <w:tblLook w:firstColumn="1" w:firstRow="1" w:lastColumn="0" w:lastRow="0" w:noHBand="0" w:noVBand="1" w:val="04A0"/>
      </w:tblPr>
      <w:tblGrid>
        <w:gridCol w:w="10166"/>
      </w:tblGrid>
      <w:tr>
        <w:tc>
          <w:tcPr>
            <w:tcW w:type="dxa" w:w="10166"/>
            <w:shd w:fill="EEF3F8"/>
          </w:tcPr>
          <w:p>
            <w:pPr>
              <w:pStyle w:val="QuoteBox"/>
            </w:pPr>
            <w:r>
              <w:rPr>
                <w:b/>
              </w:rPr>
              <w:t xml:space="preserve">Commercial implication — </w:t>
            </w:r>
            <w:r>
              <w:t>This can become a differentiator: Agent Factory does not merely say an AI agent completed a task. It can show which certified organization ran, what evidence made the change acceptable, which controls were applied, and how the result can be replayed or rolled back.</w:t>
            </w:r>
          </w:p>
        </w:tc>
      </w:tr>
    </w:tbl>
    <w:p>
      <w:pPr>
        <w:pStyle w:val="Heading1"/>
        <w:keepNext/>
      </w:pPr>
      <w:r>
        <w:t>10. Recommended phased implementation roadmap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CE5EF"/>
          </w:tcPr>
          <w:p>
            <w:pPr>
              <w:spacing w:after="0"/>
            </w:pPr>
            <w:r/>
            <w:r>
              <w:rPr>
                <w:rFonts w:ascii="Aptos" w:hAnsi="Aptos"/>
                <w:b/>
                <w:sz w:val="15"/>
              </w:rPr>
              <w:t>Phase</w:t>
            </w:r>
          </w:p>
        </w:tc>
        <w:tc>
          <w:tcPr>
            <w:tcW w:type="dxa" w:w="2541"/>
            <w:shd w:fill="DCE5EF"/>
          </w:tcPr>
          <w:p>
            <w:pPr>
              <w:spacing w:after="0"/>
            </w:pPr>
            <w:r/>
            <w:r>
              <w:rPr>
                <w:rFonts w:ascii="Aptos" w:hAnsi="Aptos"/>
                <w:b/>
                <w:sz w:val="15"/>
              </w:rPr>
              <w:t>Timing</w:t>
            </w:r>
          </w:p>
        </w:tc>
        <w:tc>
          <w:tcPr>
            <w:tcW w:type="dxa" w:w="2541"/>
            <w:shd w:fill="DCE5EF"/>
          </w:tcPr>
          <w:p>
            <w:pPr>
              <w:spacing w:after="0"/>
            </w:pPr>
            <w:r/>
            <w:r>
              <w:rPr>
                <w:rFonts w:ascii="Aptos" w:hAnsi="Aptos"/>
                <w:b/>
                <w:sz w:val="15"/>
              </w:rPr>
              <w:t>Build</w:t>
            </w:r>
          </w:p>
        </w:tc>
        <w:tc>
          <w:tcPr>
            <w:tcW w:type="dxa" w:w="2541"/>
            <w:shd w:fill="DCE5EF"/>
          </w:tcPr>
          <w:p>
            <w:pPr>
              <w:spacing w:after="0"/>
            </w:pPr>
            <w:r/>
            <w:r>
              <w:rPr>
                <w:rFonts w:ascii="Aptos" w:hAnsi="Aptos"/>
                <w:b/>
                <w:sz w:val="15"/>
              </w:rPr>
              <w:t>Primary payoff</w:t>
            </w:r>
          </w:p>
        </w:tc>
      </w:tr>
      <w:tr>
        <w:tc>
          <w:tcPr>
            <w:tcW w:type="dxa" w:w="2541"/>
            <w:vAlign w:val="top"/>
          </w:tcPr>
          <w:p>
            <w:pPr>
              <w:spacing w:after="0"/>
            </w:pPr>
            <w:r/>
            <w:r>
              <w:rPr>
                <w:rFonts w:ascii="Aptos" w:hAnsi="Aptos"/>
                <w:b w:val="0"/>
                <w:sz w:val="15"/>
              </w:rPr>
              <w:t>Phase A — Assurance substrate</w:t>
            </w:r>
          </w:p>
        </w:tc>
        <w:tc>
          <w:tcPr>
            <w:tcW w:type="dxa" w:w="2541"/>
            <w:vAlign w:val="top"/>
          </w:tcPr>
          <w:p>
            <w:pPr>
              <w:spacing w:after="0"/>
            </w:pPr>
            <w:r/>
            <w:r>
              <w:rPr>
                <w:rFonts w:ascii="Aptos" w:hAnsi="Aptos"/>
                <w:b w:val="0"/>
                <w:sz w:val="15"/>
              </w:rPr>
              <w:t>Now / immediate</w:t>
            </w:r>
          </w:p>
        </w:tc>
        <w:tc>
          <w:tcPr>
            <w:tcW w:type="dxa" w:w="2541"/>
            <w:vAlign w:val="top"/>
          </w:tcPr>
          <w:p>
            <w:pPr>
              <w:spacing w:after="0"/>
            </w:pPr>
            <w:r/>
            <w:r>
              <w:rPr>
                <w:rFonts w:ascii="Aptos" w:hAnsi="Aptos"/>
                <w:b w:val="0"/>
                <w:sz w:val="15"/>
              </w:rPr>
              <w:t>Intent Contract; Org-IR versioning/lockfile; per-mission green criteria; evidence/provenance model; OrganizationPreflight; replay/debug timeline.</w:t>
            </w:r>
          </w:p>
        </w:tc>
        <w:tc>
          <w:tcPr>
            <w:tcW w:type="dxa" w:w="2541"/>
            <w:vAlign w:val="top"/>
          </w:tcPr>
          <w:p>
            <w:pPr>
              <w:spacing w:after="0"/>
            </w:pPr>
            <w:r/>
            <w:r>
              <w:rPr>
                <w:rFonts w:ascii="Aptos" w:hAnsi="Aptos"/>
                <w:b w:val="0"/>
                <w:sz w:val="15"/>
              </w:rPr>
              <w:t>Makes every later experiment measurable and trustable.</w:t>
            </w:r>
          </w:p>
        </w:tc>
      </w:tr>
      <w:tr>
        <w:tc>
          <w:tcPr>
            <w:tcW w:type="dxa" w:w="2541"/>
            <w:vAlign w:val="top"/>
          </w:tcPr>
          <w:p>
            <w:pPr>
              <w:spacing w:after="0"/>
            </w:pPr>
            <w:r/>
            <w:r>
              <w:rPr>
                <w:rFonts w:ascii="Aptos" w:hAnsi="Aptos"/>
                <w:b w:val="0"/>
                <w:sz w:val="15"/>
              </w:rPr>
              <w:t>Phase B — Mission intelligence</w:t>
            </w:r>
          </w:p>
        </w:tc>
        <w:tc>
          <w:tcPr>
            <w:tcW w:type="dxa" w:w="2541"/>
            <w:vAlign w:val="top"/>
          </w:tcPr>
          <w:p>
            <w:pPr>
              <w:spacing w:after="0"/>
            </w:pPr>
            <w:r/>
            <w:r>
              <w:rPr>
                <w:rFonts w:ascii="Aptos" w:hAnsi="Aptos"/>
                <w:b w:val="0"/>
                <w:sz w:val="15"/>
              </w:rPr>
              <w:t>After A</w:t>
            </w:r>
          </w:p>
        </w:tc>
        <w:tc>
          <w:tcPr>
            <w:tcW w:type="dxa" w:w="2541"/>
            <w:vAlign w:val="top"/>
          </w:tcPr>
          <w:p>
            <w:pPr>
              <w:spacing w:after="0"/>
            </w:pPr>
            <w:r/>
            <w:r>
              <w:rPr>
                <w:rFonts w:ascii="Aptos" w:hAnsi="Aptos"/>
                <w:b w:val="0"/>
                <w:sz w:val="15"/>
              </w:rPr>
              <w:t>Mission Hypergraph; bounded Global Workspace; capability/readiness signals; Mission Assurance Receipt.</w:t>
            </w:r>
          </w:p>
        </w:tc>
        <w:tc>
          <w:tcPr>
            <w:tcW w:type="dxa" w:w="2541"/>
            <w:vAlign w:val="top"/>
          </w:tcPr>
          <w:p>
            <w:pPr>
              <w:spacing w:after="0"/>
            </w:pPr>
            <w:r/>
            <w:r>
              <w:rPr>
                <w:rFonts w:ascii="Aptos" w:hAnsi="Aptos"/>
                <w:b w:val="0"/>
                <w:sz w:val="15"/>
              </w:rPr>
              <w:t>Improves coordination, client visibility and context efficiency.</w:t>
            </w:r>
          </w:p>
        </w:tc>
      </w:tr>
      <w:tr>
        <w:tc>
          <w:tcPr>
            <w:tcW w:type="dxa" w:w="2541"/>
            <w:vAlign w:val="top"/>
          </w:tcPr>
          <w:p>
            <w:pPr>
              <w:spacing w:after="0"/>
            </w:pPr>
            <w:r/>
            <w:r>
              <w:rPr>
                <w:rFonts w:ascii="Aptos" w:hAnsi="Aptos"/>
                <w:b w:val="0"/>
                <w:sz w:val="15"/>
              </w:rPr>
              <w:t>Phase C — Safe comparison</w:t>
            </w:r>
          </w:p>
        </w:tc>
        <w:tc>
          <w:tcPr>
            <w:tcW w:type="dxa" w:w="2541"/>
            <w:vAlign w:val="top"/>
          </w:tcPr>
          <w:p>
            <w:pPr>
              <w:spacing w:after="0"/>
            </w:pPr>
            <w:r/>
            <w:r>
              <w:rPr>
                <w:rFonts w:ascii="Aptos" w:hAnsi="Aptos"/>
                <w:b w:val="0"/>
                <w:sz w:val="15"/>
              </w:rPr>
              <w:t>After B</w:t>
            </w:r>
          </w:p>
        </w:tc>
        <w:tc>
          <w:tcPr>
            <w:tcW w:type="dxa" w:w="2541"/>
            <w:vAlign w:val="top"/>
          </w:tcPr>
          <w:p>
            <w:pPr>
              <w:spacing w:after="0"/>
            </w:pPr>
            <w:r/>
            <w:r>
              <w:rPr>
                <w:rFonts w:ascii="Aptos" w:hAnsi="Aptos"/>
                <w:b w:val="0"/>
                <w:sz w:val="15"/>
              </w:rPr>
              <w:t>Shadow Organizations; Builder/Skeptic review for selected decisions; experimental registry.</w:t>
            </w:r>
          </w:p>
        </w:tc>
        <w:tc>
          <w:tcPr>
            <w:tcW w:type="dxa" w:w="2541"/>
            <w:vAlign w:val="top"/>
          </w:tcPr>
          <w:p>
            <w:pPr>
              <w:spacing w:after="0"/>
            </w:pPr>
            <w:r/>
            <w:r>
              <w:rPr>
                <w:rFonts w:ascii="Aptos" w:hAnsi="Aptos"/>
                <w:b w:val="0"/>
                <w:sz w:val="15"/>
              </w:rPr>
              <w:t>Generates high-quality comparison data without changing production authority.</w:t>
            </w:r>
          </w:p>
        </w:tc>
      </w:tr>
      <w:tr>
        <w:tc>
          <w:tcPr>
            <w:tcW w:type="dxa" w:w="2541"/>
            <w:vAlign w:val="top"/>
          </w:tcPr>
          <w:p>
            <w:pPr>
              <w:spacing w:after="0"/>
            </w:pPr>
            <w:r/>
            <w:r>
              <w:rPr>
                <w:rFonts w:ascii="Aptos" w:hAnsi="Aptos"/>
                <w:b w:val="0"/>
                <w:sz w:val="15"/>
              </w:rPr>
              <w:t>Phase D — Bounded self-maintenance</w:t>
            </w:r>
          </w:p>
        </w:tc>
        <w:tc>
          <w:tcPr>
            <w:tcW w:type="dxa" w:w="2541"/>
            <w:vAlign w:val="top"/>
          </w:tcPr>
          <w:p>
            <w:pPr>
              <w:spacing w:after="0"/>
            </w:pPr>
            <w:r/>
            <w:r>
              <w:rPr>
                <w:rFonts w:ascii="Aptos" w:hAnsi="Aptos"/>
                <w:b w:val="0"/>
                <w:sz w:val="15"/>
              </w:rPr>
              <w:t>After C</w:t>
            </w:r>
          </w:p>
        </w:tc>
        <w:tc>
          <w:tcPr>
            <w:tcW w:type="dxa" w:w="2541"/>
            <w:vAlign w:val="top"/>
          </w:tcPr>
          <w:p>
            <w:pPr>
              <w:spacing w:after="0"/>
            </w:pPr>
            <w:r/>
            <w:r>
              <w:rPr>
                <w:rFonts w:ascii="Aptos" w:hAnsi="Aptos"/>
                <w:b w:val="0"/>
                <w:sz w:val="15"/>
              </w:rPr>
              <w:t>Certification monitor; quarantine/fallback/restart/retry by failure class; temporal reliability echelons.</w:t>
            </w:r>
          </w:p>
        </w:tc>
        <w:tc>
          <w:tcPr>
            <w:tcW w:type="dxa" w:w="2541"/>
            <w:vAlign w:val="top"/>
          </w:tcPr>
          <w:p>
            <w:pPr>
              <w:spacing w:after="0"/>
            </w:pPr>
            <w:r/>
            <w:r>
              <w:rPr>
                <w:rFonts w:ascii="Aptos" w:hAnsi="Aptos"/>
                <w:b w:val="0"/>
                <w:sz w:val="15"/>
              </w:rPr>
              <w:t>Improves uptime and operator leverage without autonomous code mutation.</w:t>
            </w:r>
          </w:p>
        </w:tc>
      </w:tr>
      <w:tr>
        <w:tc>
          <w:tcPr>
            <w:tcW w:type="dxa" w:w="2541"/>
            <w:vAlign w:val="top"/>
          </w:tcPr>
          <w:p>
            <w:pPr>
              <w:spacing w:after="0"/>
            </w:pPr>
            <w:r/>
            <w:r>
              <w:rPr>
                <w:rFonts w:ascii="Aptos" w:hAnsi="Aptos"/>
                <w:b w:val="0"/>
                <w:sz w:val="15"/>
              </w:rPr>
              <w:t>Phase E — Organizational scale</w:t>
            </w:r>
          </w:p>
        </w:tc>
        <w:tc>
          <w:tcPr>
            <w:tcW w:type="dxa" w:w="2541"/>
            <w:vAlign w:val="top"/>
          </w:tcPr>
          <w:p>
            <w:pPr>
              <w:spacing w:after="0"/>
            </w:pPr>
            <w:r/>
            <w:r>
              <w:rPr>
                <w:rFonts w:ascii="Aptos" w:hAnsi="Aptos"/>
                <w:b w:val="0"/>
                <w:sz w:val="15"/>
              </w:rPr>
              <w:t>When multiple real armies/domains/clients exist</w:t>
            </w:r>
          </w:p>
        </w:tc>
        <w:tc>
          <w:tcPr>
            <w:tcW w:type="dxa" w:w="2541"/>
            <w:vAlign w:val="top"/>
          </w:tcPr>
          <w:p>
            <w:pPr>
              <w:spacing w:after="0"/>
            </w:pPr>
            <w:r/>
            <w:r>
              <w:rPr>
                <w:rFonts w:ascii="Aptos" w:hAnsi="Aptos"/>
                <w:b w:val="0"/>
                <w:sz w:val="15"/>
              </w:rPr>
              <w:t>Holarchy/Viable Command; federation protocol; client/domain policy boundaries.</w:t>
            </w:r>
          </w:p>
        </w:tc>
        <w:tc>
          <w:tcPr>
            <w:tcW w:type="dxa" w:w="2541"/>
            <w:vAlign w:val="top"/>
          </w:tcPr>
          <w:p>
            <w:pPr>
              <w:spacing w:after="0"/>
            </w:pPr>
            <w:r/>
            <w:r>
              <w:rPr>
                <w:rFonts w:ascii="Aptos" w:hAnsi="Aptos"/>
                <w:b w:val="0"/>
                <w:sz w:val="15"/>
              </w:rPr>
              <w:t>Scales the platform without central-manager/context collapse.</w:t>
            </w:r>
          </w:p>
        </w:tc>
      </w:tr>
      <w:tr>
        <w:tc>
          <w:tcPr>
            <w:tcW w:type="dxa" w:w="2541"/>
            <w:vAlign w:val="top"/>
          </w:tcPr>
          <w:p>
            <w:pPr>
              <w:spacing w:after="0"/>
            </w:pPr>
            <w:r/>
            <w:r>
              <w:rPr>
                <w:rFonts w:ascii="Aptos" w:hAnsi="Aptos"/>
                <w:b w:val="0"/>
                <w:sz w:val="15"/>
              </w:rPr>
              <w:t>Phase F — Optimization lab</w:t>
            </w:r>
          </w:p>
        </w:tc>
        <w:tc>
          <w:tcPr>
            <w:tcW w:type="dxa" w:w="2541"/>
            <w:vAlign w:val="top"/>
          </w:tcPr>
          <w:p>
            <w:pPr>
              <w:spacing w:after="0"/>
            </w:pPr>
            <w:r/>
            <w:r>
              <w:rPr>
                <w:rFonts w:ascii="Aptos" w:hAnsi="Aptos"/>
                <w:b w:val="0"/>
                <w:sz w:val="15"/>
              </w:rPr>
              <w:t>Only after enough replay data</w:t>
            </w:r>
          </w:p>
        </w:tc>
        <w:tc>
          <w:tcPr>
            <w:tcW w:type="dxa" w:w="2541"/>
            <w:vAlign w:val="top"/>
          </w:tcPr>
          <w:p>
            <w:pPr>
              <w:spacing w:after="0"/>
            </w:pPr>
            <w:r/>
            <w:r>
              <w:rPr>
                <w:rFonts w:ascii="Aptos" w:hAnsi="Aptos"/>
                <w:b w:val="0"/>
                <w:sz w:val="15"/>
              </w:rPr>
              <w:t>Capability market in shadow; organization genome search; quality-diversity archive.</w:t>
            </w:r>
          </w:p>
        </w:tc>
        <w:tc>
          <w:tcPr>
            <w:tcW w:type="dxa" w:w="2541"/>
            <w:vAlign w:val="top"/>
          </w:tcPr>
          <w:p>
            <w:pPr>
              <w:spacing w:after="0"/>
            </w:pPr>
            <w:r/>
            <w:r>
              <w:rPr>
                <w:rFonts w:ascii="Aptos" w:hAnsi="Aptos"/>
                <w:b w:val="0"/>
                <w:sz w:val="15"/>
              </w:rPr>
              <w:t>Optimizes cost/performance and starts discovering superior org designs.</w:t>
            </w:r>
          </w:p>
        </w:tc>
      </w:tr>
      <w:tr>
        <w:tc>
          <w:tcPr>
            <w:tcW w:type="dxa" w:w="2541"/>
            <w:vAlign w:val="top"/>
          </w:tcPr>
          <w:p>
            <w:pPr>
              <w:spacing w:after="0"/>
            </w:pPr>
            <w:r/>
            <w:r>
              <w:rPr>
                <w:rFonts w:ascii="Aptos" w:hAnsi="Aptos"/>
                <w:b w:val="0"/>
                <w:sz w:val="15"/>
              </w:rPr>
              <w:t>Phase G — Frontier self-organization</w:t>
            </w:r>
          </w:p>
        </w:tc>
        <w:tc>
          <w:tcPr>
            <w:tcW w:type="dxa" w:w="2541"/>
            <w:vAlign w:val="top"/>
          </w:tcPr>
          <w:p>
            <w:pPr>
              <w:spacing w:after="0"/>
            </w:pPr>
            <w:r/>
            <w:r>
              <w:rPr>
                <w:rFonts w:ascii="Aptos" w:hAnsi="Aptos"/>
                <w:b w:val="0"/>
                <w:sz w:val="15"/>
              </w:rPr>
              <w:t>Research-only until proven</w:t>
            </w:r>
          </w:p>
        </w:tc>
        <w:tc>
          <w:tcPr>
            <w:tcW w:type="dxa" w:w="2541"/>
            <w:vAlign w:val="top"/>
          </w:tcPr>
          <w:p>
            <w:pPr>
              <w:spacing w:after="0"/>
            </w:pPr>
            <w:r/>
            <w:r>
              <w:rPr>
                <w:rFonts w:ascii="Aptos" w:hAnsi="Aptos"/>
                <w:b w:val="0"/>
                <w:sz w:val="15"/>
              </w:rPr>
              <w:t>Stigmergic fields, morphogenesis, institution evolution.</w:t>
            </w:r>
          </w:p>
        </w:tc>
        <w:tc>
          <w:tcPr>
            <w:tcW w:type="dxa" w:w="2541"/>
            <w:vAlign w:val="top"/>
          </w:tcPr>
          <w:p>
            <w:pPr>
              <w:spacing w:after="0"/>
            </w:pPr>
            <w:r/>
            <w:r>
              <w:rPr>
                <w:rFonts w:ascii="Aptos" w:hAnsi="Aptos"/>
                <w:b w:val="0"/>
                <w:sz w:val="15"/>
              </w:rPr>
              <w:t>Explores non-human organizational forms with hard sandbox boundaries.</w:t>
            </w:r>
          </w:p>
        </w:tc>
      </w:tr>
    </w:tbl>
    <w:p>
      <w:pPr>
        <w:pStyle w:val="Heading1"/>
        <w:keepNext/>
      </w:pPr>
      <w:r>
        <w:t>11. What I would explicitly not build yet</w:t>
      </w:r>
    </w:p>
    <w:p>
      <w:pPr>
        <w:pStyle w:val="ListBullet"/>
      </w:pPr>
      <w:r>
        <w:t>A literal eight-level always-on command hierarchy. Most missions need fewer layers; extra management becomes coordination tax.</w:t>
      </w:r>
    </w:p>
    <w:p>
      <w:pPr>
        <w:pStyle w:val="ListBullet"/>
      </w:pPr>
      <w:r>
        <w:t>A full capability marketplace before you have several certified substitutable teams and calibrated cost/success predictions.</w:t>
      </w:r>
    </w:p>
    <w:p>
      <w:pPr>
        <w:pStyle w:val="ListBullet"/>
      </w:pPr>
      <w:r>
        <w:t>Automatic organizational mutation in production. Evolve in replay/sandbox; promote only certified versions.</w:t>
      </w:r>
    </w:p>
    <w:p>
      <w:pPr>
        <w:pStyle w:val="ListBullet"/>
      </w:pPr>
      <w:r>
        <w:t>An unrestricted “self-healing agent” that edits the Factory because something failed. Start with deterministic quarantine/rollback/reconciliation.</w:t>
      </w:r>
    </w:p>
    <w:p>
      <w:pPr>
        <w:pStyle w:val="ListBullet"/>
      </w:pPr>
      <w:r>
        <w:t>All-to-all shared memory. Build bounded promotion, permissions, provenance and lifecycle first.</w:t>
      </w:r>
    </w:p>
    <w:p>
      <w:pPr>
        <w:pStyle w:val="ListBullet"/>
      </w:pPr>
      <w:r>
        <w:t>A flashy civilization/swarm visualization that is not backed by typed mission/organization state. UI should render real contracts and evidence, not metaphor.</w:t>
      </w:r>
    </w:p>
    <w:p>
      <w:pPr>
        <w:pStyle w:val="ListBullet"/>
      </w:pPr>
      <w:r>
        <w:t>Client-facing novelty claims around holarchies, markets, stigmergy or evolution until prior-art research has classified what is actually new.</w:t>
      </w:r>
    </w:p>
    <w:p>
      <w:pPr>
        <w:pStyle w:val="Heading1"/>
        <w:keepNext/>
      </w:pPr>
      <w:r>
        <w:t>12. Promotion gates for frontier research</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Gate</w:t>
            </w:r>
          </w:p>
        </w:tc>
        <w:tc>
          <w:tcPr>
            <w:tcW w:type="dxa" w:w="5083"/>
            <w:shd w:fill="DCE5EF"/>
          </w:tcPr>
          <w:p>
            <w:pPr>
              <w:spacing w:after="0"/>
            </w:pPr>
            <w:r/>
            <w:r>
              <w:rPr>
                <w:rFonts w:ascii="Aptos" w:hAnsi="Aptos"/>
                <w:b/>
                <w:sz w:val="16"/>
              </w:rPr>
              <w:t>Question</w:t>
            </w:r>
          </w:p>
        </w:tc>
      </w:tr>
      <w:tr>
        <w:tc>
          <w:tcPr>
            <w:tcW w:type="dxa" w:w="5083"/>
            <w:vAlign w:val="top"/>
          </w:tcPr>
          <w:p>
            <w:pPr>
              <w:spacing w:after="0"/>
            </w:pPr>
            <w:r/>
            <w:r>
              <w:rPr>
                <w:rFonts w:ascii="Aptos" w:hAnsi="Aptos"/>
                <w:b w:val="0"/>
                <w:sz w:val="16"/>
              </w:rPr>
              <w:t>G0 — Representable</w:t>
            </w:r>
          </w:p>
        </w:tc>
        <w:tc>
          <w:tcPr>
            <w:tcW w:type="dxa" w:w="5083"/>
            <w:vAlign w:val="top"/>
          </w:tcPr>
          <w:p>
            <w:pPr>
              <w:spacing w:after="0"/>
            </w:pPr>
            <w:r/>
            <w:r>
              <w:rPr>
                <w:rFonts w:ascii="Aptos" w:hAnsi="Aptos"/>
                <w:b w:val="0"/>
                <w:sz w:val="16"/>
              </w:rPr>
              <w:t>Can the architecture be encoded in Org-IR without special runtime hacks?</w:t>
            </w:r>
          </w:p>
        </w:tc>
      </w:tr>
      <w:tr>
        <w:tc>
          <w:tcPr>
            <w:tcW w:type="dxa" w:w="5083"/>
            <w:vAlign w:val="top"/>
          </w:tcPr>
          <w:p>
            <w:pPr>
              <w:spacing w:after="0"/>
            </w:pPr>
            <w:r/>
            <w:r>
              <w:rPr>
                <w:rFonts w:ascii="Aptos" w:hAnsi="Aptos"/>
                <w:b w:val="0"/>
                <w:sz w:val="16"/>
              </w:rPr>
              <w:t>G1 — Replayable</w:t>
            </w:r>
          </w:p>
        </w:tc>
        <w:tc>
          <w:tcPr>
            <w:tcW w:type="dxa" w:w="5083"/>
            <w:vAlign w:val="top"/>
          </w:tcPr>
          <w:p>
            <w:pPr>
              <w:spacing w:after="0"/>
            </w:pPr>
            <w:r/>
            <w:r>
              <w:rPr>
                <w:rFonts w:ascii="Aptos" w:hAnsi="Aptos"/>
                <w:b w:val="0"/>
                <w:sz w:val="16"/>
              </w:rPr>
              <w:t>Can the same mission/version be reproduced with auditable inputs and outputs?</w:t>
            </w:r>
          </w:p>
        </w:tc>
      </w:tr>
      <w:tr>
        <w:tc>
          <w:tcPr>
            <w:tcW w:type="dxa" w:w="5083"/>
            <w:vAlign w:val="top"/>
          </w:tcPr>
          <w:p>
            <w:pPr>
              <w:spacing w:after="0"/>
            </w:pPr>
            <w:r/>
            <w:r>
              <w:rPr>
                <w:rFonts w:ascii="Aptos" w:hAnsi="Aptos"/>
                <w:b w:val="0"/>
                <w:sz w:val="16"/>
              </w:rPr>
              <w:t>G2 — Measurable</w:t>
            </w:r>
          </w:p>
        </w:tc>
        <w:tc>
          <w:tcPr>
            <w:tcW w:type="dxa" w:w="5083"/>
            <w:vAlign w:val="top"/>
          </w:tcPr>
          <w:p>
            <w:pPr>
              <w:spacing w:after="0"/>
            </w:pPr>
            <w:r/>
            <w:r>
              <w:rPr>
                <w:rFonts w:ascii="Aptos" w:hAnsi="Aptos"/>
                <w:b w:val="0"/>
                <w:sz w:val="16"/>
              </w:rPr>
              <w:t>Is there a predefined outcome metric and held-out evaluation?</w:t>
            </w:r>
          </w:p>
        </w:tc>
      </w:tr>
      <w:tr>
        <w:tc>
          <w:tcPr>
            <w:tcW w:type="dxa" w:w="5083"/>
            <w:vAlign w:val="top"/>
          </w:tcPr>
          <w:p>
            <w:pPr>
              <w:spacing w:after="0"/>
            </w:pPr>
            <w:r/>
            <w:r>
              <w:rPr>
                <w:rFonts w:ascii="Aptos" w:hAnsi="Aptos"/>
                <w:b w:val="0"/>
                <w:sz w:val="16"/>
              </w:rPr>
              <w:t>G3 — Safer than baseline</w:t>
            </w:r>
          </w:p>
        </w:tc>
        <w:tc>
          <w:tcPr>
            <w:tcW w:type="dxa" w:w="5083"/>
            <w:vAlign w:val="top"/>
          </w:tcPr>
          <w:p>
            <w:pPr>
              <w:spacing w:after="0"/>
            </w:pPr>
            <w:r/>
            <w:r>
              <w:rPr>
                <w:rFonts w:ascii="Aptos" w:hAnsi="Aptos"/>
                <w:b w:val="0"/>
                <w:sz w:val="16"/>
              </w:rPr>
              <w:t>Does the architecture respect policy, blast-radius and evidence rules?</w:t>
            </w:r>
          </w:p>
        </w:tc>
      </w:tr>
      <w:tr>
        <w:tc>
          <w:tcPr>
            <w:tcW w:type="dxa" w:w="5083"/>
            <w:vAlign w:val="top"/>
          </w:tcPr>
          <w:p>
            <w:pPr>
              <w:spacing w:after="0"/>
            </w:pPr>
            <w:r/>
            <w:r>
              <w:rPr>
                <w:rFonts w:ascii="Aptos" w:hAnsi="Aptos"/>
                <w:b w:val="0"/>
                <w:sz w:val="16"/>
              </w:rPr>
              <w:t>G4 — Pareto useful</w:t>
            </w:r>
          </w:p>
        </w:tc>
        <w:tc>
          <w:tcPr>
            <w:tcW w:type="dxa" w:w="5083"/>
            <w:vAlign w:val="top"/>
          </w:tcPr>
          <w:p>
            <w:pPr>
              <w:spacing w:after="0"/>
            </w:pPr>
            <w:r/>
            <w:r>
              <w:rPr>
                <w:rFonts w:ascii="Aptos" w:hAnsi="Aptos"/>
                <w:b w:val="0"/>
                <w:sz w:val="16"/>
              </w:rPr>
              <w:t>Does it improve quality/cost/latency/human effort without unacceptable regression elsewhere?</w:t>
            </w:r>
          </w:p>
        </w:tc>
      </w:tr>
      <w:tr>
        <w:tc>
          <w:tcPr>
            <w:tcW w:type="dxa" w:w="5083"/>
            <w:vAlign w:val="top"/>
          </w:tcPr>
          <w:p>
            <w:pPr>
              <w:spacing w:after="0"/>
            </w:pPr>
            <w:r/>
            <w:r>
              <w:rPr>
                <w:rFonts w:ascii="Aptos" w:hAnsi="Aptos"/>
                <w:b w:val="0"/>
                <w:sz w:val="16"/>
              </w:rPr>
              <w:t>G5 — Shadow proven</w:t>
            </w:r>
          </w:p>
        </w:tc>
        <w:tc>
          <w:tcPr>
            <w:tcW w:type="dxa" w:w="5083"/>
            <w:vAlign w:val="top"/>
          </w:tcPr>
          <w:p>
            <w:pPr>
              <w:spacing w:after="0"/>
            </w:pPr>
            <w:r/>
            <w:r>
              <w:rPr>
                <w:rFonts w:ascii="Aptos" w:hAnsi="Aptos"/>
                <w:b w:val="0"/>
                <w:sz w:val="16"/>
              </w:rPr>
              <w:t>Has it survived realistic shadow/replay missions?</w:t>
            </w:r>
          </w:p>
        </w:tc>
      </w:tr>
      <w:tr>
        <w:tc>
          <w:tcPr>
            <w:tcW w:type="dxa" w:w="5083"/>
            <w:vAlign w:val="top"/>
          </w:tcPr>
          <w:p>
            <w:pPr>
              <w:spacing w:after="0"/>
            </w:pPr>
            <w:r/>
            <w:r>
              <w:rPr>
                <w:rFonts w:ascii="Aptos" w:hAnsi="Aptos"/>
                <w:b w:val="0"/>
                <w:sz w:val="16"/>
              </w:rPr>
              <w:t>G6 — Canary proven</w:t>
            </w:r>
          </w:p>
        </w:tc>
        <w:tc>
          <w:tcPr>
            <w:tcW w:type="dxa" w:w="5083"/>
            <w:vAlign w:val="top"/>
          </w:tcPr>
          <w:p>
            <w:pPr>
              <w:spacing w:after="0"/>
            </w:pPr>
            <w:r/>
            <w:r>
              <w:rPr>
                <w:rFonts w:ascii="Aptos" w:hAnsi="Aptos"/>
                <w:b w:val="0"/>
                <w:sz w:val="16"/>
              </w:rPr>
              <w:t>Has it survived bounded production canaries with rollback?</w:t>
            </w:r>
          </w:p>
        </w:tc>
      </w:tr>
      <w:tr>
        <w:tc>
          <w:tcPr>
            <w:tcW w:type="dxa" w:w="5083"/>
            <w:vAlign w:val="top"/>
          </w:tcPr>
          <w:p>
            <w:pPr>
              <w:spacing w:after="0"/>
            </w:pPr>
            <w:r/>
            <w:r>
              <w:rPr>
                <w:rFonts w:ascii="Aptos" w:hAnsi="Aptos"/>
                <w:b w:val="0"/>
                <w:sz w:val="16"/>
              </w:rPr>
              <w:t>G7 — Preset/certified</w:t>
            </w:r>
          </w:p>
        </w:tc>
        <w:tc>
          <w:tcPr>
            <w:tcW w:type="dxa" w:w="5083"/>
            <w:vAlign w:val="top"/>
          </w:tcPr>
          <w:p>
            <w:pPr>
              <w:spacing w:after="0"/>
            </w:pPr>
            <w:r/>
            <w:r>
              <w:rPr>
                <w:rFonts w:ascii="Aptos" w:hAnsi="Aptos"/>
                <w:b w:val="0"/>
                <w:sz w:val="16"/>
              </w:rPr>
              <w:t>Only now can it become a reusable production organizational preset.</w:t>
            </w:r>
          </w:p>
        </w:tc>
      </w:tr>
    </w:tbl>
    <w:p>
      <w:pPr>
        <w:pStyle w:val="Heading1"/>
        <w:keepNext/>
      </w:pPr>
      <w:r>
        <w:t>13. Top 10 experiments by information gain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CE5EF"/>
          </w:tcPr>
          <w:p>
            <w:pPr>
              <w:spacing w:after="0"/>
            </w:pPr>
            <w:r/>
            <w:r>
              <w:rPr>
                <w:rFonts w:ascii="Aptos" w:hAnsi="Aptos"/>
                <w:b/>
                <w:sz w:val="15"/>
              </w:rPr>
              <w:t>ID</w:t>
            </w:r>
          </w:p>
        </w:tc>
        <w:tc>
          <w:tcPr>
            <w:tcW w:type="dxa" w:w="2033"/>
            <w:shd w:fill="DCE5EF"/>
          </w:tcPr>
          <w:p>
            <w:pPr>
              <w:spacing w:after="0"/>
            </w:pPr>
            <w:r/>
            <w:r>
              <w:rPr>
                <w:rFonts w:ascii="Aptos" w:hAnsi="Aptos"/>
                <w:b/>
                <w:sz w:val="15"/>
              </w:rPr>
              <w:t>Experiment</w:t>
            </w:r>
          </w:p>
        </w:tc>
        <w:tc>
          <w:tcPr>
            <w:tcW w:type="dxa" w:w="2033"/>
            <w:shd w:fill="DCE5EF"/>
          </w:tcPr>
          <w:p>
            <w:pPr>
              <w:spacing w:after="0"/>
            </w:pPr>
            <w:r/>
            <w:r>
              <w:rPr>
                <w:rFonts w:ascii="Aptos" w:hAnsi="Aptos"/>
                <w:b/>
                <w:sz w:val="15"/>
              </w:rPr>
              <w:t>Question</w:t>
            </w:r>
          </w:p>
        </w:tc>
        <w:tc>
          <w:tcPr>
            <w:tcW w:type="dxa" w:w="2033"/>
            <w:shd w:fill="DCE5EF"/>
          </w:tcPr>
          <w:p>
            <w:pPr>
              <w:spacing w:after="0"/>
            </w:pPr>
            <w:r/>
            <w:r>
              <w:rPr>
                <w:rFonts w:ascii="Aptos" w:hAnsi="Aptos"/>
                <w:b/>
                <w:sz w:val="15"/>
              </w:rPr>
              <w:t>Information gain</w:t>
            </w:r>
          </w:p>
        </w:tc>
        <w:tc>
          <w:tcPr>
            <w:tcW w:type="dxa" w:w="2033"/>
            <w:shd w:fill="DCE5EF"/>
          </w:tcPr>
          <w:p>
            <w:pPr>
              <w:spacing w:after="0"/>
            </w:pPr>
            <w:r/>
            <w:r>
              <w:rPr>
                <w:rFonts w:ascii="Aptos" w:hAnsi="Aptos"/>
                <w:b/>
                <w:sz w:val="15"/>
              </w:rPr>
              <w:t>Effort</w:t>
            </w:r>
          </w:p>
        </w:tc>
      </w:tr>
      <w:tr>
        <w:tc>
          <w:tcPr>
            <w:tcW w:type="dxa" w:w="2033"/>
            <w:vAlign w:val="top"/>
          </w:tcPr>
          <w:p>
            <w:pPr>
              <w:spacing w:after="0"/>
            </w:pPr>
            <w:r/>
            <w:r>
              <w:rPr>
                <w:rFonts w:ascii="Aptos" w:hAnsi="Aptos"/>
                <w:b w:val="0"/>
                <w:sz w:val="15"/>
              </w:rPr>
              <w:t>E1</w:t>
            </w:r>
          </w:p>
        </w:tc>
        <w:tc>
          <w:tcPr>
            <w:tcW w:type="dxa" w:w="2033"/>
            <w:vAlign w:val="top"/>
          </w:tcPr>
          <w:p>
            <w:pPr>
              <w:spacing w:after="0"/>
            </w:pPr>
            <w:r/>
            <w:r>
              <w:rPr>
                <w:rFonts w:ascii="Aptos" w:hAnsi="Aptos"/>
                <w:b w:val="0"/>
                <w:sz w:val="15"/>
              </w:rPr>
              <w:t>Typed per-mission Green Contract</w:t>
            </w:r>
          </w:p>
        </w:tc>
        <w:tc>
          <w:tcPr>
            <w:tcW w:type="dxa" w:w="2033"/>
            <w:vAlign w:val="top"/>
          </w:tcPr>
          <w:p>
            <w:pPr>
              <w:spacing w:after="0"/>
            </w:pPr>
            <w:r/>
            <w:r>
              <w:rPr>
                <w:rFonts w:ascii="Aptos" w:hAnsi="Aptos"/>
                <w:b w:val="0"/>
                <w:sz w:val="15"/>
              </w:rPr>
              <w:t>Can explicit success/evidence contracts reduce false-positive “successful” missions?</w:t>
            </w:r>
          </w:p>
        </w:tc>
        <w:tc>
          <w:tcPr>
            <w:tcW w:type="dxa" w:w="2033"/>
            <w:vAlign w:val="top"/>
          </w:tcPr>
          <w:p>
            <w:pPr>
              <w:spacing w:after="0"/>
            </w:pPr>
            <w:r/>
            <w:r>
              <w:rPr>
                <w:rFonts w:ascii="Aptos" w:hAnsi="Aptos"/>
                <w:b w:val="0"/>
                <w:sz w:val="15"/>
              </w:rPr>
              <w:t>Very high</w:t>
            </w:r>
          </w:p>
        </w:tc>
        <w:tc>
          <w:tcPr>
            <w:tcW w:type="dxa" w:w="2033"/>
            <w:vAlign w:val="top"/>
          </w:tcPr>
          <w:p>
            <w:pPr>
              <w:spacing w:after="0"/>
            </w:pPr>
            <w:r/>
            <w:r>
              <w:rPr>
                <w:rFonts w:ascii="Aptos" w:hAnsi="Aptos"/>
                <w:b w:val="0"/>
                <w:sz w:val="15"/>
              </w:rPr>
              <w:t>Low</w:t>
            </w:r>
          </w:p>
        </w:tc>
      </w:tr>
      <w:tr>
        <w:tc>
          <w:tcPr>
            <w:tcW w:type="dxa" w:w="2033"/>
            <w:vAlign w:val="top"/>
          </w:tcPr>
          <w:p>
            <w:pPr>
              <w:spacing w:after="0"/>
            </w:pPr>
            <w:r/>
            <w:r>
              <w:rPr>
                <w:rFonts w:ascii="Aptos" w:hAnsi="Aptos"/>
                <w:b w:val="0"/>
                <w:sz w:val="15"/>
              </w:rPr>
              <w:t>E2</w:t>
            </w:r>
          </w:p>
        </w:tc>
        <w:tc>
          <w:tcPr>
            <w:tcW w:type="dxa" w:w="2033"/>
            <w:vAlign w:val="top"/>
          </w:tcPr>
          <w:p>
            <w:pPr>
              <w:spacing w:after="0"/>
            </w:pPr>
            <w:r/>
            <w:r>
              <w:rPr>
                <w:rFonts w:ascii="Aptos" w:hAnsi="Aptos"/>
                <w:b w:val="0"/>
                <w:sz w:val="15"/>
              </w:rPr>
              <w:t>OrganizationPreflight</w:t>
            </w:r>
          </w:p>
        </w:tc>
        <w:tc>
          <w:tcPr>
            <w:tcW w:type="dxa" w:w="2033"/>
            <w:vAlign w:val="top"/>
          </w:tcPr>
          <w:p>
            <w:pPr>
              <w:spacing w:after="0"/>
            </w:pPr>
            <w:r/>
            <w:r>
              <w:rPr>
                <w:rFonts w:ascii="Aptos" w:hAnsi="Aptos"/>
                <w:b w:val="0"/>
                <w:sz w:val="15"/>
              </w:rPr>
              <w:t>Can compile/preflight checks catch known non-retryable failures before execution?</w:t>
            </w:r>
          </w:p>
        </w:tc>
        <w:tc>
          <w:tcPr>
            <w:tcW w:type="dxa" w:w="2033"/>
            <w:vAlign w:val="top"/>
          </w:tcPr>
          <w:p>
            <w:pPr>
              <w:spacing w:after="0"/>
            </w:pPr>
            <w:r/>
            <w:r>
              <w:rPr>
                <w:rFonts w:ascii="Aptos" w:hAnsi="Aptos"/>
                <w:b w:val="0"/>
                <w:sz w:val="15"/>
              </w:rPr>
              <w:t>Very high</w:t>
            </w:r>
          </w:p>
        </w:tc>
        <w:tc>
          <w:tcPr>
            <w:tcW w:type="dxa" w:w="2033"/>
            <w:vAlign w:val="top"/>
          </w:tcPr>
          <w:p>
            <w:pPr>
              <w:spacing w:after="0"/>
            </w:pPr>
            <w:r/>
            <w:r>
              <w:rPr>
                <w:rFonts w:ascii="Aptos" w:hAnsi="Aptos"/>
                <w:b w:val="0"/>
                <w:sz w:val="15"/>
              </w:rPr>
              <w:t>Low–Med</w:t>
            </w:r>
          </w:p>
        </w:tc>
      </w:tr>
      <w:tr>
        <w:tc>
          <w:tcPr>
            <w:tcW w:type="dxa" w:w="2033"/>
            <w:vAlign w:val="top"/>
          </w:tcPr>
          <w:p>
            <w:pPr>
              <w:spacing w:after="0"/>
            </w:pPr>
            <w:r/>
            <w:r>
              <w:rPr>
                <w:rFonts w:ascii="Aptos" w:hAnsi="Aptos"/>
                <w:b w:val="0"/>
                <w:sz w:val="15"/>
              </w:rPr>
              <w:t>E3</w:t>
            </w:r>
          </w:p>
        </w:tc>
        <w:tc>
          <w:tcPr>
            <w:tcW w:type="dxa" w:w="2033"/>
            <w:vAlign w:val="top"/>
          </w:tcPr>
          <w:p>
            <w:pPr>
              <w:spacing w:after="0"/>
            </w:pPr>
            <w:r/>
            <w:r>
              <w:rPr>
                <w:rFonts w:ascii="Aptos" w:hAnsi="Aptos"/>
                <w:b w:val="0"/>
                <w:sz w:val="15"/>
              </w:rPr>
              <w:t>Mission Hypergraph projection</w:t>
            </w:r>
          </w:p>
        </w:tc>
        <w:tc>
          <w:tcPr>
            <w:tcW w:type="dxa" w:w="2033"/>
            <w:vAlign w:val="top"/>
          </w:tcPr>
          <w:p>
            <w:pPr>
              <w:spacing w:after="0"/>
            </w:pPr>
            <w:r/>
            <w:r>
              <w:rPr>
                <w:rFonts w:ascii="Aptos" w:hAnsi="Aptos"/>
                <w:b w:val="0"/>
                <w:sz w:val="15"/>
              </w:rPr>
              <w:t>Does typed dependency/evidence state improve status accuracy and blocked-time diagnosis?</w:t>
            </w:r>
          </w:p>
        </w:tc>
        <w:tc>
          <w:tcPr>
            <w:tcW w:type="dxa" w:w="2033"/>
            <w:vAlign w:val="top"/>
          </w:tcPr>
          <w:p>
            <w:pPr>
              <w:spacing w:after="0"/>
            </w:pPr>
            <w:r/>
            <w:r>
              <w:rPr>
                <w:rFonts w:ascii="Aptos" w:hAnsi="Aptos"/>
                <w:b w:val="0"/>
                <w:sz w:val="15"/>
              </w:rPr>
              <w:t>High</w:t>
            </w:r>
          </w:p>
        </w:tc>
        <w:tc>
          <w:tcPr>
            <w:tcW w:type="dxa" w:w="2033"/>
            <w:vAlign w:val="top"/>
          </w:tcPr>
          <w:p>
            <w:pPr>
              <w:spacing w:after="0"/>
            </w:pPr>
            <w:r/>
            <w:r>
              <w:rPr>
                <w:rFonts w:ascii="Aptos" w:hAnsi="Aptos"/>
                <w:b w:val="0"/>
                <w:sz w:val="15"/>
              </w:rPr>
              <w:t>Med</w:t>
            </w:r>
          </w:p>
        </w:tc>
      </w:tr>
      <w:tr>
        <w:tc>
          <w:tcPr>
            <w:tcW w:type="dxa" w:w="2033"/>
            <w:vAlign w:val="top"/>
          </w:tcPr>
          <w:p>
            <w:pPr>
              <w:spacing w:after="0"/>
            </w:pPr>
            <w:r/>
            <w:r>
              <w:rPr>
                <w:rFonts w:ascii="Aptos" w:hAnsi="Aptos"/>
                <w:b w:val="0"/>
                <w:sz w:val="15"/>
              </w:rPr>
              <w:t>E4</w:t>
            </w:r>
          </w:p>
        </w:tc>
        <w:tc>
          <w:tcPr>
            <w:tcW w:type="dxa" w:w="2033"/>
            <w:vAlign w:val="top"/>
          </w:tcPr>
          <w:p>
            <w:pPr>
              <w:spacing w:after="0"/>
            </w:pPr>
            <w:r/>
            <w:r>
              <w:rPr>
                <w:rFonts w:ascii="Aptos" w:hAnsi="Aptos"/>
                <w:b w:val="0"/>
                <w:sz w:val="15"/>
              </w:rPr>
              <w:t>20-item Global Workspace</w:t>
            </w:r>
          </w:p>
        </w:tc>
        <w:tc>
          <w:tcPr>
            <w:tcW w:type="dxa" w:w="2033"/>
            <w:vAlign w:val="top"/>
          </w:tcPr>
          <w:p>
            <w:pPr>
              <w:spacing w:after="0"/>
            </w:pPr>
            <w:r/>
            <w:r>
              <w:rPr>
                <w:rFonts w:ascii="Aptos" w:hAnsi="Aptos"/>
                <w:b w:val="0"/>
                <w:sz w:val="15"/>
              </w:rPr>
              <w:t>Can bounded promoted context reduce duplicate research/handoffs without harming outcomes?</w:t>
            </w:r>
          </w:p>
        </w:tc>
        <w:tc>
          <w:tcPr>
            <w:tcW w:type="dxa" w:w="2033"/>
            <w:vAlign w:val="top"/>
          </w:tcPr>
          <w:p>
            <w:pPr>
              <w:spacing w:after="0"/>
            </w:pPr>
            <w:r/>
            <w:r>
              <w:rPr>
                <w:rFonts w:ascii="Aptos" w:hAnsi="Aptos"/>
                <w:b w:val="0"/>
                <w:sz w:val="15"/>
              </w:rPr>
              <w:t>High</w:t>
            </w:r>
          </w:p>
        </w:tc>
        <w:tc>
          <w:tcPr>
            <w:tcW w:type="dxa" w:w="2033"/>
            <w:vAlign w:val="top"/>
          </w:tcPr>
          <w:p>
            <w:pPr>
              <w:spacing w:after="0"/>
            </w:pPr>
            <w:r/>
            <w:r>
              <w:rPr>
                <w:rFonts w:ascii="Aptos" w:hAnsi="Aptos"/>
                <w:b w:val="0"/>
                <w:sz w:val="15"/>
              </w:rPr>
              <w:t>Med</w:t>
            </w:r>
          </w:p>
        </w:tc>
      </w:tr>
      <w:tr>
        <w:tc>
          <w:tcPr>
            <w:tcW w:type="dxa" w:w="2033"/>
            <w:vAlign w:val="top"/>
          </w:tcPr>
          <w:p>
            <w:pPr>
              <w:spacing w:after="0"/>
            </w:pPr>
            <w:r/>
            <w:r>
              <w:rPr>
                <w:rFonts w:ascii="Aptos" w:hAnsi="Aptos"/>
                <w:b w:val="0"/>
                <w:sz w:val="15"/>
              </w:rPr>
              <w:t>E5</w:t>
            </w:r>
          </w:p>
        </w:tc>
        <w:tc>
          <w:tcPr>
            <w:tcW w:type="dxa" w:w="2033"/>
            <w:vAlign w:val="top"/>
          </w:tcPr>
          <w:p>
            <w:pPr>
              <w:spacing w:after="0"/>
            </w:pPr>
            <w:r/>
            <w:r>
              <w:rPr>
                <w:rFonts w:ascii="Aptos" w:hAnsi="Aptos"/>
                <w:b w:val="0"/>
                <w:sz w:val="15"/>
              </w:rPr>
              <w:t>Risk-triggered Shadow Reviewer</w:t>
            </w:r>
          </w:p>
        </w:tc>
        <w:tc>
          <w:tcPr>
            <w:tcW w:type="dxa" w:w="2033"/>
            <w:vAlign w:val="top"/>
          </w:tcPr>
          <w:p>
            <w:pPr>
              <w:spacing w:after="0"/>
            </w:pPr>
            <w:r/>
            <w:r>
              <w:rPr>
                <w:rFonts w:ascii="Aptos" w:hAnsi="Aptos"/>
                <w:b w:val="0"/>
                <w:sz w:val="15"/>
              </w:rPr>
              <w:t>Does independent disagreement catch defects at acceptable cost?</w:t>
            </w:r>
          </w:p>
        </w:tc>
        <w:tc>
          <w:tcPr>
            <w:tcW w:type="dxa" w:w="2033"/>
            <w:vAlign w:val="top"/>
          </w:tcPr>
          <w:p>
            <w:pPr>
              <w:spacing w:after="0"/>
            </w:pPr>
            <w:r/>
            <w:r>
              <w:rPr>
                <w:rFonts w:ascii="Aptos" w:hAnsi="Aptos"/>
                <w:b w:val="0"/>
                <w:sz w:val="15"/>
              </w:rPr>
              <w:t>Very high</w:t>
            </w:r>
          </w:p>
        </w:tc>
        <w:tc>
          <w:tcPr>
            <w:tcW w:type="dxa" w:w="2033"/>
            <w:vAlign w:val="top"/>
          </w:tcPr>
          <w:p>
            <w:pPr>
              <w:spacing w:after="0"/>
            </w:pPr>
            <w:r/>
            <w:r>
              <w:rPr>
                <w:rFonts w:ascii="Aptos" w:hAnsi="Aptos"/>
                <w:b w:val="0"/>
                <w:sz w:val="15"/>
              </w:rPr>
              <w:t>Med</w:t>
            </w:r>
          </w:p>
        </w:tc>
      </w:tr>
      <w:tr>
        <w:tc>
          <w:tcPr>
            <w:tcW w:type="dxa" w:w="2033"/>
            <w:vAlign w:val="top"/>
          </w:tcPr>
          <w:p>
            <w:pPr>
              <w:spacing w:after="0"/>
            </w:pPr>
            <w:r/>
            <w:r>
              <w:rPr>
                <w:rFonts w:ascii="Aptos" w:hAnsi="Aptos"/>
                <w:b w:val="0"/>
                <w:sz w:val="15"/>
              </w:rPr>
              <w:t>E6</w:t>
            </w:r>
          </w:p>
        </w:tc>
        <w:tc>
          <w:tcPr>
            <w:tcW w:type="dxa" w:w="2033"/>
            <w:vAlign w:val="top"/>
          </w:tcPr>
          <w:p>
            <w:pPr>
              <w:spacing w:after="0"/>
            </w:pPr>
            <w:r/>
            <w:r>
              <w:rPr>
                <w:rFonts w:ascii="Aptos" w:hAnsi="Aptos"/>
                <w:b w:val="0"/>
                <w:sz w:val="15"/>
              </w:rPr>
              <w:t>Certification Reconciler</w:t>
            </w:r>
          </w:p>
        </w:tc>
        <w:tc>
          <w:tcPr>
            <w:tcW w:type="dxa" w:w="2033"/>
            <w:vAlign w:val="top"/>
          </w:tcPr>
          <w:p>
            <w:pPr>
              <w:spacing w:after="0"/>
            </w:pPr>
            <w:r/>
            <w:r>
              <w:rPr>
                <w:rFonts w:ascii="Aptos" w:hAnsi="Aptos"/>
                <w:b w:val="0"/>
                <w:sz w:val="15"/>
              </w:rPr>
              <w:t>Can automatic quarantine/fallback reduce repeat failures without unsafe self-repair?</w:t>
            </w:r>
          </w:p>
        </w:tc>
        <w:tc>
          <w:tcPr>
            <w:tcW w:type="dxa" w:w="2033"/>
            <w:vAlign w:val="top"/>
          </w:tcPr>
          <w:p>
            <w:pPr>
              <w:spacing w:after="0"/>
            </w:pPr>
            <w:r/>
            <w:r>
              <w:rPr>
                <w:rFonts w:ascii="Aptos" w:hAnsi="Aptos"/>
                <w:b w:val="0"/>
                <w:sz w:val="15"/>
              </w:rPr>
              <w:t>High</w:t>
            </w:r>
          </w:p>
        </w:tc>
        <w:tc>
          <w:tcPr>
            <w:tcW w:type="dxa" w:w="2033"/>
            <w:vAlign w:val="top"/>
          </w:tcPr>
          <w:p>
            <w:pPr>
              <w:spacing w:after="0"/>
            </w:pPr>
            <w:r/>
            <w:r>
              <w:rPr>
                <w:rFonts w:ascii="Aptos" w:hAnsi="Aptos"/>
                <w:b w:val="0"/>
                <w:sz w:val="15"/>
              </w:rPr>
              <w:t>Med</w:t>
            </w:r>
          </w:p>
        </w:tc>
      </w:tr>
      <w:tr>
        <w:tc>
          <w:tcPr>
            <w:tcW w:type="dxa" w:w="2033"/>
            <w:vAlign w:val="top"/>
          </w:tcPr>
          <w:p>
            <w:pPr>
              <w:spacing w:after="0"/>
            </w:pPr>
            <w:r/>
            <w:r>
              <w:rPr>
                <w:rFonts w:ascii="Aptos" w:hAnsi="Aptos"/>
                <w:b w:val="0"/>
                <w:sz w:val="15"/>
              </w:rPr>
              <w:t>E7</w:t>
            </w:r>
          </w:p>
        </w:tc>
        <w:tc>
          <w:tcPr>
            <w:tcW w:type="dxa" w:w="2033"/>
            <w:vAlign w:val="top"/>
          </w:tcPr>
          <w:p>
            <w:pPr>
              <w:spacing w:after="0"/>
            </w:pPr>
            <w:r/>
            <w:r>
              <w:rPr>
                <w:rFonts w:ascii="Aptos" w:hAnsi="Aptos"/>
                <w:b w:val="0"/>
                <w:sz w:val="15"/>
              </w:rPr>
              <w:t>Builder vs Skeptic ADR review</w:t>
            </w:r>
          </w:p>
        </w:tc>
        <w:tc>
          <w:tcPr>
            <w:tcW w:type="dxa" w:w="2033"/>
            <w:vAlign w:val="top"/>
          </w:tcPr>
          <w:p>
            <w:pPr>
              <w:spacing w:after="0"/>
            </w:pPr>
            <w:r/>
            <w:r>
              <w:rPr>
                <w:rFonts w:ascii="Aptos" w:hAnsi="Aptos"/>
                <w:b w:val="0"/>
                <w:sz w:val="15"/>
              </w:rPr>
              <w:t>How many material design defects/assumptions are caught before implementation?</w:t>
            </w:r>
          </w:p>
        </w:tc>
        <w:tc>
          <w:tcPr>
            <w:tcW w:type="dxa" w:w="2033"/>
            <w:vAlign w:val="top"/>
          </w:tcPr>
          <w:p>
            <w:pPr>
              <w:spacing w:after="0"/>
            </w:pPr>
            <w:r/>
            <w:r>
              <w:rPr>
                <w:rFonts w:ascii="Aptos" w:hAnsi="Aptos"/>
                <w:b w:val="0"/>
                <w:sz w:val="15"/>
              </w:rPr>
              <w:t>Med–High</w:t>
            </w:r>
          </w:p>
        </w:tc>
        <w:tc>
          <w:tcPr>
            <w:tcW w:type="dxa" w:w="2033"/>
            <w:vAlign w:val="top"/>
          </w:tcPr>
          <w:p>
            <w:pPr>
              <w:spacing w:after="0"/>
            </w:pPr>
            <w:r/>
            <w:r>
              <w:rPr>
                <w:rFonts w:ascii="Aptos" w:hAnsi="Aptos"/>
                <w:b w:val="0"/>
                <w:sz w:val="15"/>
              </w:rPr>
              <w:t>Low</w:t>
            </w:r>
          </w:p>
        </w:tc>
      </w:tr>
      <w:tr>
        <w:tc>
          <w:tcPr>
            <w:tcW w:type="dxa" w:w="2033"/>
            <w:vAlign w:val="top"/>
          </w:tcPr>
          <w:p>
            <w:pPr>
              <w:spacing w:after="0"/>
            </w:pPr>
            <w:r/>
            <w:r>
              <w:rPr>
                <w:rFonts w:ascii="Aptos" w:hAnsi="Aptos"/>
                <w:b w:val="0"/>
                <w:sz w:val="15"/>
              </w:rPr>
              <w:t>E8</w:t>
            </w:r>
          </w:p>
        </w:tc>
        <w:tc>
          <w:tcPr>
            <w:tcW w:type="dxa" w:w="2033"/>
            <w:vAlign w:val="top"/>
          </w:tcPr>
          <w:p>
            <w:pPr>
              <w:spacing w:after="0"/>
            </w:pPr>
            <w:r/>
            <w:r>
              <w:rPr>
                <w:rFonts w:ascii="Aptos" w:hAnsi="Aptos"/>
                <w:b w:val="0"/>
                <w:sz w:val="15"/>
              </w:rPr>
              <w:t>Two-army Federation</w:t>
            </w:r>
          </w:p>
        </w:tc>
        <w:tc>
          <w:tcPr>
            <w:tcW w:type="dxa" w:w="2033"/>
            <w:vAlign w:val="top"/>
          </w:tcPr>
          <w:p>
            <w:pPr>
              <w:spacing w:after="0"/>
            </w:pPr>
            <w:r/>
            <w:r>
              <w:rPr>
                <w:rFonts w:ascii="Aptos" w:hAnsi="Aptos"/>
                <w:b w:val="0"/>
                <w:sz w:val="15"/>
              </w:rPr>
              <w:t>Can cross-domain work succeed through typed claims/artifacts without shared transcripts?</w:t>
            </w:r>
          </w:p>
        </w:tc>
        <w:tc>
          <w:tcPr>
            <w:tcW w:type="dxa" w:w="2033"/>
            <w:vAlign w:val="top"/>
          </w:tcPr>
          <w:p>
            <w:pPr>
              <w:spacing w:after="0"/>
            </w:pPr>
            <w:r/>
            <w:r>
              <w:rPr>
                <w:rFonts w:ascii="Aptos" w:hAnsi="Aptos"/>
                <w:b w:val="0"/>
                <w:sz w:val="15"/>
              </w:rPr>
              <w:t>High</w:t>
            </w:r>
          </w:p>
        </w:tc>
        <w:tc>
          <w:tcPr>
            <w:tcW w:type="dxa" w:w="2033"/>
            <w:vAlign w:val="top"/>
          </w:tcPr>
          <w:p>
            <w:pPr>
              <w:spacing w:after="0"/>
            </w:pPr>
            <w:r/>
            <w:r>
              <w:rPr>
                <w:rFonts w:ascii="Aptos" w:hAnsi="Aptos"/>
                <w:b w:val="0"/>
                <w:sz w:val="15"/>
              </w:rPr>
              <w:t>Med–High</w:t>
            </w:r>
          </w:p>
        </w:tc>
      </w:tr>
      <w:tr>
        <w:tc>
          <w:tcPr>
            <w:tcW w:type="dxa" w:w="2033"/>
            <w:vAlign w:val="top"/>
          </w:tcPr>
          <w:p>
            <w:pPr>
              <w:spacing w:after="0"/>
            </w:pPr>
            <w:r/>
            <w:r>
              <w:rPr>
                <w:rFonts w:ascii="Aptos" w:hAnsi="Aptos"/>
                <w:b w:val="0"/>
                <w:sz w:val="15"/>
              </w:rPr>
              <w:t>E9</w:t>
            </w:r>
          </w:p>
        </w:tc>
        <w:tc>
          <w:tcPr>
            <w:tcW w:type="dxa" w:w="2033"/>
            <w:vAlign w:val="top"/>
          </w:tcPr>
          <w:p>
            <w:pPr>
              <w:spacing w:after="0"/>
            </w:pPr>
            <w:r/>
            <w:r>
              <w:rPr>
                <w:rFonts w:ascii="Aptos" w:hAnsi="Aptos"/>
                <w:b w:val="0"/>
                <w:sz w:val="15"/>
              </w:rPr>
              <w:t>Org Genome sandbox search</w:t>
            </w:r>
          </w:p>
        </w:tc>
        <w:tc>
          <w:tcPr>
            <w:tcW w:type="dxa" w:w="2033"/>
            <w:vAlign w:val="top"/>
          </w:tcPr>
          <w:p>
            <w:pPr>
              <w:spacing w:after="0"/>
            </w:pPr>
            <w:r/>
            <w:r>
              <w:rPr>
                <w:rFonts w:ascii="Aptos" w:hAnsi="Aptos"/>
                <w:b w:val="0"/>
                <w:sz w:val="15"/>
              </w:rPr>
              <w:t>Can limited topology/prompt mutation beat handcrafted seeds on held-out missions?</w:t>
            </w:r>
          </w:p>
        </w:tc>
        <w:tc>
          <w:tcPr>
            <w:tcW w:type="dxa" w:w="2033"/>
            <w:vAlign w:val="top"/>
          </w:tcPr>
          <w:p>
            <w:pPr>
              <w:spacing w:after="0"/>
            </w:pPr>
            <w:r/>
            <w:r>
              <w:rPr>
                <w:rFonts w:ascii="Aptos" w:hAnsi="Aptos"/>
                <w:b w:val="0"/>
                <w:sz w:val="15"/>
              </w:rPr>
              <w:t>Very high research</w:t>
            </w:r>
          </w:p>
        </w:tc>
        <w:tc>
          <w:tcPr>
            <w:tcW w:type="dxa" w:w="2033"/>
            <w:vAlign w:val="top"/>
          </w:tcPr>
          <w:p>
            <w:pPr>
              <w:spacing w:after="0"/>
            </w:pPr>
            <w:r/>
            <w:r>
              <w:rPr>
                <w:rFonts w:ascii="Aptos" w:hAnsi="Aptos"/>
                <w:b w:val="0"/>
                <w:sz w:val="15"/>
              </w:rPr>
              <w:t>High</w:t>
            </w:r>
          </w:p>
        </w:tc>
      </w:tr>
      <w:tr>
        <w:tc>
          <w:tcPr>
            <w:tcW w:type="dxa" w:w="2033"/>
            <w:vAlign w:val="top"/>
          </w:tcPr>
          <w:p>
            <w:pPr>
              <w:spacing w:after="0"/>
            </w:pPr>
            <w:r/>
            <w:r>
              <w:rPr>
                <w:rFonts w:ascii="Aptos" w:hAnsi="Aptos"/>
                <w:b w:val="0"/>
                <w:sz w:val="15"/>
              </w:rPr>
              <w:t>E10</w:t>
            </w:r>
          </w:p>
        </w:tc>
        <w:tc>
          <w:tcPr>
            <w:tcW w:type="dxa" w:w="2033"/>
            <w:vAlign w:val="top"/>
          </w:tcPr>
          <w:p>
            <w:pPr>
              <w:spacing w:after="0"/>
            </w:pPr>
            <w:r/>
            <w:r>
              <w:rPr>
                <w:rFonts w:ascii="Aptos" w:hAnsi="Aptos"/>
                <w:b w:val="0"/>
                <w:sz w:val="15"/>
              </w:rPr>
              <w:t>Stigmergic blocker field</w:t>
            </w:r>
          </w:p>
        </w:tc>
        <w:tc>
          <w:tcPr>
            <w:tcW w:type="dxa" w:w="2033"/>
            <w:vAlign w:val="top"/>
          </w:tcPr>
          <w:p>
            <w:pPr>
              <w:spacing w:after="0"/>
            </w:pPr>
            <w:r/>
            <w:r>
              <w:rPr>
                <w:rFonts w:ascii="Aptos" w:hAnsi="Aptos"/>
                <w:b w:val="0"/>
                <w:sz w:val="15"/>
              </w:rPr>
              <w:t>Can self-assembly outperform fixed routing on unknown-unknown replay missions without topology thrash?</w:t>
            </w:r>
          </w:p>
        </w:tc>
        <w:tc>
          <w:tcPr>
            <w:tcW w:type="dxa" w:w="2033"/>
            <w:vAlign w:val="top"/>
          </w:tcPr>
          <w:p>
            <w:pPr>
              <w:spacing w:after="0"/>
            </w:pPr>
            <w:r/>
            <w:r>
              <w:rPr>
                <w:rFonts w:ascii="Aptos" w:hAnsi="Aptos"/>
                <w:b w:val="0"/>
                <w:sz w:val="15"/>
              </w:rPr>
              <w:t>Very high research</w:t>
            </w:r>
          </w:p>
        </w:tc>
        <w:tc>
          <w:tcPr>
            <w:tcW w:type="dxa" w:w="2033"/>
            <w:vAlign w:val="top"/>
          </w:tcPr>
          <w:p>
            <w:pPr>
              <w:spacing w:after="0"/>
            </w:pPr>
            <w:r/>
            <w:r>
              <w:rPr>
                <w:rFonts w:ascii="Aptos" w:hAnsi="Aptos"/>
                <w:b w:val="0"/>
                <w:sz w:val="15"/>
              </w:rPr>
              <w:t>High</w:t>
            </w:r>
          </w:p>
        </w:tc>
      </w:tr>
    </w:tbl>
    <w:p>
      <w:pPr>
        <w:pStyle w:val="Heading1"/>
        <w:keepNext/>
      </w:pPr>
      <w:r>
        <w:t>14. External evidence that informs the ordering</w:t>
      </w:r>
    </w:p>
    <w:p>
      <w:r>
        <w:t>The current research landscape supports an “evaluate and optimize only after you can measure” ordering. These sources are not evidence that the full Agent Factory architecture will work; they support specific mechanisms used in the prioritization.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5EF"/>
          </w:tcPr>
          <w:p>
            <w:pPr>
              <w:spacing w:after="0"/>
            </w:pPr>
            <w:r/>
            <w:r>
              <w:rPr>
                <w:rFonts w:ascii="Aptos" w:hAnsi="Aptos"/>
                <w:b/>
                <w:sz w:val="13"/>
              </w:rPr>
              <w:t>Reference</w:t>
            </w:r>
          </w:p>
        </w:tc>
        <w:tc>
          <w:tcPr>
            <w:tcW w:type="dxa" w:w="3389"/>
            <w:shd w:fill="DCE5EF"/>
          </w:tcPr>
          <w:p>
            <w:pPr>
              <w:spacing w:after="0"/>
            </w:pPr>
            <w:r/>
            <w:r>
              <w:rPr>
                <w:rFonts w:ascii="Aptos" w:hAnsi="Aptos"/>
                <w:b/>
                <w:sz w:val="13"/>
              </w:rPr>
              <w:t>Why it matters here</w:t>
            </w:r>
          </w:p>
        </w:tc>
        <w:tc>
          <w:tcPr>
            <w:tcW w:type="dxa" w:w="3389"/>
            <w:shd w:fill="DCE5EF"/>
          </w:tcPr>
          <w:p>
            <w:pPr>
              <w:spacing w:after="0"/>
            </w:pPr>
            <w:r/>
            <w:r>
              <w:rPr>
                <w:rFonts w:ascii="Aptos" w:hAnsi="Aptos"/>
                <w:b/>
                <w:sz w:val="13"/>
              </w:rPr>
              <w:t>URL</w:t>
            </w:r>
          </w:p>
        </w:tc>
      </w:tr>
      <w:tr>
        <w:tc>
          <w:tcPr>
            <w:tcW w:type="dxa" w:w="3389"/>
            <w:vAlign w:val="top"/>
          </w:tcPr>
          <w:p>
            <w:pPr>
              <w:spacing w:after="0"/>
            </w:pPr>
            <w:r/>
            <w:r>
              <w:rPr>
                <w:rFonts w:ascii="Aptos" w:hAnsi="Aptos"/>
                <w:b w:val="0"/>
                <w:sz w:val="13"/>
              </w:rPr>
              <w:t>Microsoft Research — Agent Workflow Optimization / meta-tools (2026)</w:t>
            </w:r>
          </w:p>
        </w:tc>
        <w:tc>
          <w:tcPr>
            <w:tcW w:type="dxa" w:w="3389"/>
            <w:vAlign w:val="top"/>
          </w:tcPr>
          <w:p>
            <w:pPr>
              <w:spacing w:after="0"/>
            </w:pPr>
            <w:r/>
            <w:r>
              <w:rPr>
                <w:rFonts w:ascii="Aptos" w:hAnsi="Aptos"/>
                <w:b w:val="0"/>
                <w:sz w:val="13"/>
              </w:rPr>
              <w:t>Trace mining can convert recurring tool-call sequences into deterministic composite tools; reported fewer LLM calls and improved task success. Supports the Factory idea of determinizing repeated successful behavior.</w:t>
            </w:r>
          </w:p>
        </w:tc>
        <w:tc>
          <w:tcPr>
            <w:tcW w:type="dxa" w:w="3389"/>
            <w:vAlign w:val="top"/>
          </w:tcPr>
          <w:p>
            <w:pPr>
              <w:spacing w:after="0"/>
            </w:pPr>
            <w:r/>
            <w:r>
              <w:rPr>
                <w:rFonts w:ascii="Aptos" w:hAnsi="Aptos"/>
                <w:b w:val="0"/>
                <w:sz w:val="13"/>
              </w:rPr>
              <w:t>https://www.microsoft.com/en-us/research/publication/optimizing-agentic-workflows-using-meta-tools/</w:t>
            </w:r>
          </w:p>
        </w:tc>
      </w:tr>
      <w:tr>
        <w:tc>
          <w:tcPr>
            <w:tcW w:type="dxa" w:w="3389"/>
            <w:vAlign w:val="top"/>
          </w:tcPr>
          <w:p>
            <w:pPr>
              <w:spacing w:after="0"/>
            </w:pPr>
            <w:r/>
            <w:r>
              <w:rPr>
                <w:rFonts w:ascii="Aptos" w:hAnsi="Aptos"/>
                <w:b w:val="0"/>
                <w:sz w:val="13"/>
              </w:rPr>
              <w:t>AgentSquare — ICLR 2025</w:t>
            </w:r>
          </w:p>
        </w:tc>
        <w:tc>
          <w:tcPr>
            <w:tcW w:type="dxa" w:w="3389"/>
            <w:vAlign w:val="top"/>
          </w:tcPr>
          <w:p>
            <w:pPr>
              <w:spacing w:after="0"/>
            </w:pPr>
            <w:r/>
            <w:r>
              <w:rPr>
                <w:rFonts w:ascii="Aptos" w:hAnsi="Aptos"/>
                <w:b w:val="0"/>
                <w:sz w:val="13"/>
              </w:rPr>
              <w:t>Searches modular LLM-agent design spaces and reports substantial gains over hand-designed agents. Supports treating agent architecture as an empirical search space.</w:t>
            </w:r>
          </w:p>
        </w:tc>
        <w:tc>
          <w:tcPr>
            <w:tcW w:type="dxa" w:w="3389"/>
            <w:vAlign w:val="top"/>
          </w:tcPr>
          <w:p>
            <w:pPr>
              <w:spacing w:after="0"/>
            </w:pPr>
            <w:r/>
            <w:r>
              <w:rPr>
                <w:rFonts w:ascii="Aptos" w:hAnsi="Aptos"/>
                <w:b w:val="0"/>
                <w:sz w:val="13"/>
              </w:rPr>
              <w:t>https://proceedings.iclr.cc/paper_files/paper/2025/hash/0ae94013da7cd459402fd77874e09ee3-Abstract-Conference.html</w:t>
            </w:r>
          </w:p>
        </w:tc>
      </w:tr>
      <w:tr>
        <w:tc>
          <w:tcPr>
            <w:tcW w:type="dxa" w:w="3389"/>
            <w:vAlign w:val="top"/>
          </w:tcPr>
          <w:p>
            <w:pPr>
              <w:spacing w:after="0"/>
            </w:pPr>
            <w:r/>
            <w:r>
              <w:rPr>
                <w:rFonts w:ascii="Aptos" w:hAnsi="Aptos"/>
                <w:b w:val="0"/>
                <w:sz w:val="13"/>
              </w:rPr>
              <w:t>AFlow — ICLR 2025</w:t>
            </w:r>
          </w:p>
        </w:tc>
        <w:tc>
          <w:tcPr>
            <w:tcW w:type="dxa" w:w="3389"/>
            <w:vAlign w:val="top"/>
          </w:tcPr>
          <w:p>
            <w:pPr>
              <w:spacing w:after="0"/>
            </w:pPr>
            <w:r/>
            <w:r>
              <w:rPr>
                <w:rFonts w:ascii="Aptos" w:hAnsi="Aptos"/>
                <w:b w:val="0"/>
                <w:sz w:val="13"/>
              </w:rPr>
              <w:t>Searches code-represented agentic workflows using execution feedback; supports automated workflow optimization after a reliable eval loop exists.</w:t>
            </w:r>
          </w:p>
        </w:tc>
        <w:tc>
          <w:tcPr>
            <w:tcW w:type="dxa" w:w="3389"/>
            <w:vAlign w:val="top"/>
          </w:tcPr>
          <w:p>
            <w:pPr>
              <w:spacing w:after="0"/>
            </w:pPr>
            <w:r/>
            <w:r>
              <w:rPr>
                <w:rFonts w:ascii="Aptos" w:hAnsi="Aptos"/>
                <w:b w:val="0"/>
                <w:sz w:val="13"/>
              </w:rPr>
              <w:t>https://proceedings.iclr.cc/paper_files/paper/2025/hash/5492ecbce4439401798dcd2c90be94cd-Abstract-Conference.html</w:t>
            </w:r>
          </w:p>
        </w:tc>
      </w:tr>
      <w:tr>
        <w:tc>
          <w:tcPr>
            <w:tcW w:type="dxa" w:w="3389"/>
            <w:vAlign w:val="top"/>
          </w:tcPr>
          <w:p>
            <w:pPr>
              <w:spacing w:after="0"/>
            </w:pPr>
            <w:r/>
            <w:r>
              <w:rPr>
                <w:rFonts w:ascii="Aptos" w:hAnsi="Aptos"/>
                <w:b w:val="0"/>
                <w:sz w:val="13"/>
              </w:rPr>
              <w:t>ADAS — Automated Design of Agentic Systems</w:t>
            </w:r>
          </w:p>
        </w:tc>
        <w:tc>
          <w:tcPr>
            <w:tcW w:type="dxa" w:w="3389"/>
            <w:vAlign w:val="top"/>
          </w:tcPr>
          <w:p>
            <w:pPr>
              <w:spacing w:after="0"/>
            </w:pPr>
            <w:r/>
            <w:r>
              <w:rPr>
                <w:rFonts w:ascii="Aptos" w:hAnsi="Aptos"/>
                <w:b w:val="0"/>
                <w:sz w:val="13"/>
              </w:rPr>
              <w:t>Frames automated discovery of agentic systems as a research area; supports the long-term Evolution Chamber direction, not immediate autonomous production evolution.</w:t>
            </w:r>
          </w:p>
        </w:tc>
        <w:tc>
          <w:tcPr>
            <w:tcW w:type="dxa" w:w="3389"/>
            <w:vAlign w:val="top"/>
          </w:tcPr>
          <w:p>
            <w:pPr>
              <w:spacing w:after="0"/>
            </w:pPr>
            <w:r/>
            <w:r>
              <w:rPr>
                <w:rFonts w:ascii="Aptos" w:hAnsi="Aptos"/>
                <w:b w:val="0"/>
                <w:sz w:val="13"/>
              </w:rPr>
              <w:t>https://arxiv.org/abs/2408.08435</w:t>
            </w:r>
          </w:p>
        </w:tc>
      </w:tr>
      <w:tr>
        <w:tc>
          <w:tcPr>
            <w:tcW w:type="dxa" w:w="3389"/>
            <w:vAlign w:val="top"/>
          </w:tcPr>
          <w:p>
            <w:pPr>
              <w:spacing w:after="0"/>
            </w:pPr>
            <w:r/>
            <w:r>
              <w:rPr>
                <w:rFonts w:ascii="Aptos" w:hAnsi="Aptos"/>
                <w:b w:val="0"/>
                <w:sz w:val="13"/>
              </w:rPr>
              <w:t>EvoAgent — NAACL 2025</w:t>
            </w:r>
          </w:p>
        </w:tc>
        <w:tc>
          <w:tcPr>
            <w:tcW w:type="dxa" w:w="3389"/>
            <w:vAlign w:val="top"/>
          </w:tcPr>
          <w:p>
            <w:pPr>
              <w:spacing w:after="0"/>
            </w:pPr>
            <w:r/>
            <w:r>
              <w:rPr>
                <w:rFonts w:ascii="Aptos" w:hAnsi="Aptos"/>
                <w:b w:val="0"/>
                <w:sz w:val="13"/>
              </w:rPr>
              <w:t>Uses evolutionary operators to extend specialized agents into multi-agent systems. Supports controlled evolutionary research on team composition.</w:t>
            </w:r>
          </w:p>
        </w:tc>
        <w:tc>
          <w:tcPr>
            <w:tcW w:type="dxa" w:w="3389"/>
            <w:vAlign w:val="top"/>
          </w:tcPr>
          <w:p>
            <w:pPr>
              <w:spacing w:after="0"/>
            </w:pPr>
            <w:r/>
            <w:r>
              <w:rPr>
                <w:rFonts w:ascii="Aptos" w:hAnsi="Aptos"/>
                <w:b w:val="0"/>
                <w:sz w:val="13"/>
              </w:rPr>
              <w:t>https://aclanthology.org/2025.naacl-long.315/</w:t>
            </w:r>
          </w:p>
        </w:tc>
      </w:tr>
      <w:tr>
        <w:tc>
          <w:tcPr>
            <w:tcW w:type="dxa" w:w="3389"/>
            <w:vAlign w:val="top"/>
          </w:tcPr>
          <w:p>
            <w:pPr>
              <w:spacing w:after="0"/>
            </w:pPr>
            <w:r/>
            <w:r>
              <w:rPr>
                <w:rFonts w:ascii="Aptos" w:hAnsi="Aptos"/>
                <w:b w:val="0"/>
                <w:sz w:val="13"/>
              </w:rPr>
              <w:t>Kubernetes Controllers</w:t>
            </w:r>
          </w:p>
        </w:tc>
        <w:tc>
          <w:tcPr>
            <w:tcW w:type="dxa" w:w="3389"/>
            <w:vAlign w:val="top"/>
          </w:tcPr>
          <w:p>
            <w:pPr>
              <w:spacing w:after="0"/>
            </w:pPr>
            <w:r/>
            <w:r>
              <w:rPr>
                <w:rFonts w:ascii="Aptos" w:hAnsi="Aptos"/>
                <w:b w:val="0"/>
                <w:sz w:val="13"/>
              </w:rPr>
              <w:t>Desired/current-state reconciliation through focused controllers supports bounded self-maintenance and desired organization state.</w:t>
            </w:r>
          </w:p>
        </w:tc>
        <w:tc>
          <w:tcPr>
            <w:tcW w:type="dxa" w:w="3389"/>
            <w:vAlign w:val="top"/>
          </w:tcPr>
          <w:p>
            <w:pPr>
              <w:spacing w:after="0"/>
            </w:pPr>
            <w:r/>
            <w:r>
              <w:rPr>
                <w:rFonts w:ascii="Aptos" w:hAnsi="Aptos"/>
                <w:b w:val="0"/>
                <w:sz w:val="13"/>
              </w:rPr>
              <w:t>https://kubernetes.io/docs/concepts/architecture/controller/</w:t>
            </w:r>
          </w:p>
        </w:tc>
      </w:tr>
      <w:tr>
        <w:tc>
          <w:tcPr>
            <w:tcW w:type="dxa" w:w="3389"/>
            <w:vAlign w:val="top"/>
          </w:tcPr>
          <w:p>
            <w:pPr>
              <w:spacing w:after="0"/>
            </w:pPr>
            <w:r/>
            <w:r>
              <w:rPr>
                <w:rFonts w:ascii="Aptos" w:hAnsi="Aptos"/>
                <w:b w:val="0"/>
                <w:sz w:val="13"/>
              </w:rPr>
              <w:t>Erlang/OTP Supervision Trees</w:t>
            </w:r>
          </w:p>
        </w:tc>
        <w:tc>
          <w:tcPr>
            <w:tcW w:type="dxa" w:w="3389"/>
            <w:vAlign w:val="top"/>
          </w:tcPr>
          <w:p>
            <w:pPr>
              <w:spacing w:after="0"/>
            </w:pPr>
            <w:r/>
            <w:r>
              <w:rPr>
                <w:rFonts w:ascii="Aptos" w:hAnsi="Aptos"/>
                <w:b w:val="0"/>
                <w:sz w:val="13"/>
              </w:rPr>
              <w:t>Hierarchical worker/supervisor patterns support fault containment and explicit recovery strategies instead of one unconstrained recovery agent.</w:t>
            </w:r>
          </w:p>
        </w:tc>
        <w:tc>
          <w:tcPr>
            <w:tcW w:type="dxa" w:w="3389"/>
            <w:vAlign w:val="top"/>
          </w:tcPr>
          <w:p>
            <w:pPr>
              <w:spacing w:after="0"/>
            </w:pPr>
            <w:r/>
            <w:r>
              <w:rPr>
                <w:rFonts w:ascii="Aptos" w:hAnsi="Aptos"/>
                <w:b w:val="0"/>
                <w:sz w:val="13"/>
              </w:rPr>
              <w:t>https://www.erlang.org/docs/27/system/design_principles.html</w:t>
            </w:r>
          </w:p>
        </w:tc>
      </w:tr>
      <w:tr>
        <w:tc>
          <w:tcPr>
            <w:tcW w:type="dxa" w:w="3389"/>
            <w:vAlign w:val="top"/>
          </w:tcPr>
          <w:p>
            <w:pPr>
              <w:spacing w:after="0"/>
            </w:pPr>
            <w:r/>
            <w:r>
              <w:rPr>
                <w:rFonts w:ascii="Aptos" w:hAnsi="Aptos"/>
                <w:b w:val="0"/>
                <w:sz w:val="13"/>
              </w:rPr>
              <w:t>NIST AI RMF Generative AI Profile</w:t>
            </w:r>
          </w:p>
        </w:tc>
        <w:tc>
          <w:tcPr>
            <w:tcW w:type="dxa" w:w="3389"/>
            <w:vAlign w:val="top"/>
          </w:tcPr>
          <w:p>
            <w:pPr>
              <w:spacing w:after="0"/>
            </w:pPr>
            <w:r/>
            <w:r>
              <w:rPr>
                <w:rFonts w:ascii="Aptos" w:hAnsi="Aptos"/>
                <w:b w:val="0"/>
                <w:sz w:val="13"/>
              </w:rPr>
              <w:t>Treats trustworthiness considerations as lifecycle design/evaluation concerns; reinforces making assurance evidence, governance and evaluation first-class.</w:t>
            </w:r>
          </w:p>
        </w:tc>
        <w:tc>
          <w:tcPr>
            <w:tcW w:type="dxa" w:w="3389"/>
            <w:vAlign w:val="top"/>
          </w:tcPr>
          <w:p>
            <w:pPr>
              <w:spacing w:after="0"/>
            </w:pPr>
            <w:r/>
            <w:r>
              <w:rPr>
                <w:rFonts w:ascii="Aptos" w:hAnsi="Aptos"/>
                <w:b w:val="0"/>
                <w:sz w:val="13"/>
              </w:rPr>
              <w:t>https://www.nist.gov/publications/artificial-intelligence-risk-management-framework-generative-artificial-intelligence</w:t>
            </w:r>
          </w:p>
        </w:tc>
      </w:tr>
    </w:tbl>
    <w:p>
      <w:pPr>
        <w:pStyle w:val="Heading1"/>
        <w:keepNext/>
      </w:pPr>
      <w:r>
        <w:t>15. Final portfolio decision</w:t>
      </w:r>
    </w:p>
    <w:tbl>
      <w:tblPr>
        <w:tblW w:type="auto" w:w="0"/>
        <w:jc w:val="center"/>
        <w:tblLook w:firstColumn="1" w:firstRow="1" w:lastColumn="0" w:lastRow="0" w:noHBand="0" w:noVBand="1" w:val="04A0"/>
      </w:tblPr>
      <w:tblGrid>
        <w:gridCol w:w="10166"/>
      </w:tblGrid>
      <w:tr>
        <w:tc>
          <w:tcPr>
            <w:tcW w:type="dxa" w:w="10166"/>
            <w:shd w:fill="EEF3F8"/>
          </w:tcPr>
          <w:p>
            <w:pPr>
              <w:pStyle w:val="QuoteBox"/>
            </w:pPr>
            <w:r>
              <w:rPr>
                <w:b/>
              </w:rPr>
              <w:t xml:space="preserve">Build now — </w:t>
            </w:r>
            <w:r>
              <w:t>Turn Agent Factory into an evidence-driven organizational runtime: Intent Contract + versioned Org-IR + mission graph + constitutional preflight + bounded global workspace + shadow verification + replay + assurance receipt.</w:t>
            </w:r>
          </w:p>
        </w:tc>
      </w:tr>
    </w:tbl>
    <w:tbl>
      <w:tblPr>
        <w:tblW w:type="auto" w:w="0"/>
        <w:jc w:val="center"/>
        <w:tblLook w:firstColumn="1" w:firstRow="1" w:lastColumn="0" w:lastRow="0" w:noHBand="0" w:noVBand="1" w:val="04A0"/>
      </w:tblPr>
      <w:tblGrid>
        <w:gridCol w:w="10166"/>
      </w:tblGrid>
      <w:tr>
        <w:tc>
          <w:tcPr>
            <w:tcW w:type="dxa" w:w="10166"/>
            <w:shd w:fill="F3F5F8"/>
          </w:tcPr>
          <w:p>
            <w:pPr>
              <w:pStyle w:val="QuoteBox"/>
            </w:pPr>
            <w:r>
              <w:rPr>
                <w:b/>
              </w:rPr>
              <w:t xml:space="preserve">Build next — </w:t>
            </w:r>
            <w:r>
              <w:t>Once those are working, add bounded reconciliation, temporal reliability layers, recursive command and federation. These let the product scale across teams, clients and domains while preserving isolation and control.</w:t>
            </w:r>
          </w:p>
        </w:tc>
      </w:tr>
    </w:tbl>
    <w:tbl>
      <w:tblPr>
        <w:tblW w:type="auto" w:w="0"/>
        <w:jc w:val="center"/>
        <w:tblLook w:firstColumn="1" w:firstRow="1" w:lastColumn="0" w:lastRow="0" w:noHBand="0" w:noVBand="1" w:val="04A0"/>
      </w:tblPr>
      <w:tblGrid>
        <w:gridCol w:w="10166"/>
      </w:tblGrid>
      <w:tr>
        <w:tc>
          <w:tcPr>
            <w:tcW w:type="dxa" w:w="10166"/>
            <w:shd w:fill="F7F3EA"/>
          </w:tcPr>
          <w:p>
            <w:pPr>
              <w:pStyle w:val="QuoteBox"/>
            </w:pPr>
            <w:r>
              <w:rPr>
                <w:b/>
              </w:rPr>
              <w:t xml:space="preserve">Research aggressively, deploy cautiously — </w:t>
            </w:r>
            <w:r>
              <w:t>Organization markets, evolutionary species and morphogenetic self-assembly have the highest frontier upside. Their job in the near term is to produce knowledge and candidate presets in the Organization Lab—not to become production control planes.</w:t>
            </w:r>
          </w:p>
        </w:tc>
      </w:tr>
    </w:tbl>
    <w:p>
      <w:r>
        <w:t>The strategic end-state is not simply “more agents.” It is a system that can express multiple organizational forms, prove which one ran, measure whether it worked, learn which forms fit which missions, and safely replace hand-designed coordination with better certified mechanisms over time.</w:t>
      </w:r>
    </w:p>
    <w:p>
      <w:pPr>
        <w:pStyle w:val="Heading1"/>
        <w:keepNext/>
      </w:pPr>
      <w:r>
        <w:t>Appendix A — Relationship to “Beyond Agent Armies”</w:t>
      </w:r>
    </w:p>
    <w:p>
      <w:r>
        <w:t>Use the two documents together:</w:t>
      </w:r>
    </w:p>
    <w:tbl>
      <w:tblPr>
        <w:tblStyle w:val="TableGrid"/>
        <w:tblW w:type="auto" w:w="0"/>
        <w:jc w:val="center"/>
        <w:tblLook w:firstColumn="1" w:firstRow="1" w:lastColumn="0" w:lastRow="0" w:noHBand="0" w:noVBand="1" w:val="04A0"/>
      </w:tblPr>
      <w:tblGrid>
        <w:gridCol w:w="5083"/>
        <w:gridCol w:w="5083"/>
      </w:tblGrid>
      <w:tr>
        <w:tc>
          <w:tcPr>
            <w:tcW w:type="dxa" w:w="5083"/>
            <w:shd w:fill="DCE5EF"/>
          </w:tcPr>
          <w:p>
            <w:pPr>
              <w:spacing w:after="0"/>
            </w:pPr>
            <w:r/>
            <w:r>
              <w:rPr>
                <w:rFonts w:ascii="Aptos" w:hAnsi="Aptos"/>
                <w:b/>
                <w:sz w:val="16"/>
              </w:rPr>
              <w:t>Document</w:t>
            </w:r>
          </w:p>
        </w:tc>
        <w:tc>
          <w:tcPr>
            <w:tcW w:type="dxa" w:w="5083"/>
            <w:shd w:fill="DCE5EF"/>
          </w:tcPr>
          <w:p>
            <w:pPr>
              <w:spacing w:after="0"/>
            </w:pPr>
            <w:r/>
            <w:r>
              <w:rPr>
                <w:rFonts w:ascii="Aptos" w:hAnsi="Aptos"/>
                <w:b/>
                <w:sz w:val="16"/>
              </w:rPr>
              <w:t>Role</w:t>
            </w:r>
          </w:p>
        </w:tc>
      </w:tr>
      <w:tr>
        <w:tc>
          <w:tcPr>
            <w:tcW w:type="dxa" w:w="5083"/>
            <w:vAlign w:val="top"/>
          </w:tcPr>
          <w:p>
            <w:pPr>
              <w:spacing w:after="0"/>
            </w:pPr>
            <w:r/>
            <w:r>
              <w:rPr>
                <w:rFonts w:ascii="Aptos" w:hAnsi="Aptos"/>
                <w:b w:val="0"/>
                <w:sz w:val="16"/>
              </w:rPr>
              <w:t>Beyond Agent Armies — Frontier Architectures</w:t>
            </w:r>
          </w:p>
        </w:tc>
        <w:tc>
          <w:tcPr>
            <w:tcW w:type="dxa" w:w="5083"/>
            <w:vAlign w:val="top"/>
          </w:tcPr>
          <w:p>
            <w:pPr>
              <w:spacing w:after="0"/>
            </w:pPr>
            <w:r/>
            <w:r>
              <w:rPr>
                <w:rFonts w:ascii="Aptos" w:hAnsi="Aptos"/>
                <w:b w:val="0"/>
                <w:sz w:val="16"/>
              </w:rPr>
              <w:t>Research catalog: what higher-order architectures exist, prior-art anchors, novel hypotheses, diagrams, and deep-research prompt.</w:t>
            </w:r>
          </w:p>
        </w:tc>
      </w:tr>
      <w:tr>
        <w:tc>
          <w:tcPr>
            <w:tcW w:type="dxa" w:w="5083"/>
            <w:vAlign w:val="top"/>
          </w:tcPr>
          <w:p>
            <w:pPr>
              <w:spacing w:after="0"/>
            </w:pPr>
            <w:r/>
            <w:r>
              <w:rPr>
                <w:rFonts w:ascii="Aptos" w:hAnsi="Aptos"/>
                <w:b w:val="0"/>
                <w:sz w:val="16"/>
              </w:rPr>
              <w:t>This prioritization pack</w:t>
            </w:r>
          </w:p>
        </w:tc>
        <w:tc>
          <w:tcPr>
            <w:tcW w:type="dxa" w:w="5083"/>
            <w:vAlign w:val="top"/>
          </w:tcPr>
          <w:p>
            <w:pPr>
              <w:spacing w:after="0"/>
            </w:pPr>
            <w:r/>
            <w:r>
              <w:rPr>
                <w:rFonts w:ascii="Aptos" w:hAnsi="Aptos"/>
                <w:b w:val="0"/>
                <w:sz w:val="16"/>
              </w:rPr>
              <w:t>Decision system: how those architectures map to current Agent Factory, business/performance/quality/client/trust outcomes, dependencies, priority, KPIs, rollout and promotion gates.</w:t>
            </w:r>
          </w:p>
        </w:tc>
      </w:tr>
    </w:tbl>
    <w:sectPr w:rsidR="00FC693F" w:rsidRPr="0006063C" w:rsidSect="00034616">
      <w:headerReference w:type="default" r:id="rId13"/>
      <w:footerReference w:type="default" r:id="rId14"/>
      <w:pgSz w:w="12240" w:h="15840"/>
      <w:pgMar w:top="965" w:right="1037" w:bottom="96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594"/>
        <w:sz w:val="14"/>
      </w:rPr>
      <w:t>Decision pack • 2026-09-01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8594"/>
        <w:sz w:val="14"/>
      </w:rPr>
      <w:t>AGENT FACTORY • FRONTIER ARCHITECTURE PRIORITIZATION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2607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4748B"/>
      <w:sz w:val="16"/>
    </w:rPr>
  </w:style>
  <w:style w:type="paragraph" w:customStyle="1" w:styleId="QuoteBox">
    <w:name w:val="QuoteBox"/>
    <w:pPr>
      <w:ind w:left="173" w:right="173"/>
    </w:pPr>
    <w:rPr>
      <w:rFonts w:ascii="Aptos" w:hAnsi="Aptos"/>
      <w:color w:val="24344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