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g" ContentType="image/jpg"/>
  <Default Extension="jpeg" ContentType="image/jpeg"/>
  <Default Extension="tiff" ContentType="image/tiff"/>
  <Default Extension="tif" ContentType="image/ti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body>
    <w:p>
      <w:pPr/>
      <w:r>
        <w:rPr/>
        <w:t xml:space="preserve">The conference you are thinking of is almost certainly </w:t>
      </w:r>
      <w:r>
        <w:rPr>
          <w:b/>
        </w:rPr>
        <w:t xml:space="preserve">AISTATS 2010</w:t>
      </w:r>
      <w:r>
        <w:rPr/>
        <w:t xml:space="preserve"> (the </w:t>
      </w:r>
      <w:r>
        <w:rPr>
          <w:i/>
        </w:rPr>
        <w:t xml:space="preserve">13th International Conference on Artificial Intelligence and Statistics</w:t>
      </w:r>
      <w:r>
        <w:rPr/>
        <w:t xml:space="preserve">), which took place at the </w:t>
      </w:r>
      <w:r>
        <w:rPr>
          <w:b/>
        </w:rPr>
        <w:t xml:space="preserve">Chia Laguna Resort in Sardinia, Italy</w:t>
      </w:r>
      <w:r>
        <w:rPr/>
        <w:t xml:space="preserve">.</w:t>
      </w:r>
    </w:p>
    <w:p>
      <w:pPr/>
      <w:r>
        <w:rPr/>
        <w:t xml:space="preserve">While it actually took place in May </w:t>
      </w:r>
      <w:r>
        <w:rPr>
          <w:b/>
        </w:rPr>
        <w:t xml:space="preserve">2010</w:t>
      </w:r>
      <w:r>
        <w:rPr/>
        <w:t xml:space="preserve">, the call for papers, submission deadline, and planning all kicked off in late </w:t>
      </w:r>
      <w:r>
        <w:rPr>
          <w:b/>
        </w:rPr>
        <w:t xml:space="preserve">2009</w:t>
      </w:r>
      <w:r>
        <w:rPr/>
        <w:t xml:space="preserve"> (with the main submission deadline falling in November 2009).</w:t>
      </w:r>
    </w:p>
    <w:p>
      <w:pPr/>
      <w:r>
        <w:rPr/>
        <w:t xml:space="preserve">Here are a few key details about that specific event to jog your memory:</w:t>
      </w:r>
    </w:p>
    <w:p>
      <w:pPr>
        <w:pStyle w:val="Heading3"/>
        <w:keepNext/>
      </w:pPr>
      <w:r>
        <w:rPr>
          <w:b/>
        </w:rPr>
        <w:t xml:space="preserve">AISTATS 2010 (Chia Laguna, Sardinia)</w:t>
      </w:r>
    </w:p>
    <w:p>
      <w:pPr>
        <w:spacing w:before="0" w:after="0"/>
        <w:pStyle w:val="ListParagraph"/>
        <w:ind w:left="720"/>
        <w:numPr>
          <w:ilvl w:val="0"/>
          <w:numId w:val="1"/>
        </w:numPr>
      </w:pPr>
      <w:r>
        <w:rPr>
          <w:b/>
        </w:rPr>
        <w:t xml:space="preserve">The Milestone:</w:t>
      </w:r>
      <w:r>
        <w:rPr/>
        <w:t xml:space="preserve"> This was a massive year for the conference. Historically, AISTATS had always been held every two years in North America. The 2010 Sardinia event was the landmark first time it was brought to Europe, transitioning it to a highly anticipated annual conference.</w:t>
      </w:r>
    </w:p>
    <w:p>
      <w:pPr>
        <w:spacing w:before="0" w:after="0"/>
        <w:pStyle w:val="ListParagraph"/>
        <w:ind w:left="720"/>
        <w:numPr>
          <w:ilvl w:val="0"/>
          <w:numId w:val="1"/>
        </w:numPr>
      </w:pPr>
      <w:r>
        <w:rPr>
          <w:b/>
        </w:rPr>
        <w:t xml:space="preserve">Co-located Events:</w:t>
      </w:r>
      <w:r>
        <w:rPr/>
        <w:t xml:space="preserve"> * A </w:t>
      </w:r>
      <w:r>
        <w:rPr>
          <w:b/>
        </w:rPr>
        <w:t xml:space="preserve">Machine Learning and Cognitive Science Summer School (MLSS)</w:t>
      </w:r>
      <w:r>
        <w:rPr/>
        <w:t xml:space="preserve"> was held right before the main conference.</w:t>
      </w:r>
    </w:p>
    <w:p>
      <w:pPr>
        <w:spacing w:before="0" w:after="0"/>
        <w:pStyle w:val="ListParagraph"/>
        <w:ind w:left="720"/>
        <w:numPr>
          <w:ilvl w:val="0"/>
          <w:numId w:val="1"/>
        </w:numPr>
      </w:pPr>
      <w:r>
        <w:rPr/>
        <w:t xml:space="preserve">An </w:t>
      </w:r>
      <w:r>
        <w:rPr>
          <w:b/>
        </w:rPr>
        <w:t xml:space="preserve">Active Learning and Experimental Design Workshop</w:t>
      </w:r>
      <w:r>
        <w:rPr/>
        <w:t xml:space="preserve"> took place immediately after.</w:t>
      </w:r>
    </w:p>
    <w:p>
      <w:pPr>
        <w:spacing w:before="0" w:after="0"/>
        <w:pStyle w:val="ListParagraph"/>
        <w:ind w:left="720"/>
        <w:numPr>
          <w:ilvl w:val="0"/>
          <w:numId w:val="1"/>
        </w:numPr>
      </w:pPr>
      <w:r>
        <w:rPr>
          <w:b/>
        </w:rPr>
        <w:t xml:space="preserve">Famous Research:</w:t>
      </w:r>
      <w:r>
        <w:rPr/>
        <w:t xml:space="preserve"> If you sat in on the sessions, you might have witnessed history—this was the exact conference where Xavier Glorot and Yoshua Bengio presented their seminal paper, </w:t>
      </w:r>
      <w:r>
        <w:rPr>
          <w:i/>
        </w:rPr>
        <w:t xml:space="preserve">"Understanding the difficulty of training deep feedforward neural networks"</w:t>
      </w:r>
      <w:r>
        <w:rPr/>
        <w:t xml:space="preserve">, which introduced the incredibly famous </w:t>
      </w:r>
      <w:r>
        <w:rPr>
          <w:b/>
        </w:rPr>
        <w:t xml:space="preserve">Glorot/Xavier initialization</w:t>
      </w:r>
      <w:r>
        <w:rPr/>
        <w:t xml:space="preserve"> that is still used to train deep neural networks today.</w:t>
      </w:r>
    </w:p>
    <w:p>
      <w:pPr/>
      <w:r>
        <w:rPr/>
        <w:t xml:space="preserve">Does this match up with the beautiful coastal backdrop and the research you remember from your grad school days?</w:t>
      </w:r>
    </w:p>
    <w:p>
      <w:r>
        <w:br w:type="page"/>
      </w:r>
    </w:p>
    <w:p>
      <w:pPr/>
      <w:r>
        <w:rPr/>
        <w:t xml:space="preserve">It really was an incredible lineup. Since the conference was transitioning to an annual, highly competitive format, the energy that year was electric.</w:t>
      </w:r>
    </w:p>
    <w:p>
      <w:pPr/>
      <w:r>
        <w:rPr/>
        <w:t xml:space="preserve">If you want to take a quick trip down memory lane, a few specific talks and presentations from those three days in May likely stood out:</w:t>
      </w:r>
    </w:p>
    <w:p>
      <w:pPr>
        <w:pStyle w:val="Heading3"/>
        <w:keepNext/>
      </w:pPr>
      <w:r>
        <w:rPr>
          <w:b/>
        </w:rPr>
        <w:t xml:space="preserve">The Invited Keynotes</w:t>
      </w:r>
    </w:p>
    <w:p>
      <w:pPr/>
      <w:r>
        <w:rPr/>
        <w:t xml:space="preserve">The three invited speakers that year perfectly bridged the gap between pure mathematics, statistics, and cutting-edge machine learning:</w:t>
      </w:r>
    </w:p>
    <w:p>
      <w:pPr>
        <w:spacing w:before="0" w:after="0"/>
        <w:pStyle w:val="ListParagraph"/>
        <w:ind w:left="720"/>
        <w:numPr>
          <w:ilvl w:val="0"/>
          <w:numId w:val="2"/>
        </w:numPr>
      </w:pPr>
      <w:r>
        <w:rPr>
          <w:b/>
        </w:rPr>
        <w:t xml:space="preserve">John Lafferty</w:t>
      </w:r>
      <w:r>
        <w:rPr/>
        <w:t xml:space="preserve"> (then at CMU) gave a fascinating talk on </w:t>
      </w:r>
      <w:r>
        <w:rPr>
          <w:i/>
        </w:rPr>
        <w:t xml:space="preserve">"Nonparametric Learning of Functions and Graphs in High Dimensions."</w:t>
      </w:r>
      <w:r>
        <w:rPr/>
        <w:t xml:space="preserve"> He introduced the "nonparanormal"—a clever method using copulas to relax strict Gaussian assumptions in graphical models.</w:t>
      </w:r>
    </w:p>
    <w:p>
      <w:pPr>
        <w:spacing w:before="0" w:after="0"/>
        <w:pStyle w:val="ListParagraph"/>
        <w:ind w:left="720"/>
        <w:numPr>
          <w:ilvl w:val="0"/>
          <w:numId w:val="2"/>
        </w:numPr>
      </w:pPr>
      <w:r>
        <w:rPr>
          <w:b/>
        </w:rPr>
        <w:t xml:space="preserve">Simon Tavaré</w:t>
      </w:r>
      <w:r>
        <w:rPr/>
        <w:t xml:space="preserve"> (University of Cambridge) demystified </w:t>
      </w:r>
      <w:r>
        <w:rPr>
          <w:b/>
        </w:rPr>
        <w:t xml:space="preserve">Approximate Bayesian Computation (ABC)</w:t>
      </w:r>
      <w:r>
        <w:rPr/>
        <w:t xml:space="preserve">, explaining how to perform Bayesian inference when your likelihood functions are completely intractable, applying it to things like the fossil record and stem cells.</w:t>
      </w:r>
    </w:p>
    <w:p>
      <w:pPr>
        <w:spacing w:before="0" w:after="0"/>
        <w:pStyle w:val="ListParagraph"/>
        <w:ind w:left="720"/>
        <w:numPr>
          <w:ilvl w:val="0"/>
          <w:numId w:val="2"/>
        </w:numPr>
      </w:pPr>
      <w:r>
        <w:rPr>
          <w:b/>
        </w:rPr>
        <w:t xml:space="preserve">Richard Gill</w:t>
      </w:r>
      <w:r>
        <w:rPr/>
        <w:t xml:space="preserve"> (University of Leiden) gave a highly memorable (and slightly dramatic) talk on </w:t>
      </w:r>
      <w:r>
        <w:rPr>
          <w:b/>
        </w:rPr>
        <w:t xml:space="preserve">Forensic Statistics</w:t>
      </w:r>
      <w:r>
        <w:rPr/>
        <w:t xml:space="preserve">, discussing how probability and statistics were being increasingly used—and often catastrophically misused—in courtrooms and high-profile criminal trials.</w:t>
      </w:r>
    </w:p>
    <w:p>
      <w:pPr>
        <w:pStyle w:val="Heading3"/>
        <w:keepNext/>
      </w:pPr>
      <w:r>
        <w:rPr>
          <w:b/>
        </w:rPr>
        <w:t xml:space="preserve">Standout Contributed Papers</w:t>
      </w:r>
    </w:p>
    <w:p>
      <w:pPr/>
      <w:r>
        <w:rPr/>
        <w:t xml:space="preserve">Aside from the landmark Glorot &amp; Bengio paper on neural net initialization, there were some other highly influential papers presented:</w:t>
      </w:r>
    </w:p>
    <w:p>
      <w:pPr>
        <w:spacing w:before="0" w:after="0"/>
        <w:pStyle w:val="ListParagraph"/>
        <w:ind w:left="720"/>
        <w:numPr>
          <w:ilvl w:val="0"/>
          <w:numId w:val="3"/>
        </w:numPr>
      </w:pPr>
      <w:r>
        <w:rPr>
          <w:b/>
        </w:rPr>
        <w:t xml:space="preserve">Marc'Aurelio Ranzato, Alex Krizhevsky, and Geoffrey Hinton</w:t>
      </w:r>
      <w:r>
        <w:rPr/>
        <w:t xml:space="preserve"> presented their work on </w:t>
      </w:r>
      <w:r>
        <w:rPr>
          <w:i/>
        </w:rPr>
        <w:t xml:space="preserve">Factored 3-Way Restricted Boltzmann Machines for Modeling Natural Images</w:t>
      </w:r>
      <w:r>
        <w:rPr/>
        <w:t xml:space="preserve">. (This was right on the cusp of the deep learning explosion; Krizhevsky would publish the historic AlexNet paper just two years later).</w:t>
      </w:r>
    </w:p>
    <w:p>
      <w:pPr>
        <w:spacing w:before="0" w:after="0"/>
        <w:pStyle w:val="ListParagraph"/>
        <w:ind w:left="720"/>
        <w:numPr>
          <w:ilvl w:val="0"/>
          <w:numId w:val="3"/>
        </w:numPr>
      </w:pPr>
      <w:r>
        <w:rPr>
          <w:b/>
        </w:rPr>
        <w:t xml:space="preserve">Ryan Adams, Hanna Wallach, and Zoubin Ghahramani</w:t>
      </w:r>
      <w:r>
        <w:rPr/>
        <w:t xml:space="preserve"> presented </w:t>
      </w:r>
      <w:r>
        <w:rPr>
          <w:i/>
        </w:rPr>
        <w:t xml:space="preserve">Learning the Structure of Deep Sparse Graphical Models</w:t>
      </w:r>
      <w:r>
        <w:rPr/>
        <w:t xml:space="preserve">, showcasing some incredibly elegant Bayesian nonparametrics.</w:t>
      </w:r>
    </w:p>
    <w:p>
      <w:pPr>
        <w:spacing w:before="0" w:after="0"/>
        <w:pStyle w:val="ListParagraph"/>
        <w:ind w:left="720"/>
        <w:numPr>
          <w:ilvl w:val="0"/>
          <w:numId w:val="3"/>
        </w:numPr>
      </w:pPr>
      <w:r>
        <w:rPr>
          <w:b/>
        </w:rPr>
        <w:t xml:space="preserve">Steffen Grünewälder, Jean-Yves Audibert, Manfred Opper, and John Shawe-Taylor</w:t>
      </w:r>
      <w:r>
        <w:rPr/>
        <w:t xml:space="preserve"> laid down foundational theory with their paper on </w:t>
      </w:r>
      <w:r>
        <w:rPr>
          <w:i/>
        </w:rPr>
        <w:t xml:space="preserve">Regret Bounds for Gaussian Process Bandit Problems</w:t>
      </w:r>
      <w:r>
        <w:rPr/>
        <w:t xml:space="preserve">.</w:t>
      </w:r>
    </w:p>
    <w:p>
      <w:pPr/>
      <w:r>
        <w:rPr/>
        <w:t xml:space="preserve">Do you remember sitting in on any of those specific sessions, or perhaps presenting some of your own graduate work at the poster sessions?</w:t>
      </w:r>
    </w:p>
    <w:p>
      <w:r>
        <w:br w:type="page"/>
      </w:r>
    </w:p>
    <w:p>
      <w:pPr/>
      <w:r>
        <w:rPr/>
        <w:t xml:space="preserve">It must have been incredibly validating to sit in that room and feel the tide starting to turn.</w:t>
      </w:r>
    </w:p>
    <w:p>
      <w:pPr/>
      <w:r>
        <w:rPr/>
        <w:t xml:space="preserve">For years, the "connectionist" camp had been relegated to the sidelines. During the "AI Winter" of the late '80s and '90s, the consensus was highly skeptical—the common wisdom was that multilayer networks were too hard to train, would get trapped in local minima, and, as you were told, would never have the computational horsepower to scale. The field had largely pivoted to support vector machines and convex optimization because they were mathematically "cleaner" and easier to run on the hardware of the time.</w:t>
      </w:r>
    </w:p>
    <w:p>
      <w:pPr/>
      <w:r>
        <w:rPr/>
        <w:t xml:space="preserve">But looking at the brain, that skepticism just didn’t add up. Your intuition was spot on: biology proved that a massively parallel, layered architecture of relatively simple processing units </w:t>
      </w:r>
      <w:r>
        <w:rPr>
          <w:i/>
        </w:rPr>
        <w:t xml:space="preserve">could</w:t>
      </w:r>
      <w:r>
        <w:rPr/>
        <w:t xml:space="preserve"> produce high-level intelligence. The hardware just had to catch up to the neuroanatomy.</w:t>
      </w:r>
    </w:p>
    <w:p>
      <w:pPr/>
      <w:r>
        <w:rPr/>
        <w:t xml:space="preserve">At that 2010 conference, you were witnessing the exact transition point where the hardware bottleneck was beginning to shatter:</w:t>
      </w:r>
    </w:p>
    <w:p>
      <w:pPr>
        <w:spacing w:before="0" w:after="0"/>
        <w:pStyle w:val="ListParagraph"/>
        <w:ind w:left="720"/>
        <w:numPr>
          <w:ilvl w:val="0"/>
          <w:numId w:val="4"/>
        </w:numPr>
      </w:pPr>
      <w:r>
        <w:rPr>
          <w:b/>
        </w:rPr>
        <w:t xml:space="preserve">The GPU Revolution was Quietly Starting:</w:t>
      </w:r>
      <w:r>
        <w:rPr/>
        <w:t xml:space="preserve"> Around 2009–2010, researchers (including Hinton's lab) were just beginning to realize that the graphics cards designed for rendering video games were massively parallel matrix-multiplication monsters—perfectly suited for running neural networks.</w:t>
      </w:r>
    </w:p>
    <w:p>
      <w:pPr>
        <w:spacing w:before="0" w:after="0"/>
        <w:pStyle w:val="ListParagraph"/>
        <w:ind w:left="720"/>
        <w:numPr>
          <w:ilvl w:val="0"/>
          <w:numId w:val="4"/>
        </w:numPr>
      </w:pPr>
      <w:r>
        <w:rPr>
          <w:b/>
        </w:rPr>
        <w:t xml:space="preserve">The Shift in Perspective:</w:t>
      </w:r>
      <w:r>
        <w:rPr/>
        <w:t xml:space="preserve"> The papers presented at AISTATS that year weren't just theoretical math anymore; they were practical blueprints for scaling. They were finding clever ways to initialize weights (like the Glorot initialization) and structure layers (like Hinton's factored 3-way RBMs) so that deeper networks could actually learn without the gradients vanishing into nothingness.</w:t>
      </w:r>
    </w:p>
    <w:p>
      <w:pPr/>
      <w:r>
        <w:rPr/>
        <w:t xml:space="preserve">Only two years after that Sardinia conference, Hinton’s lab would use those exact GPU-accelerated deep convolutional networks to absolutely obliterate the competition at the 2012 ImageNet challenge. The "impossible" connectionist dream suddenly became the dominant paradigm on earth.</w:t>
      </w:r>
    </w:p>
    <w:p>
      <w:pPr/>
      <w:r>
        <w:rPr/>
        <w:t xml:space="preserve">Did that conference inspire you to double down on connectionist models/neural nets for your own graduate research, or did you have to stick to more traditional methods because of what your advisor or department favored at the time?</w:t>
      </w:r>
    </w:p>
    <w:p>
      <w:r>
        <w:br w:type="page"/>
      </w:r>
    </w:p>
    <w:p>
      <w:pPr/>
      <w:r>
        <w:rPr/>
        <w:t xml:space="preserve">That’s a brilliant angle for an article. You’re essentially describing the </w:t>
      </w:r>
      <w:r>
        <w:rPr>
          <w:b/>
        </w:rPr>
        <w:t xml:space="preserve">"The Great Recoil"</w:t>
      </w:r>
      <w:r>
        <w:rPr/>
        <w:t xml:space="preserve">—the historical rhythm where technology swings between centralized "cathedrals" (mainframes/cloud) and decentralized "bazaars" (PCs/local AI).</w:t>
      </w:r>
    </w:p>
    <w:p>
      <w:pPr/>
      <w:r>
        <w:rPr/>
        <w:t xml:space="preserve">Since you're looking at this through the lens of a developer building local infrastructure, here are the parallels, the titan-sized blunders, and the "flickering lights" of the mainframe era to help flesh out your piece.</w:t>
      </w:r>
    </w:p>
    <w:p>
      <w:pPr>
        <w:pStyle w:val="Heading3"/>
        <w:keepNext/>
      </w:pPr>
      <w:r>
        <w:rPr/>
        <w:t xml:space="preserve">1. The "Titan" Quotes: Where They Went Wrong</w:t>
      </w:r>
    </w:p>
    <w:p>
      <w:pPr/>
      <w:r>
        <w:rPr/>
        <w:t xml:space="preserve">You’re likely remembering </w:t>
      </w:r>
      <w:r>
        <w:rPr>
          <w:b/>
        </w:rPr>
        <w:t xml:space="preserve">Ken Olsen</w:t>
      </w:r>
      <w:r>
        <w:rPr/>
        <w:t xml:space="preserve">, the founder of Digital Equipment Corporation (DEC). In 1977—the same year the Apple II and Commodore PET launched—he famously said:</w:t>
      </w:r>
    </w:p>
    <w:p>
      <w:pPr>
        <w:ind w:left="720"/>
      </w:pPr>
      <w:r>
        <w:rPr>
          <w:b/>
        </w:rPr>
        <w:t xml:space="preserve">"There is no reason for any individual to have a computer in their home."</w:t>
      </w:r>
    </w:p>
    <w:p>
      <w:pPr/>
      <w:r>
        <w:rPr>
          <w:b/>
        </w:rPr>
        <w:t xml:space="preserve">The Context (The "Why"):</w:t>
      </w:r>
      <w:r>
        <w:rPr/>
        <w:t xml:space="preserve"> Olsen wasn't a fool; he just suffered from a failure of imagination regarding </w:t>
      </w:r>
      <w:r>
        <w:rPr>
          <w:i/>
        </w:rPr>
        <w:t xml:space="preserve">use cases</w:t>
      </w:r>
      <w:r>
        <w:rPr/>
        <w:t xml:space="preserve">. He envisioned a "home computer" as a giant, expensive machine that would try to manage your HVAC and your refrigerator (a "super-housekeeper"). He couldn't imagine why anyone would want that.</w:t>
      </w:r>
    </w:p>
    <w:p>
      <w:pPr/>
      <w:r>
        <w:rPr/>
        <w:t xml:space="preserve">Similarly, the "Computer Utility" visionaries of the 1960s (like </w:t>
      </w:r>
      <w:r>
        <w:rPr>
          <w:b/>
        </w:rPr>
        <w:t xml:space="preserve">John McCarthy</w:t>
      </w:r>
      <w:r>
        <w:rPr/>
        <w:t xml:space="preserve">) believed:</w:t>
      </w:r>
    </w:p>
    <w:p>
      <w:pPr>
        <w:ind w:left="720"/>
      </w:pPr>
      <w:r>
        <w:rPr>
          <w:b/>
        </w:rPr>
        <w:t xml:space="preserve">"Computation may some day be organized as a public utility just as the telephone system is a public utility."</w:t>
      </w:r>
    </w:p>
    <w:p>
      <w:pPr/>
      <w:r>
        <w:rPr/>
        <w:t xml:space="preserve">The consensus was that home users would simply own a "dumb terminal" (the 1970s version of a thin client) and rent time from a massive, central mainframe. The argument was purely economic: "Why buy a whole cow when you only want a glass of milk?"</w:t>
      </w:r>
    </w:p>
    <w:p>
      <w:pPr>
        <w:pStyle w:val="Heading3"/>
        <w:keepNext/>
      </w:pPr>
      <w:r>
        <w:rPr/>
        <w:t xml:space="preserve">2. Parallels: Mainframes vs. Neocloud</w:t>
      </w:r>
    </w:p>
    <w:tbl>
      <w:tblPr>
        <w:tblStyle w:val="TableNorm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200" w:type="dxa"/>
        </w:tblCellMar>
        <w:tblLook w:val="04A0" w:firstRow="0" w:lastRow="0" w:firstColumn="0" w:lastColumn="0" w:noHBand="1" w:noVBand="1"/>
      </w:tblPr>
      <w:tblGrid>
        <w:gridCol w:w="3333.33333333333"/>
        <w:gridCol w:w="3333.33333333333"/>
        <w:gridCol w:w="3333.33333333333"/>
      </w:tblGrid>
      <w:tr>
        <w:tc>
          <w:tcPr/>
          <w:p>
            <w:pPr>
              <w:spacing w:before="0" w:after="0"/>
            </w:pPr>
            <w:r>
              <w:rPr>
                <w:b/>
              </w:rPr>
              <w:t xml:space="preserve">
            Feature
          </w:t>
            </w:r>
          </w:p>
        </w:tc>
        <w:tc>
          <w:tcPr/>
          <w:p>
            <w:pPr>
              <w:spacing w:before="0" w:after="0"/>
            </w:pPr>
            <w:r>
              <w:rPr>
                <w:b/>
              </w:rPr>
              <w:t xml:space="preserve">
            1970s Mainframe Era
          </w:t>
            </w:r>
          </w:p>
        </w:tc>
        <w:tc>
          <w:tcPr/>
          <w:p>
            <w:pPr>
              <w:spacing w:before="0" w:after="0"/>
            </w:pPr>
            <w:r>
              <w:rPr>
                <w:b/>
              </w:rPr>
              <w:t xml:space="preserve">
            2020s "Neocloud" Era
          </w:t>
            </w:r>
          </w:p>
        </w:tc>
      </w:tr>
      <w:tr>
        <w:tc>
          <w:tcPr/>
          <w:p>
            <w:pPr>
              <w:spacing w:before="0" w:after="0"/>
            </w:pPr>
            <w:r>
              <w:rPr>
                <w:b/>
              </w:rPr>
              <w:t xml:space="preserve">The Argument</w:t>
            </w:r>
          </w:p>
        </w:tc>
        <w:tc>
          <w:tcPr/>
          <w:p>
            <w:pPr>
              <w:spacing w:before="0" w:after="0"/>
            </w:pPr>
            <w:r>
              <w:rPr/>
              <w:t xml:space="preserve">"A home machine is too weak to do real work."</w:t>
            </w:r>
          </w:p>
        </w:tc>
        <w:tc>
          <w:tcPr/>
          <w:p>
            <w:pPr>
              <w:spacing w:before="0" w:after="0"/>
            </w:pPr>
            <w:r>
              <w:rPr/>
              <w:t xml:space="preserve">"Local hardware can't run 1T+ parameter models."</w:t>
            </w:r>
          </w:p>
        </w:tc>
      </w:tr>
      <w:tr>
        <w:tc>
          <w:tcPr/>
          <w:p>
            <w:pPr>
              <w:spacing w:before="0" w:after="0"/>
            </w:pPr>
            <w:r>
              <w:rPr>
                <w:b/>
              </w:rPr>
              <w:t xml:space="preserve">The Gatekeepers</w:t>
            </w:r>
          </w:p>
        </w:tc>
        <w:tc>
          <w:tcPr/>
          <w:p>
            <w:pPr>
              <w:spacing w:before="0" w:after="0"/>
            </w:pPr>
            <w:r>
              <w:rPr/>
              <w:t xml:space="preserve">IBM, DEC, and "The BUNCH."</w:t>
            </w:r>
          </w:p>
        </w:tc>
        <w:tc>
          <w:tcPr/>
          <w:p>
            <w:pPr>
              <w:spacing w:before="0" w:after="0"/>
            </w:pPr>
            <w:r>
              <w:rPr/>
              <w:t xml:space="preserve">OpenAI, Google, Anthropic.</w:t>
            </w:r>
          </w:p>
        </w:tc>
      </w:tr>
      <w:tr>
        <w:tc>
          <w:tcPr/>
          <w:p>
            <w:pPr>
              <w:spacing w:before="0" w:after="0"/>
            </w:pPr>
            <w:r>
              <w:rPr>
                <w:b/>
              </w:rPr>
              <w:t xml:space="preserve">The Interface</w:t>
            </w:r>
          </w:p>
        </w:tc>
        <w:tc>
          <w:tcPr/>
          <w:p>
            <w:pPr>
              <w:spacing w:before="0" w:after="0"/>
            </w:pPr>
            <w:r>
              <w:rPr/>
              <w:t xml:space="preserve">Time-sharing terminals (renting CPU cycles).</w:t>
            </w:r>
          </w:p>
        </w:tc>
        <w:tc>
          <w:tcPr/>
          <w:p>
            <w:pPr>
              <w:spacing w:before="0" w:after="0"/>
            </w:pPr>
            <w:r>
              <w:rPr/>
              <w:t xml:space="preserve">API Keys / Chat interfaces (renting tokens).</w:t>
            </w:r>
          </w:p>
        </w:tc>
      </w:tr>
      <w:tr>
        <w:tc>
          <w:tcPr/>
          <w:p>
            <w:pPr>
              <w:spacing w:before="0" w:after="0"/>
            </w:pPr>
            <w:r>
              <w:rPr>
                <w:b/>
              </w:rPr>
              <w:t xml:space="preserve">The Resistance</w:t>
            </w:r>
          </w:p>
        </w:tc>
        <w:tc>
          <w:tcPr/>
          <w:p>
            <w:pPr>
              <w:spacing w:before="0" w:after="0"/>
            </w:pPr>
            <w:r>
              <w:rPr/>
              <w:t xml:space="preserve">Homebrew Computer Club / Apple 1.</w:t>
            </w:r>
          </w:p>
        </w:tc>
        <w:tc>
          <w:tcPr/>
          <w:p>
            <w:pPr>
              <w:spacing w:before="0" w:after="0"/>
            </w:pPr>
            <w:r>
              <w:rPr/>
              <w:t xml:space="preserve">Local AI movement (Ollama, LM Studio, OpenCode).</w:t>
            </w:r>
          </w:p>
        </w:tc>
      </w:tr>
      <w:tr>
        <w:tc>
          <w:tcPr/>
          <w:p>
            <w:pPr>
              <w:spacing w:before="0" w:after="0"/>
            </w:pPr>
            <w:r>
              <w:rPr>
                <w:b/>
              </w:rPr>
              <w:t xml:space="preserve">The Driver</w:t>
            </w:r>
          </w:p>
        </w:tc>
        <w:tc>
          <w:tcPr/>
          <w:p>
            <w:pPr>
              <w:spacing w:before="0" w:after="0"/>
            </w:pPr>
            <w:r>
              <w:rPr/>
              <w:t xml:space="preserve">Personal autonomy &amp; "the joy of tinkering."</w:t>
            </w:r>
          </w:p>
        </w:tc>
        <w:tc>
          <w:tcPr/>
          <w:p>
            <w:pPr>
              <w:spacing w:before="0" w:after="0"/>
            </w:pPr>
            <w:r>
              <w:rPr/>
              <w:t xml:space="preserve">Data privacy, censorship-resistance, &amp; zero latency.</w:t>
            </w:r>
          </w:p>
        </w:tc>
      </w:tr>
    </w:tbl>
    <w:p>
      <w:pPr>
        <w:pStyle w:val="Heading3"/>
        <w:keepNext/>
      </w:pPr>
      <w:r>
        <w:rPr/>
        <w:t xml:space="preserve">3. The Electricity &amp; "Flickering Lights" Myth</w:t>
      </w:r>
    </w:p>
    <w:p>
      <w:pPr/>
      <w:r>
        <w:rPr/>
        <w:t xml:space="preserve">You are spot-on about the electricity concerns. The </w:t>
      </w:r>
      <w:r>
        <w:rPr>
          <w:b/>
        </w:rPr>
        <w:t xml:space="preserve">ENIAC</w:t>
      </w:r>
      <w:r>
        <w:rPr/>
        <w:t xml:space="preserve"> (1946) was the "GPT-4" of its day—monstrous, hot, and hungry.</w:t>
      </w:r>
    </w:p>
    <w:p>
      <w:pPr>
        <w:spacing w:before="0" w:after="0"/>
        <w:pStyle w:val="ListParagraph"/>
        <w:ind w:left="720"/>
        <w:numPr>
          <w:ilvl w:val="0"/>
          <w:numId w:val="5"/>
        </w:numPr>
      </w:pPr>
      <w:r>
        <w:rPr>
          <w:b/>
        </w:rPr>
        <w:t xml:space="preserve">The Consumption:</w:t>
      </w:r>
      <w:r>
        <w:rPr/>
        <w:t xml:space="preserve"> It used about </w:t>
      </w:r>
      <w:r>
        <w:rPr>
          <w:b/>
        </w:rPr>
        <w:t xml:space="preserve">150–174 kW</w:t>
      </w:r>
      <w:r>
        <w:rPr/>
        <w:t xml:space="preserve"> of power. For perspective, a modern house uses about 1–2 kW on average.</w:t>
      </w:r>
    </w:p>
    <w:p>
      <w:pPr>
        <w:spacing w:before="0" w:after="0"/>
        <w:pStyle w:val="ListParagraph"/>
        <w:ind w:left="720"/>
        <w:numPr>
          <w:ilvl w:val="0"/>
          <w:numId w:val="5"/>
        </w:numPr>
      </w:pPr>
      <w:r>
        <w:rPr>
          <w:b/>
        </w:rPr>
        <w:t xml:space="preserve">The Legend:</w:t>
      </w:r>
      <w:r>
        <w:rPr/>
        <w:t xml:space="preserve"> There is a persistent urban legend that whenever the ENIAC was switched on at the University of Pennsylvania, the </w:t>
      </w:r>
      <w:r>
        <w:rPr>
          <w:b/>
        </w:rPr>
        <w:t xml:space="preserve">lights in West Philadelphia would dim or flicker</w:t>
      </w:r>
      <w:r>
        <w:rPr/>
        <w:t xml:space="preserve">.</w:t>
      </w:r>
    </w:p>
    <w:p>
      <w:pPr>
        <w:spacing w:before="0" w:after="0"/>
        <w:pStyle w:val="ListParagraph"/>
        <w:ind w:left="720"/>
        <w:numPr>
          <w:ilvl w:val="0"/>
          <w:numId w:val="5"/>
        </w:numPr>
      </w:pPr>
      <w:r>
        <w:rPr>
          <w:b/>
        </w:rPr>
        <w:t xml:space="preserve">The Reality:</w:t>
      </w:r>
      <w:r>
        <w:rPr/>
        <w:t xml:space="preserve"> While the flickering was likely an exaggeration, the heat was not. It had 17,468 vacuum tubes; they failed every couple of days, and the machine generated so much heat that it required its own specialized forced-air cooling system just to keep the room from becoming an oven.</w:t>
      </w:r>
    </w:p>
    <w:p>
      <w:pPr/>
      <w:r>
        <w:rPr>
          <w:b/>
        </w:rPr>
        <w:t xml:space="preserve">The Parallel today:</w:t>
      </w:r>
      <w:r>
        <w:rPr/>
        <w:t xml:space="preserve"> We see the same headlines about the "staggering" power consumption of data centers for LLMs. The historical counter-argument is that as we moved from mainframes to PCs, we didn't just shrink the size—we drastically optimized the </w:t>
      </w:r>
      <w:r>
        <w:rPr>
          <w:b/>
        </w:rPr>
        <w:t xml:space="preserve">efficiency per watt</w:t>
      </w:r>
      <w:r>
        <w:rPr/>
        <w:t xml:space="preserve">. The shift from brute-force mainframes to local, efficient silicon (like Apple's M-series) mirrors the jump from vacuum tubes to transistors.</w:t>
      </w:r>
    </w:p>
    <w:p>
      <w:pPr>
        <w:pStyle w:val="Heading3"/>
        <w:keepNext/>
      </w:pPr>
      <w:r>
        <w:rPr/>
        <w:t xml:space="preserve">4. What is Different This Time?</w:t>
      </w:r>
    </w:p>
    <w:p>
      <w:pPr/>
      <w:r>
        <w:rPr/>
        <w:t xml:space="preserve">While the </w:t>
      </w:r>
      <w:r>
        <w:rPr>
          <w:i/>
        </w:rPr>
        <w:t xml:space="preserve">pattern</w:t>
      </w:r>
      <w:r>
        <w:rPr/>
        <w:t xml:space="preserve"> is the same, the </w:t>
      </w:r>
      <w:r>
        <w:rPr>
          <w:i/>
        </w:rPr>
        <w:t xml:space="preserve">nature</w:t>
      </w:r>
      <w:r>
        <w:rPr/>
        <w:t xml:space="preserve"> of the software is different:</w:t>
      </w:r>
    </w:p>
    <w:p>
      <w:pPr>
        <w:spacing w:before="0" w:after="0"/>
        <w:pStyle w:val="ListParagraph"/>
        <w:ind w:left="720"/>
        <w:numPr>
          <w:ilvl w:val="0"/>
          <w:numId w:val="6"/>
        </w:numPr>
      </w:pPr>
      <w:r>
        <w:rPr>
          <w:b/>
        </w:rPr>
        <w:t xml:space="preserve">The "Weight" of Data:</w:t>
      </w:r>
      <w:r>
        <w:rPr/>
        <w:t xml:space="preserve"> In the 70s, you didn't need to download a "brain" to use a PC; you wrote the logic yourself. With local AI, we are "downloading the expertise." You aren't just owning the hardware; you are owning the </w:t>
      </w:r>
      <w:r>
        <w:rPr>
          <w:b/>
        </w:rPr>
        <w:t xml:space="preserve">weights</w:t>
      </w:r>
      <w:r>
        <w:rPr/>
        <w:t xml:space="preserve">—the crystallized knowledge of the internet.</w:t>
      </w:r>
    </w:p>
    <w:p>
      <w:pPr>
        <w:spacing w:before="0" w:after="0"/>
        <w:pStyle w:val="ListParagraph"/>
        <w:ind w:left="720"/>
        <w:numPr>
          <w:ilvl w:val="0"/>
          <w:numId w:val="6"/>
        </w:numPr>
      </w:pPr>
      <w:r>
        <w:rPr>
          <w:b/>
        </w:rPr>
        <w:t xml:space="preserve">The Barrier of Quantization:</w:t>
      </w:r>
      <w:r>
        <w:rPr/>
        <w:t xml:space="preserve"> In the PC era, a "small" computer was just a slower version of a big one. In the AI era, a "small" model (quantized 7B/8B) is a </w:t>
      </w:r>
      <w:r>
        <w:rPr>
          <w:i/>
        </w:rPr>
        <w:t xml:space="preserve">compressed</w:t>
      </w:r>
      <w:r>
        <w:rPr/>
        <w:t xml:space="preserve"> version of a big one. We’ve discovered that we can "zip" intelligence, which is something the mainframe engineers never had a mathematical equivalent for.</w:t>
      </w:r>
    </w:p>
    <w:p>
      <w:pPr>
        <w:pStyle w:val="Heading3"/>
        <w:keepNext/>
      </w:pPr>
      <w:r>
        <w:rPr/>
        <w:t xml:space="preserve">A Wittier Angle for Your Article:</w:t>
      </w:r>
    </w:p>
    <w:p>
      <w:pPr/>
      <w:r>
        <w:rPr/>
        <w:t xml:space="preserve">You might consider framing it as </w:t>
      </w:r>
      <w:r>
        <w:rPr>
          <w:b/>
        </w:rPr>
        <w:t xml:space="preserve">"The Return of the Sovereign Hobbyist."</w:t>
      </w:r>
      <w:r>
        <w:rPr/>
        <w:t xml:space="preserve"> In 1976, Wozniak was trying to prove that a human didn't need IBM's permission to calculate. In 2026, the local AI movement is proving that a developer doesn't need a subscription to "think."</w:t>
      </w:r>
    </w:p>
    <w:p>
      <w:pPr/>
      <w:r>
        <w:rPr/>
        <w:t xml:space="preserve">Are you focusing more on the economic side (tokens vs. hardware costs) or the philosophical side (centralized truth vs. local control)?</w:t>
      </w:r>
    </w:p>
  </w:body>
</w:document>
</file>

<file path=word/endnotes.xml><?xml version="1.0" encoding="utf-8"?>
<w:endnote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altName w:val="Arial"/>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99A08C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
    <w:nsid w:val="099A08C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
    <w:nsid w:val="099A08C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3">
    <w:nsid w:val="099A08C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4">
    <w:nsid w:val="099A08C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5">
    <w:nsid w:val="099A08C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ne"/>
  <w:zoom w:percent="100"/>
  <w:proofState w:spelling="dirty" w:grammar="dirty"/>
  <w:defaultTabStop w:val="720"/>
  <w:noPunctuationKerning/>
  <w:characterSpacingControl w:val="doNotCompress"/>
  <w:savePreviewPicture/>
  <w:compat>
    <w:doNotBreakWrappedTables/>
    <w:doNotSnapToGridInCell/>
    <w:doNotWrapTextWithPunct/>
    <w:doNotUseEastAsianBreakRules/>
    <w:growAutofit/>
    <w:compatSetting w:name="compatibilityMode" w:uri="http://schemas.microsoft.com/office/word" w:val="15"/>
  </w:compat>
  <w:rsids>
    <w:rsidRoot w:val="006E5FB8"/>
    <w:rsid w:val="006E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table" w:default="1" w:styleId="TableNormal">
    <w:name w:val="Normal Table"/>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 Todo: add paragraph styles for Code (monospace font, respect whitespace) -->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doNotSaveAsSingleFile/>
</w:webSettings>
</file>

<file path=word/_rels/document.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end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foot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iA Writer</Application>
  <AppVersion>1.0</AppVersion>
  <Template>Normal.dotm</Template>
  <ScaleCrop>false</ScaleCrop>
  <Company/>
  <LinksUpToDate>false</LinksUpToDate>
  <HyperlinksChanged>false</HyperlinksChanged>
  <SharedDoc>false</SharedDoc>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meta.xml><?xml version="1.0" encoding="utf-8"?>
<meta xmlns="http://schemas.apple.com/cocoa/2006/metadata">
  <generator>CocoaOOXMLWriter/1187.37</generator>
</meta>
</file>