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Arial" w:cs="Arial" w:eastAsia="Arial" w:hAnsi="Arial"/>
          <w:b/>
          <w:bCs/>
          <w:color w:val="B00020"/>
          <w:sz w:val="22"/>
          <w:szCs w:val="22"/>
        </w:rPr>
        <w:t xml:space="preserve">BULLET TRADE SERVICES</w:t>
      </w:r>
    </w:p>
    <w:p>
      <w:pPr>
        <w:spacing w:after="60"/>
        <w:jc w:val="left"/>
      </w:pPr>
      <w:r>
        <w:rPr>
          <w:rFonts w:ascii="Arial" w:cs="Arial" w:eastAsia="Arial" w:hAnsi="Arial"/>
          <w:color w:val="666666"/>
          <w:sz w:val="22"/>
          <w:szCs w:val="22"/>
        </w:rPr>
        <w:t xml:space="preserve">E-Commerce Division</w:t>
      </w:r>
    </w:p>
    <w:p>
      <w:pPr>
        <w:spacing w:after="120" w:before="240"/>
        <w:jc w:val="left"/>
      </w:pPr>
      <w:r>
        <w:rPr>
          <w:rFonts w:ascii="Arial" w:cs="Arial" w:eastAsia="Arial" w:hAnsi="Arial"/>
          <w:b/>
          <w:bCs/>
          <w:sz w:val="44"/>
          <w:szCs w:val="44"/>
        </w:rPr>
        <w:t xml:space="preserve">Market Assessment &amp; TAM Validation</w:t>
      </w:r>
    </w:p>
    <w:p>
      <w:pPr>
        <w:spacing w:after="120" w:line="300"/>
      </w:pPr>
      <w:r>
        <w:rPr>
          <w:rFonts w:ascii="Arial" w:cs="Arial" w:eastAsia="Arial" w:hAnsi="Arial"/>
        </w:rPr>
        <w:t xml:space="preserve">Prepared for: Phil, Owner, Bullet Trade Services</w:t>
      </w:r>
    </w:p>
    <w:p>
      <w:pPr>
        <w:spacing w:after="120" w:line="300"/>
      </w:pPr>
      <w:r>
        <w:rPr>
          <w:rFonts w:ascii="Arial" w:cs="Arial" w:eastAsia="Arial" w:hAnsi="Arial"/>
        </w:rPr>
        <w:t xml:space="preserve">Prepared by: Russell Cole</w:t>
      </w:r>
    </w:p>
    <w:p>
      <w:pPr>
        <w:spacing w:after="120" w:line="300"/>
      </w:pPr>
      <w:r>
        <w:rPr>
          <w:rFonts w:ascii="Arial" w:cs="Arial" w:eastAsia="Arial" w:hAnsi="Arial"/>
        </w:rPr>
        <w:t xml:space="preserve">Date: April 2026 (Updated with Statistics Canada 2024 RAIS data)</w:t>
      </w:r>
    </w:p>
    <w:p>
      <w:pPr>
        <w:pBdr>
          <w:bottom w:val="single" w:color="B00020" w:sz="12" w:space="1"/>
        </w:pBdr>
        <w:spacing w:after="200"/>
      </w:pPr>
      <w:r>
        <w:t xml:space="preserve"/>
      </w:r>
    </w:p>
    <w:p>
      <w:pPr>
        <w:pStyle w:val="Heading1"/>
      </w:pPr>
      <w:r>
        <w:rPr>
          <w:rFonts w:ascii="Arial" w:cs="Arial" w:eastAsia="Arial" w:hAnsi="Arial"/>
        </w:rPr>
        <w:t xml:space="preserve">Executive Summary</w:t>
      </w:r>
    </w:p>
    <w:p>
      <w:pPr>
        <w:spacing w:after="120" w:line="300"/>
      </w:pPr>
      <w:r>
        <w:rPr>
          <w:rFonts w:ascii="Arial" w:cs="Arial" w:eastAsia="Arial" w:hAnsi="Arial"/>
        </w:rPr>
        <w:t xml:space="preserve">The Canadian skilled trades market is at a record high and growing. Statistics Canada reported 101,541 new apprenticeship registrations in 2024 (record high, +5.9% YoY) and 498,783 total registered apprentices across all Red Seal trades, up 31% since 2020. Ontario alone registered 27,319 new apprentices in 2023, up 24% from 2022. Independent forecasts from RBC and BuildForce Canada project a minimum shortfall of 10,000 Red Seal tradespeople by 2029 and total hiring requirements of 351,800 through 2033.</w:t>
      </w:r>
    </w:p>
    <w:p>
      <w:pPr>
        <w:spacing w:after="120" w:line="300"/>
      </w:pPr>
      <w:r>
        <w:rPr>
          <w:rFonts w:ascii="Arial" w:cs="Arial" w:eastAsia="Arial" w:hAnsi="Arial"/>
          <w:b/>
          <w:bCs/>
        </w:rPr>
        <w:t xml:space="preserve">This is not just a millwright and electrician business. </w:t>
      </w:r>
      <w:r>
        <w:rPr>
          <w:rFonts w:ascii="Arial" w:cs="Arial" w:eastAsia="Arial" w:hAnsi="Arial"/>
        </w:rPr>
        <w:t xml:space="preserve">The same platform, warehouse, college relationships, and shop sales motion that serve industrial millwrights and electricians can be extended into construction electricians (64,740 registered apprentices), welders (15,699), heavy duty equipment technicians (15,408), steamfitters (14,346), automotive service technicians (27,168), and plumbers (27,036). Each additional trade vertical costs a product curation sprint, not a new business. The college purchasing office that buys millwright kits also runs the welding, HVAC, and electrician programs under the same roof.</w:t>
      </w:r>
    </w:p>
    <w:p>
      <w:pPr>
        <w:spacing w:after="120" w:line="300"/>
      </w:pPr>
      <w:r>
        <w:rPr>
          <w:rFonts w:ascii="Arial" w:cs="Arial" w:eastAsia="Arial" w:hAnsi="Arial"/>
        </w:rPr>
        <w:t xml:space="preserve">Findings, in order of confidence:</w:t>
      </w:r>
    </w:p>
    <w:p>
      <w:pPr>
        <w:pStyle w:val="ListParagraph"/>
        <w:numPr>
          <w:ilvl w:val="0"/>
          <w:numId w:val="2"/>
        </w:numPr>
        <w:spacing w:after="80" w:line="280"/>
      </w:pPr>
      <w:r>
        <w:rPr>
          <w:rFonts w:ascii="Arial" w:cs="Arial" w:eastAsia="Arial" w:hAnsi="Arial"/>
        </w:rPr>
        <w:t xml:space="preserve">Core launch TAM (industrial millwrights + industrial electricians, all buyer segments across Canada): $35–55M/year base case.</w:t>
      </w:r>
    </w:p>
    <w:p>
      <w:pPr>
        <w:pStyle w:val="ListParagraph"/>
        <w:numPr>
          <w:ilvl w:val="0"/>
          <w:numId w:val="2"/>
        </w:numPr>
        <w:spacing w:after="80" w:line="280"/>
      </w:pPr>
      <w:r>
        <w:rPr>
          <w:rFonts w:ascii="Arial" w:cs="Arial" w:eastAsia="Arial" w:hAnsi="Arial"/>
        </w:rPr>
        <w:t xml:space="preserve">First expansion (add construction electrician 309A): triples the addressable apprentice pool to 93,486 and pushes TAM to $110–175M/year.</w:t>
      </w:r>
    </w:p>
    <w:p>
      <w:pPr>
        <w:pStyle w:val="ListParagraph"/>
        <w:numPr>
          <w:ilvl w:val="0"/>
          <w:numId w:val="2"/>
        </w:numPr>
        <w:spacing w:after="80" w:line="280"/>
      </w:pPr>
      <w:r>
        <w:rPr>
          <w:rFonts w:ascii="Arial" w:cs="Arial" w:eastAsia="Arial" w:hAnsi="Arial"/>
        </w:rPr>
        <w:t xml:space="preserve">Full industrial trades expansion (six verticals): 165,843 registered apprentices, TAM of $200–325M/year across Canada.</w:t>
      </w:r>
    </w:p>
    <w:p>
      <w:pPr>
        <w:pStyle w:val="ListParagraph"/>
        <w:numPr>
          <w:ilvl w:val="0"/>
          <w:numId w:val="2"/>
        </w:numPr>
        <w:spacing w:after="80" w:line="280"/>
      </w:pPr>
      <w:r>
        <w:rPr>
          <w:rFonts w:ascii="Arial" w:cs="Arial" w:eastAsia="Arial" w:hAnsi="Arial"/>
        </w:rPr>
        <w:t xml:space="preserve">US expansion (Northern border states, Year 3–4): 538,300 employed US industrial mechanics and millwrights alone, with 13% projected growth to 2034.</w:t>
      </w:r>
    </w:p>
    <w:p>
      <w:pPr>
        <w:pStyle w:val="ListParagraph"/>
        <w:numPr>
          <w:ilvl w:val="0"/>
          <w:numId w:val="2"/>
        </w:numPr>
        <w:spacing w:after="80" w:line="280"/>
      </w:pPr>
      <w:r>
        <w:rPr>
          <w:rFonts w:ascii="Arial" w:cs="Arial" w:eastAsia="Arial" w:hAnsi="Arial"/>
        </w:rPr>
        <w:t xml:space="preserve">Realistic 5-year capture (SOM): $4.5–6.5M in annual revenue by Year 5 in a conservative-base case from core trades alone; $8–15M with two adjacent trade verticals contributing by Year 4–5.</w:t>
      </w:r>
    </w:p>
    <w:p>
      <w:pPr>
        <w:spacing w:after="120" w:line="300"/>
      </w:pPr>
      <w:r>
        <w:rPr>
          <w:rFonts w:ascii="Arial" w:cs="Arial" w:eastAsia="Arial" w:hAnsi="Arial"/>
          <w:b/>
          <w:bCs/>
        </w:rPr>
        <w:t xml:space="preserve">The strategic framing for Phil: </w:t>
      </w:r>
      <w:r>
        <w:rPr>
          <w:rFonts w:ascii="Arial" w:cs="Arial" w:eastAsia="Arial" w:hAnsi="Arial"/>
        </w:rPr>
        <w:t xml:space="preserve">BTS's labour/service business is inherently capped by the number of certified tradespeople Phil can recruit and the hours in a day. An e-commerce division selling curated tool kits through a scalable digital platform is structurally uncapped — each additional trade vertical, each additional college account, and each new geography compounds on the same fixed infrastructure. This is the division of the company that scales without adding headcount proportionally. It is the Amazon model applied to industrial trades.</w:t>
      </w:r>
    </w:p>
    <w:p>
      <w:pPr>
        <w:pStyle w:val="Heading1"/>
      </w:pPr>
      <w:r>
        <w:rPr>
          <w:rFonts w:ascii="Arial" w:cs="Arial" w:eastAsia="Arial" w:hAnsi="Arial"/>
        </w:rPr>
        <w:t xml:space="preserve">Primary Data Source</w:t>
      </w:r>
    </w:p>
    <w:p>
      <w:pPr>
        <w:spacing w:after="120" w:line="300"/>
      </w:pPr>
      <w:r>
        <w:rPr>
          <w:rFonts w:ascii="Arial" w:cs="Arial" w:eastAsia="Arial" w:hAnsi="Arial"/>
        </w:rPr>
        <w:t xml:space="preserve">The apprenticeship registration data in this report is sourced from </w:t>
      </w:r>
      <w:r>
        <w:rPr>
          <w:rFonts w:ascii="Arial" w:cs="Arial" w:eastAsia="Arial" w:hAnsi="Arial"/>
          <w:b/>
          <w:bCs/>
        </w:rPr>
        <w:t xml:space="preserve">Statistics Canada Table 37-10-0137-01: Number of apprenticeship program registrations in Red Seal trades (annual). </w:t>
      </w:r>
      <w:r>
        <w:rPr>
          <w:rFonts w:ascii="Arial" w:cs="Arial" w:eastAsia="Arial" w:hAnsi="Arial"/>
        </w:rPr>
        <w:t xml:space="preserve">This is the authoritative federal dataset maintained through the Registered Apprenticeship Information System (RAIS). The data was released December 11, 2025, and covers all Canadian provinces and territories through 2024.</w:t>
      </w:r>
    </w:p>
    <w:p>
      <w:pPr>
        <w:spacing w:after="120" w:line="300"/>
      </w:pPr>
      <w:r>
        <w:rPr>
          <w:rFonts w:ascii="Arial" w:cs="Arial" w:eastAsia="Arial" w:hAnsi="Arial"/>
        </w:rPr>
        <w:t xml:space="preserve">Access the live data table: </w:t>
      </w:r>
      <w:hyperlink w:history="1" r:id="rId1ighszsff6r4lkukobriv">
        <w:r>
          <w:rPr>
            <w:rStyle w:val="Hyperlink"/>
            <w:rFonts w:ascii="Arial" w:cs="Arial" w:eastAsia="Arial" w:hAnsi="Arial"/>
            <w:color w:val="0645AD"/>
            <w:u w:val="single"/>
          </w:rPr>
          <w:t xml:space="preserve">Statistics Canada Table 37-10-0137-01</w:t>
        </w:r>
      </w:hyperlink>
    </w:p>
    <w:p>
      <w:pPr>
        <w:spacing w:after="120" w:line="300"/>
      </w:pPr>
      <w:r>
        <w:rPr>
          <w:rFonts w:ascii="Arial" w:cs="Arial" w:eastAsia="Arial" w:hAnsi="Arial"/>
        </w:rPr>
        <w:t xml:space="preserve">Download the full dataset (CSV): </w:t>
      </w:r>
      <w:hyperlink w:history="1" r:id="rId7h7uowoazmcdhdgesfp45">
        <w:r>
          <w:rPr>
            <w:rStyle w:val="Hyperlink"/>
            <w:rFonts w:ascii="Arial" w:cs="Arial" w:eastAsia="Arial" w:hAnsi="Arial"/>
            <w:color w:val="0645AD"/>
            <w:u w:val="single"/>
          </w:rPr>
          <w:t xml:space="preserve">Open Government Portal — Red Seal Apprenticeship Registrations</w:t>
        </w:r>
      </w:hyperlink>
    </w:p>
    <w:p>
      <w:pPr>
        <w:spacing w:after="120" w:line="300"/>
      </w:pPr>
      <w:r>
        <w:rPr>
          <w:rFonts w:ascii="Arial" w:cs="Arial" w:eastAsia="Arial" w:hAnsi="Arial"/>
        </w:rPr>
        <w:t xml:space="preserve">2024 RAIS release summary: </w:t>
      </w:r>
      <w:hyperlink w:history="1" r:id="rIdwz4pr4veu1gagua470rxu">
        <w:r>
          <w:rPr>
            <w:rStyle w:val="Hyperlink"/>
            <w:rFonts w:ascii="Arial" w:cs="Arial" w:eastAsia="Arial" w:hAnsi="Arial"/>
            <w:color w:val="0645AD"/>
            <w:u w:val="single"/>
          </w:rPr>
          <w:t xml:space="preserve">Statistics Canada Daily — December 11, 2025</w:t>
        </w:r>
      </w:hyperlink>
    </w:p>
    <w:p>
      <w:pPr>
        <w:pStyle w:val="Heading1"/>
      </w:pPr>
      <w:r>
        <w:rPr>
          <w:rFonts w:ascii="Arial" w:cs="Arial" w:eastAsia="Arial" w:hAnsi="Arial"/>
        </w:rPr>
        <w:t xml:space="preserve">1. Core Market — Canada-Wide Registration Data (2024)</w:t>
      </w:r>
    </w:p>
    <w:p>
      <w:pPr>
        <w:spacing w:after="120" w:line="300"/>
      </w:pPr>
      <w:r>
        <w:rPr>
          <w:rFonts w:ascii="Arial" w:cs="Arial" w:eastAsia="Arial" w:hAnsi="Arial"/>
        </w:rPr>
        <w:t xml:space="preserve">The following table shows registered apprentices across all Red Seal trades in Canada. These are total active registrations (not just new entrants), representing the addressable customer base at any given time.</w:t>
      </w:r>
    </w:p>
    <w:p>
      <w:pPr>
        <w:pStyle w:val="Heading2"/>
      </w:pPr>
      <w:r>
        <w:rPr>
          <w:rFonts w:ascii="Arial" w:cs="Arial" w:eastAsia="Arial" w:hAnsi="Arial"/>
        </w:rPr>
        <w:t xml:space="preserve">1.1 Full Red Seal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1400"/>
        <w:gridCol w:w="1400"/>
        <w:gridCol w:w="1660"/>
      </w:tblGrid>
      <w:tr>
        <w:trPr>
          <w:tblHeader/>
        </w:trPr>
        <w:tc>
          <w:tcPr>
            <w:tcW w:type="dxa" w:w="350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Trade</w:t>
            </w:r>
          </w:p>
        </w:tc>
        <w:tc>
          <w:tcPr>
            <w:tcW w:type="dxa" w:w="140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2020</w:t>
            </w:r>
          </w:p>
        </w:tc>
        <w:tc>
          <w:tcPr>
            <w:tcW w:type="dxa" w:w="140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2024</w:t>
            </w:r>
          </w:p>
        </w:tc>
        <w:tc>
          <w:tcPr>
            <w:tcW w:type="dxa" w:w="140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Growth</w:t>
            </w:r>
          </w:p>
        </w:tc>
        <w:tc>
          <w:tcPr>
            <w:tcW w:type="dxa" w:w="166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BTS relevance</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Industrial millwright</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9,096</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13,635</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+50%</w:t>
            </w:r>
          </w:p>
        </w:tc>
        <w:tc>
          <w:tcPr>
            <w:tcW w:type="dxa" w:w="16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bCs/>
                <w:color w:val="B00020"/>
                <w:sz w:val="20"/>
                <w:szCs w:val="20"/>
              </w:rPr>
              <w:t xml:space="preserve">CORE — launching</w:t>
            </w:r>
          </w:p>
        </w:tc>
      </w:tr>
      <w:tr>
        <w:tc>
          <w:tcPr>
            <w:tcW w:type="dxa" w:w="35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Industrial electrician</w:t>
            </w:r>
          </w:p>
        </w:tc>
        <w:tc>
          <w:tcPr>
            <w:tcW w:type="dxa" w:w="14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12,708</w:t>
            </w:r>
          </w:p>
        </w:tc>
        <w:tc>
          <w:tcPr>
            <w:tcW w:type="dxa" w:w="14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15,111</w:t>
            </w:r>
          </w:p>
        </w:tc>
        <w:tc>
          <w:tcPr>
            <w:tcW w:type="dxa" w:w="14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+19%</w:t>
            </w:r>
          </w:p>
        </w:tc>
        <w:tc>
          <w:tcPr>
            <w:tcW w:type="dxa" w:w="166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bCs/>
                <w:color w:val="B00020"/>
                <w:sz w:val="20"/>
                <w:szCs w:val="20"/>
              </w:rPr>
              <w:t xml:space="preserve">CORE — launching</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Construction electrician</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47,103</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64,740</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+37%</w:t>
            </w:r>
          </w:p>
        </w:tc>
        <w:tc>
          <w:tcPr>
            <w:tcW w:type="dxa" w:w="16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Year 2 expansion</w:t>
            </w:r>
          </w:p>
        </w:tc>
      </w:tr>
      <w:tr>
        <w:tc>
          <w:tcPr>
            <w:tcW w:type="dxa" w:w="35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Automotive service tech</w:t>
            </w:r>
          </w:p>
        </w:tc>
        <w:tc>
          <w:tcPr>
            <w:tcW w:type="dxa" w:w="14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20,649</w:t>
            </w:r>
          </w:p>
        </w:tc>
        <w:tc>
          <w:tcPr>
            <w:tcW w:type="dxa" w:w="14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27,168</w:t>
            </w:r>
          </w:p>
        </w:tc>
        <w:tc>
          <w:tcPr>
            <w:tcW w:type="dxa" w:w="14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+32%</w:t>
            </w:r>
          </w:p>
        </w:tc>
        <w:tc>
          <w:tcPr>
            <w:tcW w:type="dxa" w:w="166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Year 3–4 expansion</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Plumber</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19,299</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27,036</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+40%</w:t>
            </w:r>
          </w:p>
        </w:tc>
        <w:tc>
          <w:tcPr>
            <w:tcW w:type="dxa" w:w="16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Year 3–4 expansion</w:t>
            </w:r>
          </w:p>
        </w:tc>
      </w:tr>
      <w:tr>
        <w:tc>
          <w:tcPr>
            <w:tcW w:type="dxa" w:w="35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Welder</w:t>
            </w:r>
          </w:p>
        </w:tc>
        <w:tc>
          <w:tcPr>
            <w:tcW w:type="dxa" w:w="14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10,539</w:t>
            </w:r>
          </w:p>
        </w:tc>
        <w:tc>
          <w:tcPr>
            <w:tcW w:type="dxa" w:w="14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15,699</w:t>
            </w:r>
          </w:p>
        </w:tc>
        <w:tc>
          <w:tcPr>
            <w:tcW w:type="dxa" w:w="14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+49%</w:t>
            </w:r>
          </w:p>
        </w:tc>
        <w:tc>
          <w:tcPr>
            <w:tcW w:type="dxa" w:w="166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Year 2–3 expansion</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Heavy duty equip tech</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9,474</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15,408</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+63%</w:t>
            </w:r>
          </w:p>
        </w:tc>
        <w:tc>
          <w:tcPr>
            <w:tcW w:type="dxa" w:w="16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Year 2–3 expansion</w:t>
            </w:r>
          </w:p>
        </w:tc>
      </w:tr>
      <w:tr>
        <w:tc>
          <w:tcPr>
            <w:tcW w:type="dxa" w:w="35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Steamfitter / pipefitter</w:t>
            </w:r>
          </w:p>
        </w:tc>
        <w:tc>
          <w:tcPr>
            <w:tcW w:type="dxa" w:w="14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9,279</w:t>
            </w:r>
          </w:p>
        </w:tc>
        <w:tc>
          <w:tcPr>
            <w:tcW w:type="dxa" w:w="14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14,346</w:t>
            </w:r>
          </w:p>
        </w:tc>
        <w:tc>
          <w:tcPr>
            <w:tcW w:type="dxa" w:w="14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+55%</w:t>
            </w:r>
          </w:p>
        </w:tc>
        <w:tc>
          <w:tcPr>
            <w:tcW w:type="dxa" w:w="166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Year 3–4 expansion</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Carpenter</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44,667</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56,937</w:t>
            </w:r>
          </w:p>
        </w:tc>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+28%</w:t>
            </w:r>
          </w:p>
        </w:tc>
        <w:tc>
          <w:tcPr>
            <w:tcW w:type="dxa" w:w="16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Future consideration</w:t>
            </w:r>
          </w:p>
        </w:tc>
      </w:tr>
      <w:tr>
        <w:tc>
          <w:tcPr>
            <w:tcW w:type="dxa" w:w="3500"/>
            <w:tcBorders>
              <w:top w:val="single" w:color="BBBBBB" w:sz="4"/>
              <w:left w:val="single" w:color="BBBBBB" w:sz="4"/>
              <w:bottom w:val="single" w:color="BBBBBB" w:sz="4"/>
              <w:right w:val="single" w:color="BBBBBB" w:sz="4"/>
            </w:tcBorders>
            <w:shd w:fill="E8E8E8"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ALL Red Seal trades</w:t>
            </w:r>
          </w:p>
        </w:tc>
        <w:tc>
          <w:tcPr>
            <w:tcW w:type="dxa" w:w="1400"/>
            <w:tcBorders>
              <w:top w:val="single" w:color="BBBBBB" w:sz="4"/>
              <w:left w:val="single" w:color="BBBBBB" w:sz="4"/>
              <w:bottom w:val="single" w:color="BBBBBB" w:sz="4"/>
              <w:right w:val="single" w:color="BBBBBB" w:sz="4"/>
            </w:tcBorders>
            <w:shd w:fill="E8E8E8" w:val="clear"/>
            <w:tcMar>
              <w:top w:type="dxa" w:w="100"/>
              <w:left w:type="dxa" w:w="140"/>
              <w:bottom w:type="dxa" w:w="100"/>
              <w:right w:type="dxa" w:w="140"/>
            </w:tcMar>
          </w:tcPr>
          <w:p>
            <w:pPr>
              <w:jc w:val="right"/>
            </w:pPr>
            <w:r>
              <w:rPr>
                <w:rFonts w:ascii="Arial" w:cs="Arial" w:eastAsia="Arial" w:hAnsi="Arial"/>
                <w:b/>
                <w:bCs/>
                <w:color w:val="000000"/>
                <w:sz w:val="20"/>
                <w:szCs w:val="20"/>
              </w:rPr>
              <w:t xml:space="preserve">381,039</w:t>
            </w:r>
          </w:p>
        </w:tc>
        <w:tc>
          <w:tcPr>
            <w:tcW w:type="dxa" w:w="1400"/>
            <w:tcBorders>
              <w:top w:val="single" w:color="BBBBBB" w:sz="4"/>
              <w:left w:val="single" w:color="BBBBBB" w:sz="4"/>
              <w:bottom w:val="single" w:color="BBBBBB" w:sz="4"/>
              <w:right w:val="single" w:color="BBBBBB" w:sz="4"/>
            </w:tcBorders>
            <w:shd w:fill="E8E8E8" w:val="clear"/>
            <w:tcMar>
              <w:top w:type="dxa" w:w="100"/>
              <w:left w:type="dxa" w:w="140"/>
              <w:bottom w:type="dxa" w:w="100"/>
              <w:right w:type="dxa" w:w="140"/>
            </w:tcMar>
          </w:tcPr>
          <w:p>
            <w:pPr>
              <w:jc w:val="right"/>
            </w:pPr>
            <w:r>
              <w:rPr>
                <w:rFonts w:ascii="Arial" w:cs="Arial" w:eastAsia="Arial" w:hAnsi="Arial"/>
                <w:b/>
                <w:bCs/>
                <w:color w:val="000000"/>
                <w:sz w:val="20"/>
                <w:szCs w:val="20"/>
              </w:rPr>
              <w:t xml:space="preserve">498,783</w:t>
            </w:r>
          </w:p>
        </w:tc>
        <w:tc>
          <w:tcPr>
            <w:tcW w:type="dxa" w:w="1400"/>
            <w:tcBorders>
              <w:top w:val="single" w:color="BBBBBB" w:sz="4"/>
              <w:left w:val="single" w:color="BBBBBB" w:sz="4"/>
              <w:bottom w:val="single" w:color="BBBBBB" w:sz="4"/>
              <w:right w:val="single" w:color="BBBBBB" w:sz="4"/>
            </w:tcBorders>
            <w:shd w:fill="E8E8E8" w:val="clear"/>
            <w:tcMar>
              <w:top w:type="dxa" w:w="100"/>
              <w:left w:type="dxa" w:w="140"/>
              <w:bottom w:type="dxa" w:w="100"/>
              <w:right w:type="dxa" w:w="140"/>
            </w:tcMar>
          </w:tcPr>
          <w:p>
            <w:pPr>
              <w:jc w:val="right"/>
            </w:pPr>
            <w:r>
              <w:rPr>
                <w:rFonts w:ascii="Arial" w:cs="Arial" w:eastAsia="Arial" w:hAnsi="Arial"/>
                <w:b/>
                <w:bCs/>
                <w:color w:val="000000"/>
                <w:sz w:val="20"/>
                <w:szCs w:val="20"/>
              </w:rPr>
              <w:t xml:space="preserve">+31%</w:t>
            </w:r>
          </w:p>
        </w:tc>
        <w:tc>
          <w:tcPr>
            <w:tcW w:type="dxa" w:w="1660"/>
            <w:tcBorders>
              <w:top w:val="single" w:color="BBBBBB" w:sz="4"/>
              <w:left w:val="single" w:color="BBBBBB" w:sz="4"/>
              <w:bottom w:val="single" w:color="BBBBBB" w:sz="4"/>
              <w:right w:val="single" w:color="BBBBBB" w:sz="4"/>
            </w:tcBorders>
            <w:shd w:fill="E8E8E8"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Total market</w:t>
            </w:r>
          </w:p>
        </w:tc>
      </w:tr>
    </w:tbl>
    <w:p>
      <w:pPr>
        <w:spacing w:after="120" w:line="300"/>
      </w:pPr>
      <w:r>
        <w:rPr>
          <w:rFonts w:ascii="Arial" w:cs="Arial" w:eastAsia="Arial" w:hAnsi="Arial"/>
          <w:i/>
          <w:iCs/>
          <w:sz w:val="18"/>
          <w:szCs w:val="18"/>
        </w:rPr>
        <w:t xml:space="preserve">Source: Statistics Canada Table 37-10-0137-01. </w:t>
      </w:r>
      <w:hyperlink w:history="1" r:id="rIdy2w_dsgkoye7wwlelwxs0">
        <w:r>
          <w:rPr>
            <w:rStyle w:val="Hyperlink"/>
            <w:rFonts w:ascii="Arial" w:cs="Arial" w:eastAsia="Arial" w:hAnsi="Arial"/>
            <w:color w:val="0645AD"/>
            <w:u w:val="single"/>
          </w:rPr>
          <w:t xml:space="preserve">View table</w:t>
        </w:r>
      </w:hyperlink>
    </w:p>
    <w:p>
      <w:pPr>
        <w:spacing w:after="120" w:line="300"/>
      </w:pPr>
      <w:r>
        <w:rPr>
          <w:rFonts w:ascii="Arial" w:cs="Arial" w:eastAsia="Arial" w:hAnsi="Arial"/>
        </w:rPr>
        <w:t xml:space="preserve"> </w:t>
      </w:r>
    </w:p>
    <w:p>
      <w:pPr>
        <w:pStyle w:val="Heading2"/>
      </w:pPr>
      <w:r>
        <w:rPr>
          <w:rFonts w:ascii="Arial" w:cs="Arial" w:eastAsia="Arial" w:hAnsi="Arial"/>
        </w:rPr>
        <w:t xml:space="preserve">1.2 Ontario-Specific Data Points</w:t>
      </w:r>
    </w:p>
    <w:p>
      <w:pPr>
        <w:pStyle w:val="ListParagraph"/>
        <w:numPr>
          <w:ilvl w:val="0"/>
          <w:numId w:val="2"/>
        </w:numPr>
        <w:spacing w:after="80" w:line="280"/>
      </w:pPr>
      <w:r>
        <w:rPr>
          <w:rFonts w:ascii="Arial" w:cs="Arial" w:eastAsia="Arial" w:hAnsi="Arial"/>
        </w:rPr>
        <w:t xml:space="preserve">Ontario total new apprenticeship registrations: </w:t>
      </w:r>
      <w:r>
        <w:rPr>
          <w:rFonts w:ascii="Arial" w:cs="Arial" w:eastAsia="Arial" w:hAnsi="Arial"/>
          <w:b/>
          <w:bCs/>
        </w:rPr>
        <w:t xml:space="preserve">27,319 (2023), up 24% from 21,971 (2022). </w:t>
      </w:r>
      <w:hyperlink w:history="1" r:id="rIdf2xuh-69jfkjn-pcfvkaj">
        <w:r>
          <w:rPr>
            <w:rStyle w:val="Hyperlink"/>
            <w:rFonts w:ascii="Arial" w:cs="Arial" w:eastAsia="Arial" w:hAnsi="Arial"/>
            <w:color w:val="0645AD"/>
            <w:u w:val="single"/>
          </w:rPr>
          <w:t xml:space="preserve">Source: Skilled Trades Ontario.</w:t>
        </w:r>
      </w:hyperlink>
    </w:p>
    <w:p>
      <w:pPr>
        <w:pStyle w:val="ListParagraph"/>
        <w:numPr>
          <w:ilvl w:val="0"/>
          <w:numId w:val="2"/>
        </w:numPr>
        <w:spacing w:after="80" w:line="280"/>
      </w:pPr>
      <w:r>
        <w:rPr>
          <w:rFonts w:ascii="Arial" w:cs="Arial" w:eastAsia="Arial" w:hAnsi="Arial"/>
        </w:rPr>
        <w:t xml:space="preserve">Industrial Electrician (442A) registrations in Ontario: </w:t>
      </w:r>
      <w:r>
        <w:rPr>
          <w:rFonts w:ascii="Arial" w:cs="Arial" w:eastAsia="Arial" w:hAnsi="Arial"/>
          <w:b/>
          <w:bCs/>
        </w:rPr>
        <w:t xml:space="preserve">507 in 2022–23 (up from 341 in 2021–22, ~48% YoY). </w:t>
      </w:r>
      <w:hyperlink w:history="1" r:id="rIdgqzplf2zvpjz8uahkubo0">
        <w:r>
          <w:rPr>
            <w:rStyle w:val="Hyperlink"/>
            <w:rFonts w:ascii="Arial" w:cs="Arial" w:eastAsia="Arial" w:hAnsi="Arial"/>
            <w:color w:val="0645AD"/>
            <w:u w:val="single"/>
          </w:rPr>
          <w:t xml:space="preserve">Source: Electrical Industry Canada.</w:t>
        </w:r>
      </w:hyperlink>
    </w:p>
    <w:p>
      <w:pPr>
        <w:pStyle w:val="ListParagraph"/>
        <w:numPr>
          <w:ilvl w:val="0"/>
          <w:numId w:val="2"/>
        </w:numPr>
        <w:spacing w:after="80" w:line="280"/>
      </w:pPr>
      <w:r>
        <w:rPr>
          <w:rFonts w:ascii="Arial" w:cs="Arial" w:eastAsia="Arial" w:hAnsi="Arial"/>
        </w:rPr>
        <w:t xml:space="preserve">2024 Ontario certifications completed: </w:t>
      </w:r>
      <w:r>
        <w:rPr>
          <w:rFonts w:ascii="Arial" w:cs="Arial" w:eastAsia="Arial" w:hAnsi="Arial"/>
          <w:b/>
          <w:bCs/>
        </w:rPr>
        <w:t xml:space="preserve">749 millwrights (433A) + 260 industrial electricians (442A) = 1,009 newly certified tradespeople in one year, each needing a full professional toolkit. </w:t>
      </w:r>
      <w:hyperlink w:history="1" r:id="rIdft8ve5-6uo9s8mdyie07k">
        <w:r>
          <w:rPr>
            <w:rStyle w:val="Hyperlink"/>
            <w:rFonts w:ascii="Arial" w:cs="Arial" w:eastAsia="Arial" w:hAnsi="Arial"/>
            <w:color w:val="0645AD"/>
            <w:u w:val="single"/>
          </w:rPr>
          <w:t xml:space="preserve">Source: Skilled Trades Ontario 2024 Trade Reports.</w:t>
        </w:r>
      </w:hyperlink>
    </w:p>
    <w:p>
      <w:pPr>
        <w:pStyle w:val="Heading1"/>
      </w:pPr>
      <w:r>
        <w:rPr>
          <w:rFonts w:ascii="Arial" w:cs="Arial" w:eastAsia="Arial" w:hAnsi="Arial"/>
        </w:rPr>
        <w:t xml:space="preserve">2. Bottom-Up TAM Calculation — Core Trades</w:t>
      </w:r>
    </w:p>
    <w:p>
      <w:pPr>
        <w:spacing w:after="120" w:line="300"/>
      </w:pPr>
      <w:r>
        <w:rPr>
          <w:rFonts w:ascii="Arial" w:cs="Arial" w:eastAsia="Arial" w:hAnsi="Arial"/>
        </w:rPr>
        <w:t xml:space="preserve">TAM is built from three buyer segments: individual apprentices, shops/employers, and trade colleges. Each is sized independently.</w:t>
      </w:r>
    </w:p>
    <w:p>
      <w:pPr>
        <w:pStyle w:val="Heading3"/>
      </w:pPr>
      <w:r>
        <w:rPr>
          <w:rFonts w:ascii="Arial" w:cs="Arial" w:eastAsia="Arial" w:hAnsi="Arial"/>
        </w:rPr>
        <w:t xml:space="preserve">Individual apprentice segment</w:t>
      </w:r>
    </w:p>
    <w:p>
      <w:pPr>
        <w:pStyle w:val="ListParagraph"/>
        <w:numPr>
          <w:ilvl w:val="0"/>
          <w:numId w:val="2"/>
        </w:numPr>
        <w:spacing w:after="80" w:line="280"/>
      </w:pPr>
      <w:r>
        <w:rPr>
          <w:rFonts w:ascii="Arial" w:cs="Arial" w:eastAsia="Arial" w:hAnsi="Arial"/>
        </w:rPr>
        <w:t xml:space="preserve">Canada-wide registered millwright + industrial electrician apprentices (2024): 28,746.</w:t>
      </w:r>
    </w:p>
    <w:p>
      <w:pPr>
        <w:pStyle w:val="ListParagraph"/>
        <w:numPr>
          <w:ilvl w:val="0"/>
          <w:numId w:val="2"/>
        </w:numPr>
        <w:spacing w:after="80" w:line="280"/>
      </w:pPr>
      <w:r>
        <w:rPr>
          <w:rFonts w:ascii="Arial" w:cs="Arial" w:eastAsia="Arial" w:hAnsi="Arial"/>
        </w:rPr>
        <w:t xml:space="preserve">Ontario share (~38% of Canada): ~10,900 active apprentices in these two trades.</w:t>
      </w:r>
    </w:p>
    <w:p>
      <w:pPr>
        <w:pStyle w:val="ListParagraph"/>
        <w:numPr>
          <w:ilvl w:val="0"/>
          <w:numId w:val="2"/>
        </w:numPr>
        <w:spacing w:after="80" w:line="280"/>
      </w:pPr>
      <w:r>
        <w:rPr>
          <w:rFonts w:ascii="Arial" w:cs="Arial" w:eastAsia="Arial" w:hAnsi="Arial"/>
        </w:rPr>
        <w:t xml:space="preserve">Personal tool investment per apprentice over 4–5 year program: $3,000–$6,000 (proxied from CRA tradesperson tool tax deduction eligibility and apprentice wage bands of $20–$34/hr).</w:t>
      </w:r>
    </w:p>
    <w:p>
      <w:pPr>
        <w:pStyle w:val="ListParagraph"/>
        <w:numPr>
          <w:ilvl w:val="0"/>
          <w:numId w:val="2"/>
        </w:numPr>
        <w:spacing w:after="80" w:line="280"/>
      </w:pPr>
      <w:r>
        <w:rPr>
          <w:rFonts w:ascii="Arial" w:cs="Arial" w:eastAsia="Arial" w:hAnsi="Arial"/>
        </w:rPr>
        <w:t xml:space="preserve">Annual addressable individual apprentice spend (Canada): $14–29M.</w:t>
      </w:r>
    </w:p>
    <w:p>
      <w:pPr>
        <w:pStyle w:val="Heading3"/>
      </w:pPr>
      <w:r>
        <w:rPr>
          <w:rFonts w:ascii="Arial" w:cs="Arial" w:eastAsia="Arial" w:hAnsi="Arial"/>
        </w:rPr>
        <w:t xml:space="preserve">Shop / employer segment</w:t>
      </w:r>
    </w:p>
    <w:p>
      <w:pPr>
        <w:spacing w:after="120" w:line="300"/>
      </w:pPr>
      <w:r>
        <w:rPr>
          <w:rFonts w:ascii="Arial" w:cs="Arial" w:eastAsia="Arial" w:hAnsi="Arial"/>
        </w:rPr>
        <w:t xml:space="preserve">BTS testimonial data (Phil's prototype): "Bought 6 Apprentice Pro kits for our incoming apprentice class." This buyer pattern is the highest-value segment:</w:t>
      </w:r>
    </w:p>
    <w:p>
      <w:pPr>
        <w:pStyle w:val="ListParagraph"/>
        <w:numPr>
          <w:ilvl w:val="0"/>
          <w:numId w:val="2"/>
        </w:numPr>
        <w:spacing w:after="80" w:line="280"/>
      </w:pPr>
      <w:r>
        <w:rPr>
          <w:rFonts w:ascii="Arial" w:cs="Arial" w:eastAsia="Arial" w:hAnsi="Arial"/>
        </w:rPr>
        <w:t xml:space="preserve">If 15–25% of Ontario industrial shops adopt apprentice kits for incoming hires at $2,150–$4,400/kit average, 2–5 kits/year each: Ontario shop segment alone = $5–15M/year.</w:t>
      </w:r>
    </w:p>
    <w:p>
      <w:pPr>
        <w:pStyle w:val="ListParagraph"/>
        <w:numPr>
          <w:ilvl w:val="0"/>
          <w:numId w:val="2"/>
        </w:numPr>
        <w:spacing w:after="80" w:line="280"/>
      </w:pPr>
      <w:r>
        <w:rPr>
          <w:rFonts w:ascii="Arial" w:cs="Arial" w:eastAsia="Arial" w:hAnsi="Arial"/>
        </w:rPr>
        <w:t xml:space="preserve">Canada-wide (scaling by population): $13–40M/year.</w:t>
      </w:r>
    </w:p>
    <w:p>
      <w:pPr>
        <w:pStyle w:val="Heading3"/>
      </w:pPr>
      <w:r>
        <w:rPr>
          <w:rFonts w:ascii="Arial" w:cs="Arial" w:eastAsia="Arial" w:hAnsi="Arial"/>
        </w:rPr>
        <w:t xml:space="preserve">Trade college segment</w:t>
      </w:r>
    </w:p>
    <w:p>
      <w:pPr>
        <w:pStyle w:val="ListParagraph"/>
        <w:numPr>
          <w:ilvl w:val="0"/>
          <w:numId w:val="2"/>
        </w:numPr>
        <w:spacing w:after="80" w:line="280"/>
      </w:pPr>
      <w:r>
        <w:rPr>
          <w:rFonts w:ascii="Arial" w:cs="Arial" w:eastAsia="Arial" w:hAnsi="Arial"/>
        </w:rPr>
        <w:t xml:space="preserve">Ontario has 12+ colleges and training delivery agents offering millwright and industrial electrician programs (George Brown, Sheridan, Conestoga, Mohawk, Humber, Confederation, Centre for Skills, CTAO). </w:t>
      </w:r>
      <w:hyperlink w:history="1" r:id="rIdqzzzj0g5xnh1tlr-gthvf">
        <w:r>
          <w:rPr>
            <w:rStyle w:val="Hyperlink"/>
            <w:rFonts w:ascii="Arial" w:cs="Arial" w:eastAsia="Arial" w:hAnsi="Arial"/>
            <w:color w:val="0645AD"/>
            <w:u w:val="single"/>
          </w:rPr>
          <w:t xml:space="preserve">Full directory: Skilled Trades Ontario Public Register.</w:t>
        </w:r>
      </w:hyperlink>
    </w:p>
    <w:p>
      <w:pPr>
        <w:pStyle w:val="ListParagraph"/>
        <w:numPr>
          <w:ilvl w:val="0"/>
          <w:numId w:val="2"/>
        </w:numPr>
        <w:spacing w:after="80" w:line="280"/>
      </w:pPr>
      <w:r>
        <w:rPr>
          <w:rFonts w:ascii="Arial" w:cs="Arial" w:eastAsia="Arial" w:hAnsi="Arial"/>
        </w:rPr>
        <w:t xml:space="preserve">Typical intake 20–40 students; if 8–12 programs adopt starter kits at $1,500–$2,300/kit, Ontario college segment = $1–3M/year. Canada-wide: $3–8M/year.</w:t>
      </w:r>
    </w:p>
    <w:p>
      <w:pPr>
        <w:pStyle w:val="Heading3"/>
      </w:pPr>
      <w:r>
        <w:rPr>
          <w:rFonts w:ascii="Arial" w:cs="Arial" w:eastAsia="Arial" w:hAnsi="Arial"/>
        </w:rPr>
        <w:t xml:space="preserve">Core TAM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Scenario</w:t>
            </w:r>
          </w:p>
        </w:tc>
        <w:tc>
          <w:tcPr>
            <w:tcW w:type="dxa" w:w="208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Individuals</w:t>
            </w:r>
          </w:p>
        </w:tc>
        <w:tc>
          <w:tcPr>
            <w:tcW w:type="dxa" w:w="208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Shops</w:t>
            </w:r>
          </w:p>
        </w:tc>
        <w:tc>
          <w:tcPr>
            <w:tcW w:type="dxa" w:w="208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Colleges</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Conservative</w:t>
            </w:r>
          </w:p>
        </w:tc>
        <w:tc>
          <w:tcPr>
            <w:tcW w:type="dxa" w:w="20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$14M</w:t>
            </w:r>
          </w:p>
        </w:tc>
        <w:tc>
          <w:tcPr>
            <w:tcW w:type="dxa" w:w="20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$13M</w:t>
            </w:r>
          </w:p>
        </w:tc>
        <w:tc>
          <w:tcPr>
            <w:tcW w:type="dxa" w:w="20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$3M</w:t>
            </w:r>
          </w:p>
        </w:tc>
      </w:tr>
      <w:tr>
        <w:tc>
          <w:tcPr>
            <w:tcW w:type="dxa" w:w="312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Base</w:t>
            </w:r>
          </w:p>
        </w:tc>
        <w:tc>
          <w:tcPr>
            <w:tcW w:type="dxa" w:w="208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$21M</w:t>
            </w:r>
          </w:p>
        </w:tc>
        <w:tc>
          <w:tcPr>
            <w:tcW w:type="dxa" w:w="208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$26M</w:t>
            </w:r>
          </w:p>
        </w:tc>
        <w:tc>
          <w:tcPr>
            <w:tcW w:type="dxa" w:w="208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$5M</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Optimistic</w:t>
            </w:r>
          </w:p>
        </w:tc>
        <w:tc>
          <w:tcPr>
            <w:tcW w:type="dxa" w:w="20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$29M</w:t>
            </w:r>
          </w:p>
        </w:tc>
        <w:tc>
          <w:tcPr>
            <w:tcW w:type="dxa" w:w="20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$40M</w:t>
            </w:r>
          </w:p>
        </w:tc>
        <w:tc>
          <w:tcPr>
            <w:tcW w:type="dxa" w:w="20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$8M</w:t>
            </w:r>
          </w:p>
        </w:tc>
      </w:tr>
    </w:tbl>
    <w:p>
      <w:pPr>
        <w:spacing w:after="120" w:line="300"/>
      </w:pPr>
      <w:r>
        <w:rPr>
          <w:rFonts w:ascii="Arial" w:cs="Arial" w:eastAsia="Arial" w:hAnsi="Arial"/>
        </w:rPr>
        <w:t xml:space="preserve"> </w:t>
      </w:r>
    </w:p>
    <w:p>
      <w:pPr>
        <w:spacing w:after="120" w:line="300"/>
      </w:pPr>
      <w:r>
        <w:rPr>
          <w:rFonts w:ascii="Arial" w:cs="Arial" w:eastAsia="Arial" w:hAnsi="Arial"/>
          <w:b/>
          <w:bCs/>
        </w:rPr>
        <w:t xml:space="preserve">Canada core TAM (millwright + industrial electrician): </w:t>
      </w:r>
      <w:r>
        <w:rPr>
          <w:rFonts w:ascii="Arial" w:cs="Arial" w:eastAsia="Arial" w:hAnsi="Arial"/>
        </w:rPr>
        <w:t xml:space="preserve">$30M (conservative) — $52M (base) — $77M (optimistic).</w:t>
      </w:r>
    </w:p>
    <w:p>
      <w:pPr>
        <w:pStyle w:val="Heading1"/>
      </w:pPr>
      <w:r>
        <w:rPr>
          <w:rFonts w:ascii="Arial" w:cs="Arial" w:eastAsia="Arial" w:hAnsi="Arial"/>
        </w:rPr>
        <w:t xml:space="preserve">3. The Expansion Opportunity — Why This Is a Platform, Not a Product Line</w:t>
      </w:r>
    </w:p>
    <w:p>
      <w:pPr>
        <w:spacing w:after="120" w:line="300"/>
      </w:pPr>
      <w:r>
        <w:rPr>
          <w:rFonts w:ascii="Arial" w:cs="Arial" w:eastAsia="Arial" w:hAnsi="Arial"/>
          <w:b/>
          <w:bCs/>
        </w:rPr>
        <w:t xml:space="preserve">This section describes the single most important strategic insight in this assessment. </w:t>
      </w:r>
      <w:r>
        <w:rPr>
          <w:rFonts w:ascii="Arial" w:cs="Arial" w:eastAsia="Arial" w:hAnsi="Arial"/>
        </w:rPr>
        <w:t xml:space="preserve">The e-commerce infrastructure built for millwright and industrial electrician kits — the website, the SEO moat, the checkout flow, the warehouse workflow, the college relationships, the email list, the shop outreach playbook — serves every industrial trade vertical with near-zero marginal fixed cost. The only variable cost per new vertical is a product curation sprint: identifying the right tools, negotiating with suppliers, building the kit SKUs, and writing the product copy. That is 2–4 weeks of work, not a new business.</w:t>
      </w:r>
    </w:p>
    <w:p>
      <w:pPr>
        <w:pStyle w:val="Heading2"/>
      </w:pPr>
      <w:r>
        <w:rPr>
          <w:rFonts w:ascii="Arial" w:cs="Arial" w:eastAsia="Arial" w:hAnsi="Arial"/>
        </w:rPr>
        <w:t xml:space="preserve">3.1 The College Channel Is the Unlock</w:t>
      </w:r>
    </w:p>
    <w:p>
      <w:pPr>
        <w:spacing w:after="120" w:line="300"/>
      </w:pPr>
      <w:r>
        <w:rPr>
          <w:rFonts w:ascii="Arial" w:cs="Arial" w:eastAsia="Arial" w:hAnsi="Arial"/>
        </w:rPr>
        <w:t xml:space="preserve">When the BTS e-commerce division sells a millwright starter kit to Conestoga College, it is not building a relationship with "the millwright program." It is building a relationship with the purchasing office, the dean of trades, and the apprenticeship coordinator. Those same people run every trade program under one roof. The second-vertical sale to an existing college account is a phone call, not a cold outreach campaign. Customer acquisition cost on vertical two through six at an existing college: effectively zero.</w:t>
      </w:r>
    </w:p>
    <w:p>
      <w:pPr>
        <w:spacing w:after="120" w:line="300"/>
      </w:pPr>
      <w:r>
        <w:rPr>
          <w:rFonts w:ascii="Arial" w:cs="Arial" w:eastAsia="Arial" w:hAnsi="Arial"/>
        </w:rPr>
        <w:t xml:space="preserve">The same logic applies to shops. An industrial shop that employs millwrights almost certainly also employs welders, heavy equipment techs, and electricians. Phil already has relationships with these shop owners. The buyer who "bought 6 Apprentice Pro kits for our incoming apprentice class" does not care which trade the apprentice is in — that buyer cares about equipping new hires without sourcing 40 individual items.</w:t>
      </w:r>
    </w:p>
    <w:p>
      <w:pPr>
        <w:pStyle w:val="Heading2"/>
      </w:pPr>
      <w:r>
        <w:rPr>
          <w:rFonts w:ascii="Arial" w:cs="Arial" w:eastAsia="Arial" w:hAnsi="Arial"/>
        </w:rPr>
        <w:t xml:space="preserve">3.2 Expansion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rPr>
          <w:tblHeader/>
        </w:trPr>
        <w:tc>
          <w:tcPr>
            <w:tcW w:type="dxa" w:w="180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Phase</w:t>
            </w:r>
          </w:p>
        </w:tc>
        <w:tc>
          <w:tcPr>
            <w:tcW w:type="dxa" w:w="320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Trades added</w:t>
            </w:r>
          </w:p>
        </w:tc>
        <w:tc>
          <w:tcPr>
            <w:tcW w:type="dxa" w:w="220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Cumulative apprentices</w:t>
            </w:r>
          </w:p>
        </w:tc>
        <w:tc>
          <w:tcPr>
            <w:tcW w:type="dxa" w:w="216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Estimated TAM</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Year 1</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Industrial millwright + industrial electrician</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28,746</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$35–55M</w:t>
            </w:r>
          </w:p>
        </w:tc>
      </w:tr>
      <w:tr>
        <w:tc>
          <w:tcPr>
            <w:tcW w:type="dxa" w:w="18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Year 2</w:t>
            </w:r>
          </w:p>
        </w:tc>
        <w:tc>
          <w:tcPr>
            <w:tcW w:type="dxa" w:w="32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Construction electrician (309A)</w:t>
            </w:r>
          </w:p>
        </w:tc>
        <w:tc>
          <w:tcPr>
            <w:tcW w:type="dxa" w:w="22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93,486</w:t>
            </w:r>
          </w:p>
        </w:tc>
        <w:tc>
          <w:tcPr>
            <w:tcW w:type="dxa" w:w="216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$110–175M</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Year 2–3</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Welder + heavy duty equipment tech</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124,593</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$155–245M</w:t>
            </w:r>
          </w:p>
        </w:tc>
      </w:tr>
      <w:tr>
        <w:tc>
          <w:tcPr>
            <w:tcW w:type="dxa" w:w="18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Year 3–4</w:t>
            </w:r>
          </w:p>
        </w:tc>
        <w:tc>
          <w:tcPr>
            <w:tcW w:type="dxa" w:w="32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Steamfitter/pipefitter + automotive</w:t>
            </w:r>
          </w:p>
        </w:tc>
        <w:tc>
          <w:tcPr>
            <w:tcW w:type="dxa" w:w="22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165,843</w:t>
            </w:r>
          </w:p>
        </w:tc>
        <w:tc>
          <w:tcPr>
            <w:tcW w:type="dxa" w:w="216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$200–325M</w:t>
            </w:r>
          </w:p>
        </w:tc>
      </w:tr>
    </w:tbl>
    <w:p>
      <w:pPr>
        <w:spacing w:after="120" w:line="300"/>
      </w:pPr>
      <w:r>
        <w:rPr>
          <w:rFonts w:ascii="Arial" w:cs="Arial" w:eastAsia="Arial" w:hAnsi="Arial"/>
        </w:rPr>
        <w:t xml:space="preserve"> </w:t>
      </w:r>
    </w:p>
    <w:p>
      <w:pPr>
        <w:spacing w:after="120" w:line="300"/>
      </w:pPr>
      <w:r>
        <w:rPr>
          <w:rFonts w:ascii="Arial" w:cs="Arial" w:eastAsia="Arial" w:hAnsi="Arial"/>
        </w:rPr>
        <w:t xml:space="preserve">The jump from "millwright + industrial electrician" to "six industrial trades" is a 5–6x TAM expansion that uses the same platform, the same warehouse, the same college relationships, and the same checkout flow. </w:t>
      </w:r>
      <w:r>
        <w:rPr>
          <w:rFonts w:ascii="Arial" w:cs="Arial" w:eastAsia="Arial" w:hAnsi="Arial"/>
          <w:b/>
          <w:bCs/>
        </w:rPr>
        <w:t xml:space="preserve">Each additional vertical costs a product curation sprint, not a new business.</w:t>
      </w:r>
    </w:p>
    <w:p>
      <w:pPr>
        <w:pStyle w:val="Heading2"/>
      </w:pPr>
      <w:r>
        <w:rPr>
          <w:rFonts w:ascii="Arial" w:cs="Arial" w:eastAsia="Arial" w:hAnsi="Arial"/>
        </w:rPr>
        <w:t xml:space="preserve">3.3 Why This Matters to BTS Strategically</w:t>
      </w:r>
    </w:p>
    <w:p>
      <w:pPr>
        <w:spacing w:after="120" w:line="300"/>
      </w:pPr>
      <w:r>
        <w:rPr>
          <w:rFonts w:ascii="Arial" w:cs="Arial" w:eastAsia="Arial" w:hAnsi="Arial"/>
        </w:rPr>
        <w:t xml:space="preserve">Phil’s existing labour/service business is structurally capped: </w:t>
      </w:r>
      <w:r>
        <w:rPr>
          <w:rFonts w:ascii="Arial" w:cs="Arial" w:eastAsia="Arial" w:hAnsi="Arial"/>
        </w:rPr>
        <w:t xml:space="preserve">revenue scales linearly with the number of certified tradespeople BTS can recruit and the hours they can bill. An e-commerce division is structurally uncapped. Revenue compounds on each new trade vertical, each new college account, and each new geography — all on the same fixed infrastructure. This is not a side business bolted onto BTS. It is the scalable, compounding revenue division of the company — the part that grows without adding headcount proportionally.</w:t>
      </w:r>
    </w:p>
    <w:p>
      <w:pPr>
        <w:spacing w:after="120" w:line="300"/>
      </w:pPr>
      <w:r>
        <w:rPr>
          <w:rFonts w:ascii="Arial" w:cs="Arial" w:eastAsia="Arial" w:hAnsi="Arial"/>
        </w:rPr>
        <w:t xml:space="preserve">The role Russell fills — setting up, scaling, and systematizing each new trade vertical repeatably and sustainably, with maximum automation throughout — is the role that makes this a platform rather than a project. The operator who builds the playbook once, proves it on core trades, then runs it across six verticals with declining marginal cost per vertical is the reason the business can eventually run at scale with a market-rate management team.</w:t>
      </w:r>
    </w:p>
    <w:p>
      <w:pPr>
        <w:pStyle w:val="Heading1"/>
      </w:pPr>
      <w:r>
        <w:rPr>
          <w:rFonts w:ascii="Arial" w:cs="Arial" w:eastAsia="Arial" w:hAnsi="Arial"/>
        </w:rPr>
        <w:t xml:space="preserve">4. Market Growth Drivers</w:t>
      </w:r>
    </w:p>
    <w:p>
      <w:pPr>
        <w:spacing w:after="120" w:line="300"/>
      </w:pPr>
      <w:r>
        <w:rPr>
          <w:rFonts w:ascii="Arial" w:cs="Arial" w:eastAsia="Arial" w:hAnsi="Arial"/>
        </w:rPr>
        <w:t xml:space="preserve">Three independent forecasts confirm the customer base is growing faster than population:</w:t>
      </w:r>
    </w:p>
    <w:p>
      <w:pPr>
        <w:pStyle w:val="ListParagraph"/>
        <w:numPr>
          <w:ilvl w:val="0"/>
          <w:numId w:val="2"/>
        </w:numPr>
        <w:spacing w:after="80" w:line="280"/>
      </w:pPr>
      <w:r>
        <w:rPr>
          <w:rFonts w:ascii="Arial" w:cs="Arial" w:eastAsia="Arial" w:hAnsi="Arial"/>
          <w:b/>
          <w:bCs/>
        </w:rPr>
        <w:t xml:space="preserve">RBC skilled trades shortage projection: </w:t>
      </w:r>
      <w:r>
        <w:rPr>
          <w:rFonts w:ascii="Arial" w:cs="Arial" w:eastAsia="Arial" w:hAnsi="Arial"/>
        </w:rPr>
        <w:t xml:space="preserve">minimum 10,000-person shortfall in 56 Red Seal trades by 2029; up to 100,000+ including provincially regulated trades. Shortages "particularly acute among industrial mechanics, boilermakers, welders." </w:t>
      </w:r>
      <w:hyperlink w:history="1" r:id="rId2kytlqfbtrszmto1ffyin">
        <w:r>
          <w:rPr>
            <w:rStyle w:val="Hyperlink"/>
            <w:rFonts w:ascii="Arial" w:cs="Arial" w:eastAsia="Arial" w:hAnsi="Arial"/>
            <w:color w:val="0645AD"/>
            <w:u w:val="single"/>
          </w:rPr>
          <w:t xml:space="preserve">Source: RBC Thought Leadership.</w:t>
        </w:r>
      </w:hyperlink>
    </w:p>
    <w:p>
      <w:pPr>
        <w:pStyle w:val="ListParagraph"/>
        <w:numPr>
          <w:ilvl w:val="0"/>
          <w:numId w:val="2"/>
        </w:numPr>
        <w:spacing w:after="80" w:line="280"/>
      </w:pPr>
      <w:r>
        <w:rPr>
          <w:rFonts w:ascii="Arial" w:cs="Arial" w:eastAsia="Arial" w:hAnsi="Arial"/>
          <w:b/>
          <w:bCs/>
        </w:rPr>
        <w:t xml:space="preserve">BuildForce Canada (through 2033): </w:t>
      </w:r>
      <w:r>
        <w:rPr>
          <w:rFonts w:ascii="Arial" w:cs="Arial" w:eastAsia="Arial" w:hAnsi="Arial"/>
        </w:rPr>
        <w:t xml:space="preserve">351,800 total hiring requirements, 263,400 from retirements (21% of workforce), 88,400+ from growth. Recruitment gap: ~85,500 workers. </w:t>
      </w:r>
      <w:hyperlink w:history="1" r:id="rId5gdvv6l9kvbis3rva9zy_">
        <w:r>
          <w:rPr>
            <w:rStyle w:val="Hyperlink"/>
            <w:rFonts w:ascii="Arial" w:cs="Arial" w:eastAsia="Arial" w:hAnsi="Arial"/>
            <w:color w:val="0645AD"/>
            <w:u w:val="single"/>
          </w:rPr>
          <w:t xml:space="preserve">Source: BuildForce Canada.</w:t>
        </w:r>
      </w:hyperlink>
    </w:p>
    <w:p>
      <w:pPr>
        <w:pStyle w:val="ListParagraph"/>
        <w:numPr>
          <w:ilvl w:val="0"/>
          <w:numId w:val="2"/>
        </w:numPr>
        <w:spacing w:after="80" w:line="280"/>
      </w:pPr>
      <w:r>
        <w:rPr>
          <w:rFonts w:ascii="Arial" w:cs="Arial" w:eastAsia="Arial" w:hAnsi="Arial"/>
          <w:b/>
          <w:bCs/>
        </w:rPr>
        <w:t xml:space="preserve">Government training equipment funding: </w:t>
      </w:r>
      <w:r>
        <w:rPr>
          <w:rFonts w:ascii="Arial" w:cs="Arial" w:eastAsia="Arial" w:hAnsi="Arial"/>
        </w:rPr>
        <w:t xml:space="preserve">CAS-ITE provides up to $5M per union training project; $20M available 2025–26 — direct grant-funded purchasing power for college and union customers. </w:t>
      </w:r>
      <w:hyperlink w:history="1" r:id="rId6gyy44y3vr-oyukrc0lid">
        <w:r>
          <w:rPr>
            <w:rStyle w:val="Hyperlink"/>
            <w:rFonts w:ascii="Arial" w:cs="Arial" w:eastAsia="Arial" w:hAnsi="Arial"/>
            <w:color w:val="0645AD"/>
            <w:u w:val="single"/>
          </w:rPr>
          <w:t xml:space="preserve">Source: ESDC.</w:t>
        </w:r>
      </w:hyperlink>
    </w:p>
    <w:p>
      <w:pPr>
        <w:spacing w:after="120" w:line="300"/>
      </w:pPr>
      <w:r>
        <w:rPr>
          <w:rFonts w:ascii="Arial" w:cs="Arial" w:eastAsia="Arial" w:hAnsi="Arial"/>
        </w:rPr>
        <w:t xml:space="preserve">These drivers independently suggest institutional buyers (colleges, unions, sector councils) are actively looking for qualified vendors to absorb grant money. A credible specialized supplier is a scarce resource in this category.</w:t>
      </w:r>
    </w:p>
    <w:p>
      <w:pPr>
        <w:pStyle w:val="Heading1"/>
      </w:pPr>
      <w:r>
        <w:rPr>
          <w:rFonts w:ascii="Arial" w:cs="Arial" w:eastAsia="Arial" w:hAnsi="Arial"/>
        </w:rPr>
        <w:t xml:space="preserve">5. US Expansion Context (Year 3–4)</w:t>
      </w:r>
    </w:p>
    <w:p>
      <w:pPr>
        <w:pStyle w:val="ListParagraph"/>
        <w:numPr>
          <w:ilvl w:val="0"/>
          <w:numId w:val="2"/>
        </w:numPr>
        <w:spacing w:after="80" w:line="280"/>
      </w:pPr>
      <w:r>
        <w:rPr>
          <w:rFonts w:ascii="Arial" w:cs="Arial" w:eastAsia="Arial" w:hAnsi="Arial"/>
        </w:rPr>
        <w:t xml:space="preserve">US millwrights (SOC 49-9044): </w:t>
      </w:r>
      <w:r>
        <w:rPr>
          <w:rFonts w:ascii="Arial" w:cs="Arial" w:eastAsia="Arial" w:hAnsi="Arial"/>
          <w:b/>
          <w:bCs/>
        </w:rPr>
        <w:t xml:space="preserve">72,500 employed (May 2024), median wage $63,510/yr, 13% projected growth to 2034, ~5,400 annual openings. </w:t>
      </w:r>
      <w:hyperlink w:history="1" r:id="rIdhl1u-2dvgk8rirpam61ti">
        <w:r>
          <w:rPr>
            <w:rStyle w:val="Hyperlink"/>
            <w:rFonts w:ascii="Arial" w:cs="Arial" w:eastAsia="Arial" w:hAnsi="Arial"/>
            <w:color w:val="0645AD"/>
            <w:u w:val="single"/>
          </w:rPr>
          <w:t xml:space="preserve">Source: US BLS.</w:t>
        </w:r>
      </w:hyperlink>
    </w:p>
    <w:p>
      <w:pPr>
        <w:pStyle w:val="ListParagraph"/>
        <w:numPr>
          <w:ilvl w:val="0"/>
          <w:numId w:val="2"/>
        </w:numPr>
        <w:spacing w:after="80" w:line="280"/>
      </w:pPr>
      <w:r>
        <w:rPr>
          <w:rFonts w:ascii="Arial" w:cs="Arial" w:eastAsia="Arial" w:hAnsi="Arial"/>
        </w:rPr>
        <w:t xml:space="preserve">US combined industrial mechanics + maintenance + millwrights: </w:t>
      </w:r>
      <w:r>
        <w:rPr>
          <w:rFonts w:ascii="Arial" w:cs="Arial" w:eastAsia="Arial" w:hAnsi="Arial"/>
          <w:b/>
          <w:bCs/>
        </w:rPr>
        <w:t xml:space="preserve">538,300 employed, 54,200 annual openings, 13% projected growth. </w:t>
      </w:r>
      <w:hyperlink w:history="1" r:id="rIdqen06yj-yvo94uvyqhgb2">
        <w:r>
          <w:rPr>
            <w:rStyle w:val="Hyperlink"/>
            <w:rFonts w:ascii="Arial" w:cs="Arial" w:eastAsia="Arial" w:hAnsi="Arial"/>
            <w:color w:val="0645AD"/>
            <w:u w:val="single"/>
          </w:rPr>
          <w:t xml:space="preserve">Source: US BLS OOH.</w:t>
        </w:r>
      </w:hyperlink>
    </w:p>
    <w:p>
      <w:pPr>
        <w:spacing w:after="120" w:line="300"/>
      </w:pPr>
      <w:r>
        <w:rPr>
          <w:rFonts w:ascii="Arial" w:cs="Arial" w:eastAsia="Arial" w:hAnsi="Arial"/>
        </w:rPr>
        <w:t xml:space="preserve">The US market is ~18–22x the Canadian equivalent. Realistic entry is Year 3–4, beginning with northern border states (Michigan, Ohio, Pennsylvania, New York) using dropship-first or US 3PL. Capturing 0.5% of US industrial mechanic/millwright tool spend would add $5–15M/year to the Canadian business.</w:t>
      </w:r>
    </w:p>
    <w:p>
      <w:pPr>
        <w:pStyle w:val="Heading1"/>
      </w:pPr>
      <w:r>
        <w:rPr>
          <w:rFonts w:ascii="Arial" w:cs="Arial" w:eastAsia="Arial" w:hAnsi="Arial"/>
        </w:rPr>
        <w:t xml:space="preserve">6. Buyer Segment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80"/>
        <w:gridCol w:w="1880"/>
      </w:tblGrid>
      <w:tr>
        <w:trPr>
          <w:tblHeader/>
        </w:trPr>
        <w:tc>
          <w:tcPr>
            <w:tcW w:type="dxa" w:w="200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Segment</w:t>
            </w:r>
          </w:p>
        </w:tc>
        <w:tc>
          <w:tcPr>
            <w:tcW w:type="dxa" w:w="180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Decision cycle</w:t>
            </w:r>
          </w:p>
        </w:tc>
        <w:tc>
          <w:tcPr>
            <w:tcW w:type="dxa" w:w="180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Price sensitivity</w:t>
            </w:r>
          </w:p>
        </w:tc>
        <w:tc>
          <w:tcPr>
            <w:tcW w:type="dxa" w:w="188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Order size</w:t>
            </w:r>
          </w:p>
        </w:tc>
        <w:tc>
          <w:tcPr>
            <w:tcW w:type="dxa" w:w="188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Entry barrier</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Individual apprentice</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1–4 weeks</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High</w:t>
            </w:r>
          </w:p>
        </w:tc>
        <w:tc>
          <w:tcPr>
            <w:tcW w:type="dxa" w:w="18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 kit</w:t>
            </w:r>
          </w:p>
        </w:tc>
        <w:tc>
          <w:tcPr>
            <w:tcW w:type="dxa" w:w="18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Checkout, reviews, financing</w:t>
            </w:r>
          </w:p>
        </w:tc>
      </w:tr>
      <w:tr>
        <w:tc>
          <w:tcPr>
            <w:tcW w:type="dxa" w:w="20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Shop / employer</w:t>
            </w:r>
          </w:p>
        </w:tc>
        <w:tc>
          <w:tcPr>
            <w:tcW w:type="dxa" w:w="18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2–8 weeks</w:t>
            </w:r>
          </w:p>
        </w:tc>
        <w:tc>
          <w:tcPr>
            <w:tcW w:type="dxa" w:w="18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Medium</w:t>
            </w:r>
          </w:p>
        </w:tc>
        <w:tc>
          <w:tcPr>
            <w:tcW w:type="dxa" w:w="188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2–20 kits</w:t>
            </w:r>
          </w:p>
        </w:tc>
        <w:tc>
          <w:tcPr>
            <w:tcW w:type="dxa" w:w="188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Quote flow, PO terms</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Trade college</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3–12 months</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Low (grant-funded)</w:t>
            </w:r>
          </w:p>
        </w:tc>
        <w:tc>
          <w:tcPr>
            <w:tcW w:type="dxa" w:w="18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20–60 kits</w:t>
            </w:r>
          </w:p>
        </w:tc>
        <w:tc>
          <w:tcPr>
            <w:tcW w:type="dxa" w:w="18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RFP, vendor listing</w:t>
            </w:r>
          </w:p>
        </w:tc>
      </w:tr>
      <w:tr>
        <w:tc>
          <w:tcPr>
            <w:tcW w:type="dxa" w:w="20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Union / JAC</w:t>
            </w:r>
          </w:p>
        </w:tc>
        <w:tc>
          <w:tcPr>
            <w:tcW w:type="dxa" w:w="18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3–9 months</w:t>
            </w:r>
          </w:p>
        </w:tc>
        <w:tc>
          <w:tcPr>
            <w:tcW w:type="dxa" w:w="18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Low (grant-funded)</w:t>
            </w:r>
          </w:p>
        </w:tc>
        <w:tc>
          <w:tcPr>
            <w:tcW w:type="dxa" w:w="188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10–100 kits</w:t>
            </w:r>
          </w:p>
        </w:tc>
        <w:tc>
          <w:tcPr>
            <w:tcW w:type="dxa" w:w="188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Sector approval</w:t>
            </w:r>
          </w:p>
        </w:tc>
      </w:tr>
    </w:tbl>
    <w:p>
      <w:pPr>
        <w:spacing w:after="120" w:line="300"/>
      </w:pPr>
      <w:r>
        <w:rPr>
          <w:rFonts w:ascii="Arial" w:cs="Arial" w:eastAsia="Arial" w:hAnsi="Arial"/>
        </w:rPr>
        <w:t xml:space="preserve"> </w:t>
      </w:r>
    </w:p>
    <w:p>
      <w:pPr>
        <w:spacing w:after="120" w:line="300"/>
      </w:pPr>
      <w:r>
        <w:rPr>
          <w:rFonts w:ascii="Arial" w:cs="Arial" w:eastAsia="Arial" w:hAnsi="Arial"/>
        </w:rPr>
        <w:t xml:space="preserve">BTS has structural advantages in each segment: domain authority on bullettrade.ca (individual), existing industrial customer relationships (shop), and the ability to add a direct sales motion through the college and union channels via existing relationships.</w:t>
      </w:r>
    </w:p>
    <w:p>
      <w:pPr>
        <w:pStyle w:val="Heading1"/>
      </w:pPr>
      <w:r>
        <w:rPr>
          <w:rFonts w:ascii="Arial" w:cs="Arial" w:eastAsia="Arial" w:hAnsi="Arial"/>
        </w:rPr>
        <w:t xml:space="preserve">7. Realistic 5-Year Capture (SOM)</w:t>
      </w:r>
    </w:p>
    <w:p>
      <w:pPr>
        <w:spacing w:after="120" w:line="300"/>
      </w:pPr>
      <w:r>
        <w:rPr>
          <w:rFonts w:ascii="Arial" w:cs="Arial" w:eastAsia="Arial" w:hAnsi="Arial"/>
        </w:rPr>
        <w:t xml:space="preserve">Base case assumes Ontario-first launch on core trades, national expansion in Year 2 with construction electrician added, one additional industrial trade vertical in Year 3, and a second in Year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2010"/>
        <w:gridCol w:w="2010"/>
        <w:gridCol w:w="2010"/>
        <w:gridCol w:w="2010"/>
      </w:tblGrid>
      <w:tr>
        <w:trPr>
          <w:tblHeader/>
        </w:trPr>
        <w:tc>
          <w:tcPr>
            <w:tcW w:type="dxa" w:w="132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Year</w:t>
            </w:r>
          </w:p>
        </w:tc>
        <w:tc>
          <w:tcPr>
            <w:tcW w:type="dxa" w:w="201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Focus</w:t>
            </w:r>
          </w:p>
        </w:tc>
        <w:tc>
          <w:tcPr>
            <w:tcW w:type="dxa" w:w="201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Revenue</w:t>
            </w:r>
          </w:p>
        </w:tc>
        <w:tc>
          <w:tcPr>
            <w:tcW w:type="dxa" w:w="201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CM @ 25%</w:t>
            </w:r>
          </w:p>
        </w:tc>
        <w:tc>
          <w:tcPr>
            <w:tcW w:type="dxa" w:w="201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 of TAM</w:t>
            </w:r>
          </w:p>
        </w:tc>
      </w:tr>
      <w:tr>
        <w:tc>
          <w:tcPr>
            <w:tcW w:type="dxa" w:w="132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Year 1</w:t>
            </w:r>
          </w:p>
        </w:tc>
        <w:tc>
          <w:tcPr>
            <w:tcW w:type="dxa" w:w="201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MW + IE, Ontario, prove model</w:t>
            </w:r>
          </w:p>
        </w:tc>
        <w:tc>
          <w:tcPr>
            <w:tcW w:type="dxa" w:w="201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$500K–$800K</w:t>
            </w:r>
          </w:p>
        </w:tc>
        <w:tc>
          <w:tcPr>
            <w:tcW w:type="dxa" w:w="201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$125K–$200K</w:t>
            </w:r>
          </w:p>
        </w:tc>
        <w:tc>
          <w:tcPr>
            <w:tcW w:type="dxa" w:w="201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1–2% of core</w:t>
            </w:r>
          </w:p>
        </w:tc>
      </w:tr>
      <w:tr>
        <w:tc>
          <w:tcPr>
            <w:tcW w:type="dxa" w:w="132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Year 2</w:t>
            </w:r>
          </w:p>
        </w:tc>
        <w:tc>
          <w:tcPr>
            <w:tcW w:type="dxa" w:w="201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National + add 309A electrician</w:t>
            </w:r>
          </w:p>
        </w:tc>
        <w:tc>
          <w:tcPr>
            <w:tcW w:type="dxa" w:w="201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$1.5M–$2.5M</w:t>
            </w:r>
          </w:p>
        </w:tc>
        <w:tc>
          <w:tcPr>
            <w:tcW w:type="dxa" w:w="201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$375K–$625K</w:t>
            </w:r>
          </w:p>
        </w:tc>
        <w:tc>
          <w:tcPr>
            <w:tcW w:type="dxa" w:w="201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1–2% of expanded</w:t>
            </w:r>
          </w:p>
        </w:tc>
      </w:tr>
      <w:tr>
        <w:tc>
          <w:tcPr>
            <w:tcW w:type="dxa" w:w="132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Year 3</w:t>
            </w:r>
          </w:p>
        </w:tc>
        <w:tc>
          <w:tcPr>
            <w:tcW w:type="dxa" w:w="201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Welder or heavy equip</w:t>
            </w:r>
          </w:p>
        </w:tc>
        <w:tc>
          <w:tcPr>
            <w:tcW w:type="dxa" w:w="201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$3M–$5M</w:t>
            </w:r>
          </w:p>
        </w:tc>
        <w:tc>
          <w:tcPr>
            <w:tcW w:type="dxa" w:w="201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$750K–$1.25M</w:t>
            </w:r>
          </w:p>
        </w:tc>
        <w:tc>
          <w:tcPr>
            <w:tcW w:type="dxa" w:w="201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2–3%</w:t>
            </w:r>
          </w:p>
        </w:tc>
      </w:tr>
      <w:tr>
        <w:tc>
          <w:tcPr>
            <w:tcW w:type="dxa" w:w="132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Year 4</w:t>
            </w:r>
          </w:p>
        </w:tc>
        <w:tc>
          <w:tcPr>
            <w:tcW w:type="dxa" w:w="201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College + union channels mature</w:t>
            </w:r>
          </w:p>
        </w:tc>
        <w:tc>
          <w:tcPr>
            <w:tcW w:type="dxa" w:w="201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$5M–$8M</w:t>
            </w:r>
          </w:p>
        </w:tc>
        <w:tc>
          <w:tcPr>
            <w:tcW w:type="dxa" w:w="201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$1.25M–$2M</w:t>
            </w:r>
          </w:p>
        </w:tc>
        <w:tc>
          <w:tcPr>
            <w:tcW w:type="dxa" w:w="201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3–4%</w:t>
            </w:r>
          </w:p>
        </w:tc>
      </w:tr>
      <w:tr>
        <w:tc>
          <w:tcPr>
            <w:tcW w:type="dxa" w:w="132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Year 5</w:t>
            </w:r>
          </w:p>
        </w:tc>
        <w:tc>
          <w:tcPr>
            <w:tcW w:type="dxa" w:w="201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3rd vertical or US northern states</w:t>
            </w:r>
          </w:p>
        </w:tc>
        <w:tc>
          <w:tcPr>
            <w:tcW w:type="dxa" w:w="201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$8M–$15M</w:t>
            </w:r>
          </w:p>
        </w:tc>
        <w:tc>
          <w:tcPr>
            <w:tcW w:type="dxa" w:w="201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$2M–$3.75M</w:t>
            </w:r>
          </w:p>
        </w:tc>
        <w:tc>
          <w:tcPr>
            <w:tcW w:type="dxa" w:w="201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4–6%</w:t>
            </w:r>
          </w:p>
        </w:tc>
      </w:tr>
    </w:tbl>
    <w:p>
      <w:pPr>
        <w:spacing w:after="120" w:line="300"/>
      </w:pPr>
      <w:r>
        <w:rPr>
          <w:rFonts w:ascii="Arial" w:cs="Arial" w:eastAsia="Arial" w:hAnsi="Arial"/>
        </w:rPr>
        <w:t xml:space="preserve"> </w:t>
      </w:r>
    </w:p>
    <w:p>
      <w:pPr>
        <w:spacing w:after="120" w:line="300"/>
      </w:pPr>
      <w:r>
        <w:rPr>
          <w:rFonts w:ascii="Arial" w:cs="Arial" w:eastAsia="Arial" w:hAnsi="Arial"/>
        </w:rPr>
        <w:t xml:space="preserve">These projections represent 1–6% capture of the expanded TAM — modest penetration rates for a market with documented supply-side gaps and no dominant specialized competitor.</w:t>
      </w:r>
    </w:p>
    <w:p>
      <w:pPr>
        <w:pStyle w:val="Heading1"/>
      </w:pPr>
      <w:r>
        <w:rPr>
          <w:rFonts w:ascii="Arial" w:cs="Arial" w:eastAsia="Arial" w:hAnsi="Arial"/>
        </w:rPr>
        <w:t xml:space="preserve">8. Limitations &amp; Recommended Next Steps</w:t>
      </w:r>
    </w:p>
    <w:p>
      <w:pPr>
        <w:spacing w:after="120" w:line="300"/>
      </w:pPr>
      <w:r>
        <w:rPr>
          <w:rFonts w:ascii="Arial" w:cs="Arial" w:eastAsia="Arial" w:hAnsi="Arial"/>
        </w:rPr>
        <w:t xml:space="preserve">To convert base-case estimates into board-grade projections, the following primary research should be completed in the first 30–60 days:</w:t>
      </w:r>
    </w:p>
    <w:p>
      <w:pPr>
        <w:pStyle w:val="ListParagraph"/>
        <w:numPr>
          <w:ilvl w:val="0"/>
          <w:numId w:val="3"/>
        </w:numPr>
        <w:spacing w:after="80"/>
      </w:pPr>
      <w:r>
        <w:rPr>
          <w:rFonts w:ascii="Arial" w:cs="Arial" w:eastAsia="Arial" w:hAnsi="Arial"/>
        </w:rPr>
        <w:t xml:space="preserve">Access Statistics Canada Table 37-10-0137-01 with provincial filters to get Ontario-specific breakdown for each target trade.</w:t>
      </w:r>
    </w:p>
    <w:p>
      <w:pPr>
        <w:pStyle w:val="ListParagraph"/>
        <w:numPr>
          <w:ilvl w:val="0"/>
          <w:numId w:val="3"/>
        </w:numPr>
        <w:spacing w:after="80"/>
      </w:pPr>
      <w:r>
        <w:rPr>
          <w:rFonts w:ascii="Arial" w:cs="Arial" w:eastAsia="Arial" w:hAnsi="Arial"/>
        </w:rPr>
        <w:t xml:space="preserve">Contact Skilled Trades Ontario (647-847-3000) for year-by-year 433A and 442A new registration counts (vs. total active registrations).</w:t>
      </w:r>
    </w:p>
    <w:p>
      <w:pPr>
        <w:pStyle w:val="ListParagraph"/>
        <w:numPr>
          <w:ilvl w:val="0"/>
          <w:numId w:val="3"/>
        </w:numPr>
        <w:spacing w:after="80"/>
      </w:pPr>
      <w:r>
        <w:rPr>
          <w:rFonts w:ascii="Arial" w:cs="Arial" w:eastAsia="Arial" w:hAnsi="Arial"/>
        </w:rPr>
        <w:t xml:space="preserve">Query Statistics Canada Table 14-10-0041-01 for employed tradespeople by NOC code (72400, 72201) by province.</w:t>
      </w:r>
    </w:p>
    <w:p>
      <w:pPr>
        <w:pStyle w:val="ListParagraph"/>
        <w:numPr>
          <w:ilvl w:val="0"/>
          <w:numId w:val="3"/>
        </w:numPr>
        <w:spacing w:after="80"/>
      </w:pPr>
      <w:r>
        <w:rPr>
          <w:rFonts w:ascii="Arial" w:cs="Arial" w:eastAsia="Arial" w:hAnsi="Arial"/>
        </w:rPr>
        <w:t xml:space="preserve">Outreach to the Canadian Apprenticeship Forum (CAF-FCA, info@caf-fca.org) for employer tool purchasing survey data.</w:t>
      </w:r>
    </w:p>
    <w:p>
      <w:pPr>
        <w:pStyle w:val="ListParagraph"/>
        <w:numPr>
          <w:ilvl w:val="0"/>
          <w:numId w:val="3"/>
        </w:numPr>
        <w:spacing w:after="80"/>
      </w:pPr>
      <w:r>
        <w:rPr>
          <w:rFonts w:ascii="Arial" w:cs="Arial" w:eastAsia="Arial" w:hAnsi="Arial"/>
        </w:rPr>
        <w:t xml:space="preserve">5–10 discovery calls with Ontario industrial shop owners to validate bulk-buy adoption assumptions.</w:t>
      </w:r>
    </w:p>
    <w:p>
      <w:pPr>
        <w:pStyle w:val="ListParagraph"/>
        <w:numPr>
          <w:ilvl w:val="0"/>
          <w:numId w:val="3"/>
        </w:numPr>
        <w:spacing w:after="80"/>
      </w:pPr>
      <w:r>
        <w:rPr>
          <w:rFonts w:ascii="Arial" w:cs="Arial" w:eastAsia="Arial" w:hAnsi="Arial"/>
        </w:rPr>
        <w:t xml:space="preserve">3–5 discovery calls with Ontario trade college program heads to validate starter-kit willingness-to-buy and grant funding cycles.</w:t>
      </w:r>
    </w:p>
    <w:p>
      <w:pPr>
        <w:pStyle w:val="ListParagraph"/>
        <w:numPr>
          <w:ilvl w:val="0"/>
          <w:numId w:val="3"/>
        </w:numPr>
        <w:spacing w:after="80"/>
      </w:pPr>
      <w:r>
        <w:rPr>
          <w:rFonts w:ascii="Arial" w:cs="Arial" w:eastAsia="Arial" w:hAnsi="Arial"/>
        </w:rPr>
        <w:t xml:space="preserve">Debrief with channel partners (e.g., Knells) on competitive landscape and customer purchasing patterns — ideally through an existing BTS relationship to maintain trust and leverage Phil’s positioning.</w:t>
      </w:r>
    </w:p>
    <w:p>
      <w:pPr>
        <w:pStyle w:val="Heading1"/>
      </w:pPr>
      <w:r>
        <w:rPr>
          <w:rFonts w:ascii="Arial" w:cs="Arial" w:eastAsia="Arial" w:hAnsi="Arial"/>
        </w:rPr>
        <w:t xml:space="preserve">Sources &amp; Data Links</w:t>
      </w:r>
    </w:p>
    <w:p>
      <w:pPr>
        <w:spacing w:after="120" w:line="300"/>
      </w:pPr>
      <w:r>
        <w:rPr>
          <w:rFonts w:ascii="Arial" w:cs="Arial" w:eastAsia="Arial" w:hAnsi="Arial"/>
          <w:i/>
          <w:iCs/>
          <w:sz w:val="18"/>
          <w:szCs w:val="18"/>
        </w:rPr>
        <w:t xml:space="preserve">All data sources are linked below. Clickable in the digital version of this document.</w:t>
      </w:r>
    </w:p>
    <w:p>
      <w:pPr>
        <w:pStyle w:val="ListParagraph"/>
        <w:numPr>
          <w:ilvl w:val="0"/>
          <w:numId w:val="2"/>
        </w:numPr>
        <w:spacing w:after="80" w:line="280"/>
      </w:pPr>
      <w:hyperlink w:history="1" r:id="rId2ady2uk1gkarynwq8u32i">
        <w:r>
          <w:rPr>
            <w:rStyle w:val="Hyperlink"/>
            <w:rFonts w:ascii="Arial" w:cs="Arial" w:eastAsia="Arial" w:hAnsi="Arial"/>
            <w:color w:val="0645AD"/>
            <w:u w:val="single"/>
          </w:rPr>
          <w:t xml:space="preserve">Statistics Canada Table 37-10-0137-01 — Red Seal Apprenticeship Registrations (interactive table)</w:t>
        </w:r>
      </w:hyperlink>
    </w:p>
    <w:p>
      <w:pPr>
        <w:pStyle w:val="ListParagraph"/>
        <w:numPr>
          <w:ilvl w:val="0"/>
          <w:numId w:val="2"/>
        </w:numPr>
        <w:spacing w:after="80" w:line="280"/>
      </w:pPr>
      <w:hyperlink w:history="1" r:id="rIddxi1idsb7n9fqo6k2qfq1">
        <w:r>
          <w:rPr>
            <w:rStyle w:val="Hyperlink"/>
            <w:rFonts w:ascii="Arial" w:cs="Arial" w:eastAsia="Arial" w:hAnsi="Arial"/>
            <w:color w:val="0645AD"/>
            <w:u w:val="single"/>
          </w:rPr>
          <w:t xml:space="preserve">Statistics Canada Table 37-10-0137-01 — Full dataset download (Open Government Portal)</w:t>
        </w:r>
      </w:hyperlink>
    </w:p>
    <w:p>
      <w:pPr>
        <w:pStyle w:val="ListParagraph"/>
        <w:numPr>
          <w:ilvl w:val="0"/>
          <w:numId w:val="2"/>
        </w:numPr>
        <w:spacing w:after="80" w:line="280"/>
      </w:pPr>
      <w:hyperlink w:history="1" r:id="rIdeuqd0vs9riopof67h2i24">
        <w:r>
          <w:rPr>
            <w:rStyle w:val="Hyperlink"/>
            <w:rFonts w:ascii="Arial" w:cs="Arial" w:eastAsia="Arial" w:hAnsi="Arial"/>
            <w:color w:val="0645AD"/>
            <w:u w:val="single"/>
          </w:rPr>
          <w:t xml:space="preserve">Statistics Canada Daily — 2024 RAIS Release (December 11, 2025)</w:t>
        </w:r>
      </w:hyperlink>
    </w:p>
    <w:p>
      <w:pPr>
        <w:pStyle w:val="ListParagraph"/>
        <w:numPr>
          <w:ilvl w:val="0"/>
          <w:numId w:val="2"/>
        </w:numPr>
        <w:spacing w:after="80" w:line="280"/>
      </w:pPr>
      <w:hyperlink w:history="1" r:id="rIdod-uubmddwgimrutrjlyc">
        <w:r>
          <w:rPr>
            <w:rStyle w:val="Hyperlink"/>
            <w:rFonts w:ascii="Arial" w:cs="Arial" w:eastAsia="Arial" w:hAnsi="Arial"/>
            <w:color w:val="0645AD"/>
            <w:u w:val="single"/>
          </w:rPr>
          <w:t xml:space="preserve">Statistics Canada Table 14-10-0041-01 — Labour Force by Occupation (annual)</w:t>
        </w:r>
      </w:hyperlink>
    </w:p>
    <w:p>
      <w:pPr>
        <w:pStyle w:val="ListParagraph"/>
        <w:numPr>
          <w:ilvl w:val="0"/>
          <w:numId w:val="2"/>
        </w:numPr>
        <w:spacing w:after="80" w:line="280"/>
      </w:pPr>
      <w:hyperlink w:history="1" r:id="rIdqtlec_-lu5_qcyzjpiq9c">
        <w:r>
          <w:rPr>
            <w:rStyle w:val="Hyperlink"/>
            <w:rFonts w:ascii="Arial" w:cs="Arial" w:eastAsia="Arial" w:hAnsi="Arial"/>
            <w:color w:val="0645AD"/>
            <w:u w:val="single"/>
          </w:rPr>
          <w:t xml:space="preserve">Skilled Trades Ontario — Apprenticeship Programs Chart (Sept 2024)</w:t>
        </w:r>
      </w:hyperlink>
    </w:p>
    <w:p>
      <w:pPr>
        <w:pStyle w:val="ListParagraph"/>
        <w:numPr>
          <w:ilvl w:val="0"/>
          <w:numId w:val="2"/>
        </w:numPr>
        <w:spacing w:after="80" w:line="280"/>
      </w:pPr>
      <w:hyperlink w:history="1" r:id="rIdmgiantqak_6llazui6geu">
        <w:r>
          <w:rPr>
            <w:rStyle w:val="Hyperlink"/>
            <w:rFonts w:ascii="Arial" w:cs="Arial" w:eastAsia="Arial" w:hAnsi="Arial"/>
            <w:color w:val="0645AD"/>
            <w:u w:val="single"/>
          </w:rPr>
          <w:t xml:space="preserve">Skilled Trades Ontario — Industrial Mechanic Millwright 433A Trade Report (2024)</w:t>
        </w:r>
      </w:hyperlink>
    </w:p>
    <w:p>
      <w:pPr>
        <w:pStyle w:val="ListParagraph"/>
        <w:numPr>
          <w:ilvl w:val="0"/>
          <w:numId w:val="2"/>
        </w:numPr>
        <w:spacing w:after="80" w:line="280"/>
      </w:pPr>
      <w:hyperlink w:history="1" r:id="rIdizgj0n41pbzqmnprablqi">
        <w:r>
          <w:rPr>
            <w:rStyle w:val="Hyperlink"/>
            <w:rFonts w:ascii="Arial" w:cs="Arial" w:eastAsia="Arial" w:hAnsi="Arial"/>
            <w:color w:val="0645AD"/>
            <w:u w:val="single"/>
          </w:rPr>
          <w:t xml:space="preserve">Skilled Trades Ontario — Industrial Electrician 442A Trade Report (2024)</w:t>
        </w:r>
      </w:hyperlink>
    </w:p>
    <w:p>
      <w:pPr>
        <w:pStyle w:val="ListParagraph"/>
        <w:numPr>
          <w:ilvl w:val="0"/>
          <w:numId w:val="2"/>
        </w:numPr>
        <w:spacing w:after="80" w:line="280"/>
      </w:pPr>
      <w:hyperlink w:history="1" r:id="rIdvt_ksdvu4k9kyhm9n6a-w">
        <w:r>
          <w:rPr>
            <w:rStyle w:val="Hyperlink"/>
            <w:rFonts w:ascii="Arial" w:cs="Arial" w:eastAsia="Arial" w:hAnsi="Arial"/>
            <w:color w:val="0645AD"/>
            <w:u w:val="single"/>
          </w:rPr>
          <w:t xml:space="preserve">Skilled Trades Ontario — Public Register of Training Delivery Agents</w:t>
        </w:r>
      </w:hyperlink>
    </w:p>
    <w:p>
      <w:pPr>
        <w:pStyle w:val="ListParagraph"/>
        <w:numPr>
          <w:ilvl w:val="0"/>
          <w:numId w:val="2"/>
        </w:numPr>
        <w:spacing w:after="80" w:line="280"/>
      </w:pPr>
      <w:hyperlink w:history="1" r:id="rIdri-ylt4pbh81l-cd_2jsk">
        <w:r>
          <w:rPr>
            <w:rStyle w:val="Hyperlink"/>
            <w:rFonts w:ascii="Arial" w:cs="Arial" w:eastAsia="Arial" w:hAnsi="Arial"/>
            <w:color w:val="0645AD"/>
            <w:u w:val="single"/>
          </w:rPr>
          <w:t xml:space="preserve">Electrical Industry Canada — Apprenticeship Registrations Report</w:t>
        </w:r>
      </w:hyperlink>
    </w:p>
    <w:p>
      <w:pPr>
        <w:pStyle w:val="ListParagraph"/>
        <w:numPr>
          <w:ilvl w:val="0"/>
          <w:numId w:val="2"/>
        </w:numPr>
        <w:spacing w:after="80" w:line="280"/>
      </w:pPr>
      <w:hyperlink w:history="1" r:id="rId4y5yuwfsbxvomoc_dfx_q">
        <w:r>
          <w:rPr>
            <w:rStyle w:val="Hyperlink"/>
            <w:rFonts w:ascii="Arial" w:cs="Arial" w:eastAsia="Arial" w:hAnsi="Arial"/>
            <w:color w:val="0645AD"/>
            <w:u w:val="single"/>
          </w:rPr>
          <w:t xml:space="preserve">RBC Thought Leadership — Powering Up: Preparing Canada’s Skilled Trades</w:t>
        </w:r>
      </w:hyperlink>
    </w:p>
    <w:p>
      <w:pPr>
        <w:pStyle w:val="ListParagraph"/>
        <w:numPr>
          <w:ilvl w:val="0"/>
          <w:numId w:val="2"/>
        </w:numPr>
        <w:spacing w:after="80" w:line="280"/>
      </w:pPr>
      <w:hyperlink w:history="1" r:id="rIdtc9hqtrcddn79plx12nle">
        <w:r>
          <w:rPr>
            <w:rStyle w:val="Hyperlink"/>
            <w:rFonts w:ascii="Arial" w:cs="Arial" w:eastAsia="Arial" w:hAnsi="Arial"/>
            <w:color w:val="0645AD"/>
            <w:u w:val="single"/>
          </w:rPr>
          <w:t xml:space="preserve">BuildForce Canada — Construction Sector Growth Through 2033</w:t>
        </w:r>
      </w:hyperlink>
    </w:p>
    <w:p>
      <w:pPr>
        <w:pStyle w:val="ListParagraph"/>
        <w:numPr>
          <w:ilvl w:val="0"/>
          <w:numId w:val="2"/>
        </w:numPr>
        <w:spacing w:after="80" w:line="280"/>
      </w:pPr>
      <w:hyperlink w:history="1" r:id="rIdjpejoupevmyxeinem0xxp">
        <w:r>
          <w:rPr>
            <w:rStyle w:val="Hyperlink"/>
            <w:rFonts w:ascii="Arial" w:cs="Arial" w:eastAsia="Arial" w:hAnsi="Arial"/>
            <w:color w:val="0645AD"/>
            <w:u w:val="single"/>
          </w:rPr>
          <w:t xml:space="preserve">Employment and Social Development Canada — CAS-ITE Funding Program</w:t>
        </w:r>
      </w:hyperlink>
    </w:p>
    <w:p>
      <w:pPr>
        <w:pStyle w:val="ListParagraph"/>
        <w:numPr>
          <w:ilvl w:val="0"/>
          <w:numId w:val="2"/>
        </w:numPr>
        <w:spacing w:after="80" w:line="280"/>
      </w:pPr>
      <w:hyperlink w:history="1" r:id="rIdnnxe8ada_ustlqeboqkmg">
        <w:r>
          <w:rPr>
            <w:rStyle w:val="Hyperlink"/>
            <w:rFonts w:ascii="Arial" w:cs="Arial" w:eastAsia="Arial" w:hAnsi="Arial"/>
            <w:color w:val="0645AD"/>
            <w:u w:val="single"/>
          </w:rPr>
          <w:t xml:space="preserve">IBISWorld Canada — Hand Tool &amp; Cutlery Manufacturing ($759M, 2024)</w:t>
        </w:r>
      </w:hyperlink>
    </w:p>
    <w:p>
      <w:pPr>
        <w:pStyle w:val="ListParagraph"/>
        <w:numPr>
          <w:ilvl w:val="0"/>
          <w:numId w:val="2"/>
        </w:numPr>
        <w:spacing w:after="80" w:line="280"/>
      </w:pPr>
      <w:hyperlink w:history="1" r:id="rIdasiwkqed3_-ytkd3408bd">
        <w:r>
          <w:rPr>
            <w:rStyle w:val="Hyperlink"/>
            <w:rFonts w:ascii="Arial" w:cs="Arial" w:eastAsia="Arial" w:hAnsi="Arial"/>
            <w:color w:val="0645AD"/>
            <w:u w:val="single"/>
          </w:rPr>
          <w:t xml:space="preserve">IBISWorld Canada — Hardware Stores ($3.7B, 2024)</w:t>
        </w:r>
      </w:hyperlink>
    </w:p>
    <w:p>
      <w:pPr>
        <w:pStyle w:val="ListParagraph"/>
        <w:numPr>
          <w:ilvl w:val="0"/>
          <w:numId w:val="2"/>
        </w:numPr>
        <w:spacing w:after="80" w:line="280"/>
      </w:pPr>
      <w:hyperlink w:history="1" r:id="rId9quug5mtkjdc7upoaa_k4">
        <w:r>
          <w:rPr>
            <w:rStyle w:val="Hyperlink"/>
            <w:rFonts w:ascii="Arial" w:cs="Arial" w:eastAsia="Arial" w:hAnsi="Arial"/>
            <w:color w:val="0645AD"/>
            <w:u w:val="single"/>
          </w:rPr>
          <w:t xml:space="preserve">US BLS — Millwrights OEWS (49-9044, May 2024)</w:t>
        </w:r>
      </w:hyperlink>
    </w:p>
    <w:p>
      <w:pPr>
        <w:pStyle w:val="ListParagraph"/>
        <w:numPr>
          <w:ilvl w:val="0"/>
          <w:numId w:val="2"/>
        </w:numPr>
        <w:spacing w:after="80" w:line="280"/>
      </w:pPr>
      <w:hyperlink w:history="1" r:id="rIdgsjugy1w2wthajrviuxlx">
        <w:r>
          <w:rPr>
            <w:rStyle w:val="Hyperlink"/>
            <w:rFonts w:ascii="Arial" w:cs="Arial" w:eastAsia="Arial" w:hAnsi="Arial"/>
            <w:color w:val="0645AD"/>
            <w:u w:val="single"/>
          </w:rPr>
          <w:t xml:space="preserve">US BLS — Industrial Machinery Mechanics OOH</w:t>
        </w:r>
      </w:hyperlink>
    </w:p>
    <w:p>
      <w:pPr>
        <w:pStyle w:val="ListParagraph"/>
        <w:numPr>
          <w:ilvl w:val="0"/>
          <w:numId w:val="2"/>
        </w:numPr>
        <w:spacing w:after="80" w:line="280"/>
      </w:pPr>
      <w:hyperlink w:history="1" r:id="rIdcauwn6est9mzw42twjfoo">
        <w:r>
          <w:rPr>
            <w:rStyle w:val="Hyperlink"/>
            <w:rFonts w:ascii="Arial" w:cs="Arial" w:eastAsia="Arial" w:hAnsi="Arial"/>
            <w:color w:val="0645AD"/>
            <w:u w:val="single"/>
          </w:rPr>
          <w:t xml:space="preserve">Canadian Apprenticeship Forum (CAF-FCA) — Research Reports</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BTS E-Commerce — Market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B000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ighszsff6r4lkukobriv" Type="http://schemas.openxmlformats.org/officeDocument/2006/relationships/hyperlink" Target="https://www150.statcan.gc.ca/t1/tbl1/en/tv.action?pid=3710013701" TargetMode="External"/><Relationship Id="rId7h7uowoazmcdhdgesfp45" Type="http://schemas.openxmlformats.org/officeDocument/2006/relationships/hyperlink" Target="https://open.canada.ca/data/en/dataset/d73b1535-f725-4d85-b1ee-5b2e757e6525" TargetMode="External"/><Relationship Id="rIdwz4pr4veu1gagua470rxu" Type="http://schemas.openxmlformats.org/officeDocument/2006/relationships/hyperlink" Target="https://www150.statcan.gc.ca/n1/daily-quotidien/251211/dq251211e-eng.htm" TargetMode="External"/><Relationship Id="rIdy2w_dsgkoye7wwlelwxs0" Type="http://schemas.openxmlformats.org/officeDocument/2006/relationships/hyperlink" Target="https://www150.statcan.gc.ca/t1/tbl1/en/tv.action?pid=3710013701" TargetMode="External"/><Relationship Id="rIdf2xuh-69jfkjn-pcfvkaj" Type="http://schemas.openxmlformats.org/officeDocument/2006/relationships/hyperlink" Target="https://www.skilledtradesontario.ca/wp-content/uploads/2024/09/Apprenticeship-Programs-Chart-EN-09.06.24.pdf" TargetMode="External"/><Relationship Id="rIdgqzplf2zvpjz8uahkubo0" Type="http://schemas.openxmlformats.org/officeDocument/2006/relationships/hyperlink" Target="https://electricalindustry.ca/latest-articles/apprenticeship-registrations/" TargetMode="External"/><Relationship Id="rIdft8ve5-6uo9s8mdyie07k" Type="http://schemas.openxmlformats.org/officeDocument/2006/relationships/hyperlink" Target="https://www.skilledtradesontario.ca/wp-content/uploads/2025/05/industrial-mechanic-millwright-433A_2024_en_TradeReport.html" TargetMode="External"/><Relationship Id="rIdqzzzj0g5xnh1tlr-gthvf" Type="http://schemas.openxmlformats.org/officeDocument/2006/relationships/hyperlink" Target="https://www.skilledtradesontario.ca/public-register/" TargetMode="External"/><Relationship Id="rId2kytlqfbtrszmto1ffyin" Type="http://schemas.openxmlformats.org/officeDocument/2006/relationships/hyperlink" Target="https://thoughtleadership.rbc.com/wp-content/uploads/Skilled-Trades-Report.pdf" TargetMode="External"/><Relationship Id="rId5gdvv6l9kvbis3rva9zy_" Type="http://schemas.openxmlformats.org/officeDocument/2006/relationships/hyperlink" Target="https://www.buildforce.ca/en/press-release/canadas-construction-sector-is-poised-to-grow-through-2033/" TargetMode="External"/><Relationship Id="rId6gyy44y3vr-oyukrc0lid" Type="http://schemas.openxmlformats.org/officeDocument/2006/relationships/hyperlink" Target="https://www.canada.ca/en/employment-social-development/services/funding/investments-training-equipment.html" TargetMode="External"/><Relationship Id="rIdhl1u-2dvgk8rirpam61ti" Type="http://schemas.openxmlformats.org/officeDocument/2006/relationships/hyperlink" Target="https://www.bls.gov/oes/current/oes499044.htm" TargetMode="External"/><Relationship Id="rIdqen06yj-yvo94uvyqhgb2" Type="http://schemas.openxmlformats.org/officeDocument/2006/relationships/hyperlink" Target="https://www.bls.gov/ooh/installation-maintenance-and-repair/industrial-machinery-mechanics-and-maintenance-workers-and-millwrights.htm" TargetMode="External"/><Relationship Id="rId2ady2uk1gkarynwq8u32i" Type="http://schemas.openxmlformats.org/officeDocument/2006/relationships/hyperlink" Target="https://www150.statcan.gc.ca/t1/tbl1/en/tv.action?pid=3710013701" TargetMode="External"/><Relationship Id="rIddxi1idsb7n9fqo6k2qfq1" Type="http://schemas.openxmlformats.org/officeDocument/2006/relationships/hyperlink" Target="https://open.canada.ca/data/en/dataset/d73b1535-f725-4d85-b1ee-5b2e757e6525" TargetMode="External"/><Relationship Id="rIdeuqd0vs9riopof67h2i24" Type="http://schemas.openxmlformats.org/officeDocument/2006/relationships/hyperlink" Target="https://www150.statcan.gc.ca/n1/daily-quotidien/251211/dq251211e-eng.htm" TargetMode="External"/><Relationship Id="rIdod-uubmddwgimrutrjlyc" Type="http://schemas.openxmlformats.org/officeDocument/2006/relationships/hyperlink" Target="https://www150.statcan.gc.ca/t1/tbl1/en/tv.action?pid=1410041601" TargetMode="External"/><Relationship Id="rIdqtlec_-lu5_qcyzjpiq9c" Type="http://schemas.openxmlformats.org/officeDocument/2006/relationships/hyperlink" Target="https://www.skilledtradesontario.ca/wp-content/uploads/2024/09/Apprenticeship-Programs-Chart-EN-09.06.24.pdf" TargetMode="External"/><Relationship Id="rIdmgiantqak_6llazui6geu" Type="http://schemas.openxmlformats.org/officeDocument/2006/relationships/hyperlink" Target="https://www.skilledtradesontario.ca/wp-content/uploads/2025/05/industrial-mechanic-millwright-433A_2024_en_TradeReport.html" TargetMode="External"/><Relationship Id="rIdizgj0n41pbzqmnprablqi" Type="http://schemas.openxmlformats.org/officeDocument/2006/relationships/hyperlink" Target="https://www.skilledtradesontario.ca/wp-content/uploads/2025/05/industrial-electrician-442A_2024_en_TradeReport.html" TargetMode="External"/><Relationship Id="rIdvt_ksdvu4k9kyhm9n6a-w" Type="http://schemas.openxmlformats.org/officeDocument/2006/relationships/hyperlink" Target="https://www.skilledtradesontario.ca/public-register/" TargetMode="External"/><Relationship Id="rIdri-ylt4pbh81l-cd_2jsk" Type="http://schemas.openxmlformats.org/officeDocument/2006/relationships/hyperlink" Target="https://electricalindustry.ca/latest-articles/apprenticeship-registrations/" TargetMode="External"/><Relationship Id="rId4y5yuwfsbxvomoc_dfx_q" Type="http://schemas.openxmlformats.org/officeDocument/2006/relationships/hyperlink" Target="https://thoughtleadership.rbc.com/wp-content/uploads/Skilled-Trades-Report.pdf" TargetMode="External"/><Relationship Id="rIdtc9hqtrcddn79plx12nle" Type="http://schemas.openxmlformats.org/officeDocument/2006/relationships/hyperlink" Target="https://www.buildforce.ca/en/press-release/canadas-construction-sector-is-poised-to-grow-through-2033/" TargetMode="External"/><Relationship Id="rIdjpejoupevmyxeinem0xxp" Type="http://schemas.openxmlformats.org/officeDocument/2006/relationships/hyperlink" Target="https://www.canada.ca/en/employment-social-development/services/funding/investments-training-equipment.html" TargetMode="External"/><Relationship Id="rIdnnxe8ada_ustlqeboqkmg" Type="http://schemas.openxmlformats.org/officeDocument/2006/relationships/hyperlink" Target="https://www.ibisworld.com/canada/market-size/hand-tool-cutlery-manufacturing/617/" TargetMode="External"/><Relationship Id="rIdasiwkqed3_-ytkd3408bd" Type="http://schemas.openxmlformats.org/officeDocument/2006/relationships/hyperlink" Target="https://www.ibisworld.com/canada/market-size/hardware-stores/1033/" TargetMode="External"/><Relationship Id="rId9quug5mtkjdc7upoaa_k4" Type="http://schemas.openxmlformats.org/officeDocument/2006/relationships/hyperlink" Target="https://www.bls.gov/oes/current/oes499044.htm" TargetMode="External"/><Relationship Id="rIdgsjugy1w2wthajrviuxlx" Type="http://schemas.openxmlformats.org/officeDocument/2006/relationships/hyperlink" Target="https://www.bls.gov/ooh/installation-maintenance-and-repair/industrial-machinery-mechanics-and-maintenance-workers-and-millwrights.htm" TargetMode="External"/><Relationship Id="rIdcauwn6est9mzw42twjfoo" Type="http://schemas.openxmlformats.org/officeDocument/2006/relationships/hyperlink" Target="https://caf-fca.org/wp-content/uploads/2024/05/2024-04-UTIP-report-EN.pdf" TargetMode="External"/><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BTS E-Commerce — Market Assessment v2</dc:title>
  <dc:creator>Russell Cole</dc:creator>
  <cp:lastModifiedBy>Un-named</cp:lastModifiedBy>
  <cp:revision>1</cp:revision>
  <dcterms:created xsi:type="dcterms:W3CDTF">2026-04-12T15:03:46.166Z</dcterms:created>
  <dcterms:modified xsi:type="dcterms:W3CDTF">2026-04-12T15:03:46.169Z</dcterms:modified>
</cp:coreProperties>
</file>

<file path=docProps/custom.xml><?xml version="1.0" encoding="utf-8"?>
<Properties xmlns="http://schemas.openxmlformats.org/officeDocument/2006/custom-properties" xmlns:vt="http://schemas.openxmlformats.org/officeDocument/2006/docPropsVTypes"/>
</file>