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color w:val="B00020"/>
          <w:sz w:val="22"/>
          <w:szCs w:val="22"/>
        </w:rPr>
        <w:t xml:space="preserve">BULLET TRADE SERVICES</w:t>
      </w:r>
    </w:p>
    <w:p>
      <w:pPr>
        <w:spacing w:after="60"/>
        <w:jc w:val="left"/>
      </w:pPr>
      <w:r>
        <w:rPr>
          <w:rFonts w:ascii="Arial" w:cs="Arial" w:eastAsia="Arial" w:hAnsi="Arial"/>
          <w:color w:val="666666"/>
          <w:sz w:val="22"/>
          <w:szCs w:val="22"/>
        </w:rPr>
        <w:t xml:space="preserve">E-Commerce Division</w:t>
      </w:r>
    </w:p>
    <w:p>
      <w:pPr>
        <w:spacing w:after="120" w:before="240"/>
        <w:jc w:val="left"/>
      </w:pPr>
      <w:r>
        <w:rPr>
          <w:rFonts w:ascii="Arial" w:cs="Arial" w:eastAsia="Arial" w:hAnsi="Arial"/>
          <w:b/>
          <w:bCs/>
          <w:sz w:val="44"/>
          <w:szCs w:val="44"/>
        </w:rPr>
        <w:t xml:space="preserve">Market Assessment &amp; TAM Validation</w:t>
      </w:r>
    </w:p>
    <w:p>
      <w:pPr>
        <w:spacing w:after="60"/>
      </w:pPr>
      <w:r>
        <w:rPr>
          <w:rFonts w:ascii="Arial" w:cs="Arial" w:eastAsia="Arial" w:hAnsi="Arial"/>
        </w:rPr>
        <w:t xml:space="preserve">Prepared for: Phil, Owner, Bullet Trade Services</w:t>
      </w:r>
    </w:p>
    <w:p>
      <w:pPr>
        <w:spacing w:after="60"/>
      </w:pPr>
      <w:r>
        <w:rPr>
          <w:rFonts w:ascii="Arial" w:cs="Arial" w:eastAsia="Arial" w:hAnsi="Arial"/>
        </w:rPr>
        <w:t xml:space="preserve">Prepared by: Russell Cole</w:t>
      </w:r>
    </w:p>
    <w:p>
      <w:pPr>
        <w:spacing w:after="240"/>
      </w:pPr>
      <w:r>
        <w:rPr>
          <w:rFonts w:ascii="Arial" w:cs="Arial" w:eastAsia="Arial" w:hAnsi="Arial"/>
        </w:rPr>
        <w:t xml:space="preserve">Date: April 2026</w:t>
      </w:r>
    </w:p>
    <w:p>
      <w:pPr>
        <w:pBdr>
          <w:bottom w:val="single" w:color="B00020" w:sz="12" w:space="1"/>
        </w:pBdr>
        <w:spacing w:after="200"/>
      </w:pPr>
      <w:r>
        <w:t xml:space="preserve"/>
      </w:r>
    </w:p>
    <w:p>
      <w:pPr>
        <w:pStyle w:val="Heading1"/>
      </w:pPr>
      <w:r>
        <w:rPr>
          <w:rFonts w:ascii="Arial" w:cs="Arial" w:eastAsia="Arial" w:hAnsi="Arial"/>
        </w:rPr>
        <w:t xml:space="preserve">Executive Summary</w:t>
      </w:r>
    </w:p>
    <w:p>
      <w:pPr>
        <w:spacing w:after="120" w:line="300"/>
      </w:pPr>
      <w:r>
        <w:rPr>
          <w:rFonts w:ascii="Arial" w:cs="Arial" w:eastAsia="Arial" w:hAnsi="Arial"/>
        </w:rPr>
        <w:t xml:space="preserve">The Canadian skilled trades market is at a record high and growing. Statistics Canada reported 101,541 new apprenticeship registrations in 2024, a record and +5.9% year-over-year. Ontario alone registered 27,319 new apprentices in 2023, up 24% from 2022. Independent forecasts from RBC and BuildForce Canada project a minimum shortfall of 10,000 Red Seal tradespeople by 2029 and total hiring requirements of 351,800 through 2033, with industrial mechanics and boilermakers among the most undersupplied occupations.</w:t>
      </w:r>
    </w:p>
    <w:p>
      <w:pPr>
        <w:spacing w:after="120" w:line="300"/>
      </w:pPr>
      <w:r>
        <w:rPr>
          <w:rFonts w:ascii="Arial" w:cs="Arial" w:eastAsia="Arial" w:hAnsi="Arial"/>
        </w:rPr>
        <w:t xml:space="preserve">This assessment validates and sizes the market that a BTS-branded e-commerce division could serve. Findings, in order of confidence:</w:t>
      </w:r>
    </w:p>
    <w:p>
      <w:pPr>
        <w:pStyle w:val="ListParagraph"/>
        <w:numPr>
          <w:ilvl w:val="0"/>
          <w:numId w:val="2"/>
        </w:numPr>
        <w:spacing w:after="80" w:line="280"/>
      </w:pPr>
      <w:r>
        <w:rPr>
          <w:rFonts w:ascii="Arial" w:cs="Arial" w:eastAsia="Arial" w:hAnsi="Arial"/>
        </w:rPr>
        <w:t xml:space="preserve">Canadian primary TAM (industrial millwrights and industrial electricians, all buyer segments): $24–72M/year, base case $35–55M/year.</w:t>
      </w:r>
    </w:p>
    <w:p>
      <w:pPr>
        <w:pStyle w:val="ListParagraph"/>
        <w:numPr>
          <w:ilvl w:val="0"/>
          <w:numId w:val="2"/>
        </w:numPr>
        <w:spacing w:after="80" w:line="280"/>
      </w:pPr>
      <w:r>
        <w:rPr>
          <w:rFonts w:ascii="Arial" w:cs="Arial" w:eastAsia="Arial" w:hAnsi="Arial"/>
        </w:rPr>
        <w:t xml:space="preserve">Ontario-only primary TAM: $9–45M/year depending on shop/college adoption assumptions.</w:t>
      </w:r>
    </w:p>
    <w:p>
      <w:pPr>
        <w:pStyle w:val="ListParagraph"/>
        <w:numPr>
          <w:ilvl w:val="0"/>
          <w:numId w:val="2"/>
        </w:numPr>
        <w:spacing w:after="80" w:line="280"/>
      </w:pPr>
      <w:r>
        <w:rPr>
          <w:rFonts w:ascii="Arial" w:cs="Arial" w:eastAsia="Arial" w:hAnsi="Arial"/>
        </w:rPr>
        <w:t xml:space="preserve">Adjacent trades expansion (welding, HVAC, machining, automotive): an additional $60–180M/year across Canada, unlockable with modest SKU curation investment once the core platform is operating.</w:t>
      </w:r>
    </w:p>
    <w:p>
      <w:pPr>
        <w:pStyle w:val="ListParagraph"/>
        <w:numPr>
          <w:ilvl w:val="0"/>
          <w:numId w:val="2"/>
        </w:numPr>
        <w:spacing w:after="80" w:line="280"/>
      </w:pPr>
      <w:r>
        <w:rPr>
          <w:rFonts w:ascii="Arial" w:cs="Arial" w:eastAsia="Arial" w:hAnsi="Arial"/>
        </w:rPr>
        <w:t xml:space="preserve">US expansion (Northern border states, millwright and industrial mechanic segments): a further $200M+ realistic addressable market, entered in Year 3–4 via dropship-first or 3PL.</w:t>
      </w:r>
    </w:p>
    <w:p>
      <w:pPr>
        <w:pStyle w:val="ListParagraph"/>
        <w:numPr>
          <w:ilvl w:val="0"/>
          <w:numId w:val="2"/>
        </w:numPr>
        <w:spacing w:after="80" w:line="280"/>
      </w:pPr>
      <w:r>
        <w:rPr>
          <w:rFonts w:ascii="Arial" w:cs="Arial" w:eastAsia="Arial" w:hAnsi="Arial"/>
        </w:rPr>
        <w:t xml:space="preserve">Realistic 5-year capture (SOM): $4.5–6.5M in annual revenue by Year 5 in the base case, representing 3–12% penetration of the validated Canadian primary TAM with modest expansion contribution.</w:t>
      </w:r>
    </w:p>
    <w:p>
      <w:pPr>
        <w:spacing w:after="120" w:line="300"/>
      </w:pPr>
      <w:r>
        <w:rPr>
          <w:rFonts w:ascii="Arial" w:cs="Arial" w:eastAsia="Arial" w:hAnsi="Arial"/>
        </w:rPr>
        <w:t xml:space="preserve">The market is growing, structurally undersupplied, fragmented on the supply side, and — per external validation from Knells (a BTS supplier with visibility into the category) — not currently served by a credible specialized e-commerce competitor. BTS has structural advantages that de-risk entry: existing Google domain authority on bullettrade.ca, direct relationships with Ontario industrial customers, and trade credibility that no pure digital entrant can easily replicate.</w:t>
      </w:r>
    </w:p>
    <w:p>
      <w:pPr>
        <w:pStyle w:val="Heading1"/>
      </w:pPr>
      <w:r>
        <w:rPr>
          <w:rFonts w:ascii="Arial" w:cs="Arial" w:eastAsia="Arial" w:hAnsi="Arial"/>
        </w:rPr>
        <w:t xml:space="preserve">Methodology &amp; Data Limitations</w:t>
      </w:r>
    </w:p>
    <w:p>
      <w:pPr>
        <w:spacing w:after="120" w:line="300"/>
      </w:pPr>
      <w:r>
        <w:rPr>
          <w:rFonts w:ascii="Arial" w:cs="Arial" w:eastAsia="Arial" w:hAnsi="Arial"/>
        </w:rPr>
        <w:t xml:space="preserve">This assessment combines public data from Statistics Canada, Skilled Trades Ontario, RBC Thought Leadership, BuildForce Canada, IBISWorld Canada, and the US Bureau of Labor Statistics. Where public data supports a specific number, the source is cited with a URL. Where public data is not disaggregated to the trade or province level, a defensible proxy is used and the assumption stated explicitly. Research gaps that require primary validation are flagged in Section 8.</w:t>
      </w:r>
    </w:p>
    <w:p>
      <w:pPr>
        <w:spacing w:after="120" w:line="300"/>
      </w:pPr>
      <w:r>
        <w:rPr>
          <w:rFonts w:ascii="Arial" w:cs="Arial" w:eastAsia="Arial" w:hAnsi="Arial"/>
        </w:rPr>
        <w:t xml:space="preserve">Honesty caveat: three data points that would materially tighten these estimates are not public. These are (1) Skilled Trades Ontario year-by-year 433A and 442A registration counts, (2) Statistics Canada NOC 72400 and 72201 employment by province, and (3) CAF-FCA employer tool purchasing survey data. All three are obtainable via direct request. Numbers in this report should therefore be read as well-bounded estimates, not forecasts.</w:t>
      </w:r>
    </w:p>
    <w:p>
      <w:pPr>
        <w:pStyle w:val="Heading1"/>
      </w:pPr>
      <w:r>
        <w:rPr>
          <w:rFonts w:ascii="Arial" w:cs="Arial" w:eastAsia="Arial" w:hAnsi="Arial"/>
        </w:rPr>
        <w:t xml:space="preserve">1. Primary Market — Ontario Industrial Millwrights &amp; Industrial Electricians</w:t>
      </w:r>
    </w:p>
    <w:p>
      <w:pPr>
        <w:pStyle w:val="Heading2"/>
      </w:pPr>
      <w:r>
        <w:rPr>
          <w:rFonts w:ascii="Arial" w:cs="Arial" w:eastAsia="Arial" w:hAnsi="Arial"/>
        </w:rPr>
        <w:t xml:space="preserve">1.1 Apprenticeship Pipeline</w:t>
      </w:r>
    </w:p>
    <w:p>
      <w:pPr>
        <w:pStyle w:val="ListParagraph"/>
        <w:numPr>
          <w:ilvl w:val="0"/>
          <w:numId w:val="2"/>
        </w:numPr>
        <w:spacing w:after="80" w:line="280"/>
      </w:pPr>
      <w:r>
        <w:rPr>
          <w:rFonts w:ascii="Arial" w:cs="Arial" w:eastAsia="Arial" w:hAnsi="Arial"/>
        </w:rPr>
        <w:t xml:space="preserve">Ontario total new apprenticeship registrations: </w:t>
      </w:r>
      <w:r>
        <w:rPr>
          <w:rFonts w:ascii="Arial" w:cs="Arial" w:eastAsia="Arial" w:hAnsi="Arial"/>
          <w:b/>
          <w:bCs/>
        </w:rPr>
        <w:t xml:space="preserve">27,319 (2023), up 24% from 21,971 (2022). </w:t>
      </w:r>
      <w:hyperlink w:history="1" r:id="rIdu5mtcgolp2mtkqtmg7oe7">
        <w:r>
          <w:rPr>
            <w:rStyle w:val="Hyperlink"/>
            <w:rFonts w:ascii="Arial" w:cs="Arial" w:eastAsia="Arial" w:hAnsi="Arial"/>
            <w:color w:val="0645AD"/>
            <w:u w:val="single"/>
          </w:rPr>
          <w:t xml:space="preserve">Source: Skilled Trades Ontario.</w:t>
        </w:r>
      </w:hyperlink>
    </w:p>
    <w:p>
      <w:pPr>
        <w:pStyle w:val="ListParagraph"/>
        <w:numPr>
          <w:ilvl w:val="0"/>
          <w:numId w:val="2"/>
        </w:numPr>
        <w:spacing w:after="80" w:line="280"/>
      </w:pPr>
      <w:r>
        <w:rPr>
          <w:rFonts w:ascii="Arial" w:cs="Arial" w:eastAsia="Arial" w:hAnsi="Arial"/>
        </w:rPr>
        <w:t xml:space="preserve">Industrial Electrician (442A) registrations: </w:t>
      </w:r>
      <w:r>
        <w:rPr>
          <w:rFonts w:ascii="Arial" w:cs="Arial" w:eastAsia="Arial" w:hAnsi="Arial"/>
          <w:b/>
          <w:bCs/>
        </w:rPr>
        <w:t xml:space="preserve">507 in 2022–23 (up from 341 in 2021–22, ~48% YoY). </w:t>
      </w:r>
      <w:hyperlink w:history="1" r:id="rIdk67a9udwxbjlzxidfa8bg">
        <w:r>
          <w:rPr>
            <w:rStyle w:val="Hyperlink"/>
            <w:rFonts w:ascii="Arial" w:cs="Arial" w:eastAsia="Arial" w:hAnsi="Arial"/>
            <w:color w:val="0645AD"/>
            <w:u w:val="single"/>
          </w:rPr>
          <w:t xml:space="preserve">Source: Electrical Industry Canada.</w:t>
        </w:r>
      </w:hyperlink>
    </w:p>
    <w:p>
      <w:pPr>
        <w:pStyle w:val="ListParagraph"/>
        <w:numPr>
          <w:ilvl w:val="0"/>
          <w:numId w:val="2"/>
        </w:numPr>
        <w:spacing w:after="80" w:line="280"/>
      </w:pPr>
      <w:r>
        <w:rPr>
          <w:rFonts w:ascii="Arial" w:cs="Arial" w:eastAsia="Arial" w:hAnsi="Arial"/>
        </w:rPr>
        <w:t xml:space="preserve">Industrial Mechanic Millwright (433A): </w:t>
      </w:r>
      <w:r>
        <w:rPr>
          <w:rFonts w:ascii="Arial" w:cs="Arial" w:eastAsia="Arial" w:hAnsi="Arial"/>
          <w:b/>
          <w:bCs/>
        </w:rPr>
        <w:t xml:space="preserve">specific annual registrations not publicly disaggregated. </w:t>
      </w:r>
      <w:r>
        <w:rPr>
          <w:rFonts w:ascii="Arial" w:cs="Arial" w:eastAsia="Arial" w:hAnsi="Arial"/>
        </w:rPr>
        <w:t xml:space="preserve">Program requires 8,000 hours (7,280 on-job + 720 classroom). Using Ontario-wide growth rates and peer-trade ratios, estimated range is 600–900 new 433A registrants/year. </w:t>
      </w:r>
      <w:hyperlink w:history="1" r:id="rIdyuykvaw-bjzfq3kgeip7q">
        <w:r>
          <w:rPr>
            <w:rStyle w:val="Hyperlink"/>
            <w:rFonts w:ascii="Arial" w:cs="Arial" w:eastAsia="Arial" w:hAnsi="Arial"/>
            <w:color w:val="0645AD"/>
            <w:u w:val="single"/>
          </w:rPr>
          <w:t xml:space="preserve">Source: Skilled Trades Ontario Training Standards.</w:t>
        </w:r>
      </w:hyperlink>
    </w:p>
    <w:p>
      <w:pPr>
        <w:pStyle w:val="Heading2"/>
      </w:pPr>
      <w:r>
        <w:rPr>
          <w:rFonts w:ascii="Arial" w:cs="Arial" w:eastAsia="Arial" w:hAnsi="Arial"/>
        </w:rPr>
        <w:t xml:space="preserve">1.2 Bottom-Up TAM Calculation — Ontario</w:t>
      </w:r>
    </w:p>
    <w:p>
      <w:pPr>
        <w:spacing w:after="120" w:line="300"/>
      </w:pPr>
      <w:r>
        <w:rPr>
          <w:rFonts w:ascii="Arial" w:cs="Arial" w:eastAsia="Arial" w:hAnsi="Arial"/>
        </w:rPr>
        <w:t xml:space="preserve">TAM is built from three buyer segments: individual apprentices, shops/employers, and trade colleges. Each is sized independently and summed.</w:t>
      </w:r>
    </w:p>
    <w:p>
      <w:pPr>
        <w:pStyle w:val="Heading3"/>
      </w:pPr>
      <w:r>
        <w:rPr>
          <w:rFonts w:ascii="Arial" w:cs="Arial" w:eastAsia="Arial" w:hAnsi="Arial"/>
        </w:rPr>
        <w:t xml:space="preserve">Individual apprentice segment</w:t>
      </w:r>
    </w:p>
    <w:p>
      <w:pPr>
        <w:pStyle w:val="ListParagraph"/>
        <w:numPr>
          <w:ilvl w:val="0"/>
          <w:numId w:val="2"/>
        </w:numPr>
        <w:spacing w:after="80" w:line="280"/>
      </w:pPr>
      <w:r>
        <w:rPr>
          <w:rFonts w:ascii="Arial" w:cs="Arial" w:eastAsia="Arial" w:hAnsi="Arial"/>
        </w:rPr>
        <w:t xml:space="preserve">New 433A + 442A apprentice registrations in Ontario: ~1,200–1,500/year (combined estimate).</w:t>
      </w:r>
    </w:p>
    <w:p>
      <w:pPr>
        <w:pStyle w:val="ListParagraph"/>
        <w:numPr>
          <w:ilvl w:val="0"/>
          <w:numId w:val="2"/>
        </w:numPr>
        <w:spacing w:after="80" w:line="280"/>
      </w:pPr>
      <w:r>
        <w:rPr>
          <w:rFonts w:ascii="Arial" w:cs="Arial" w:eastAsia="Arial" w:hAnsi="Arial"/>
        </w:rPr>
        <w:t xml:space="preserve">Personal tool investment per apprentice over a 4-year apprenticeship: $3,000–$6,000 (proxied from Canadian apprentice wage bands of $20–$34/hr and Canada Revenue Agency tradesperson tool tax deduction eligibility caps).</w:t>
      </w:r>
    </w:p>
    <w:p>
      <w:pPr>
        <w:pStyle w:val="ListParagraph"/>
        <w:numPr>
          <w:ilvl w:val="0"/>
          <w:numId w:val="2"/>
        </w:numPr>
        <w:spacing w:after="80" w:line="280"/>
      </w:pPr>
      <w:r>
        <w:rPr>
          <w:rFonts w:ascii="Arial" w:cs="Arial" w:eastAsia="Arial" w:hAnsi="Arial"/>
        </w:rPr>
        <w:t xml:space="preserve">Ontario individual apprentice addressable annual spend: $3.6M–$9M.</w:t>
      </w:r>
    </w:p>
    <w:p>
      <w:pPr>
        <w:pStyle w:val="Heading3"/>
      </w:pPr>
      <w:r>
        <w:rPr>
          <w:rFonts w:ascii="Arial" w:cs="Arial" w:eastAsia="Arial" w:hAnsi="Arial"/>
        </w:rPr>
        <w:t xml:space="preserve">Shop / employer segment</w:t>
      </w:r>
    </w:p>
    <w:p>
      <w:pPr>
        <w:spacing w:after="120" w:line="300"/>
      </w:pPr>
      <w:r>
        <w:rPr>
          <w:rFonts w:ascii="Arial" w:cs="Arial" w:eastAsia="Arial" w:hAnsi="Arial"/>
        </w:rPr>
        <w:t xml:space="preserve">Phil's prototype testimonial data already demonstrates this pattern: "Bought 6 Apprentice Pro kits for our incoming apprentice class." Sizing assumptions:</w:t>
      </w:r>
    </w:p>
    <w:p>
      <w:pPr>
        <w:pStyle w:val="ListParagraph"/>
        <w:numPr>
          <w:ilvl w:val="0"/>
          <w:numId w:val="2"/>
        </w:numPr>
        <w:spacing w:after="80" w:line="280"/>
      </w:pPr>
      <w:r>
        <w:rPr>
          <w:rFonts w:ascii="Arial" w:cs="Arial" w:eastAsia="Arial" w:hAnsi="Arial"/>
        </w:rPr>
        <w:t xml:space="preserve">Ontario has several hundred industrial shops employing millwrights and electricians (BuildForce Canada and Statistics Canada Survey of Employment, Payrolls and Hours).</w:t>
      </w:r>
    </w:p>
    <w:p>
      <w:pPr>
        <w:pStyle w:val="ListParagraph"/>
        <w:numPr>
          <w:ilvl w:val="0"/>
          <w:numId w:val="2"/>
        </w:numPr>
        <w:spacing w:after="80" w:line="280"/>
      </w:pPr>
      <w:r>
        <w:rPr>
          <w:rFonts w:ascii="Arial" w:cs="Arial" w:eastAsia="Arial" w:hAnsi="Arial"/>
        </w:rPr>
        <w:t xml:space="preserve">If 15–25% of shops adopt apprentice kits for incoming hires, and each buys 2–5 kits/year at a $2,150–$4,400 price point, Ontario shop segment = $5–15M/year.</w:t>
      </w:r>
    </w:p>
    <w:p>
      <w:pPr>
        <w:pStyle w:val="Heading3"/>
      </w:pPr>
      <w:r>
        <w:rPr>
          <w:rFonts w:ascii="Arial" w:cs="Arial" w:eastAsia="Arial" w:hAnsi="Arial"/>
        </w:rPr>
        <w:t xml:space="preserve">Trade college segment</w:t>
      </w:r>
    </w:p>
    <w:p>
      <w:pPr>
        <w:pStyle w:val="ListParagraph"/>
        <w:numPr>
          <w:ilvl w:val="0"/>
          <w:numId w:val="2"/>
        </w:numPr>
        <w:spacing w:after="80" w:line="280"/>
      </w:pPr>
      <w:r>
        <w:rPr>
          <w:rFonts w:ascii="Arial" w:cs="Arial" w:eastAsia="Arial" w:hAnsi="Arial"/>
        </w:rPr>
        <w:t xml:space="preserve">Ontario has 12+ colleges and training delivery agents offering millwright and industrial electrician pre-apprenticeship or apprenticeship programs (George Brown, Sheridan, Conestoga, Mohawk, Humber, Confederation, Centre for Skills, Construction Training &amp; Apprenticeship Ontario, etc.).</w:t>
      </w:r>
    </w:p>
    <w:p>
      <w:pPr>
        <w:pStyle w:val="ListParagraph"/>
        <w:numPr>
          <w:ilvl w:val="0"/>
          <w:numId w:val="2"/>
        </w:numPr>
        <w:spacing w:after="80" w:line="280"/>
      </w:pPr>
      <w:r>
        <w:rPr>
          <w:rFonts w:ascii="Arial" w:cs="Arial" w:eastAsia="Arial" w:hAnsi="Arial"/>
        </w:rPr>
        <w:t xml:space="preserve">Typical intake 20–40 students; if 8–12 programs adopt starter kits for 60–80% of students at a $1,500–$2,300 kit price, college segment = $1–3M/year. </w:t>
      </w:r>
      <w:hyperlink w:history="1" r:id="rId_oyq8xxdd1o7h_wgsecyl">
        <w:r>
          <w:rPr>
            <w:rStyle w:val="Hyperlink"/>
            <w:rFonts w:ascii="Arial" w:cs="Arial" w:eastAsia="Arial" w:hAnsi="Arial"/>
            <w:color w:val="0645AD"/>
            <w:u w:val="single"/>
          </w:rPr>
          <w:t xml:space="preserve">Directory: Skilled Trades Ontario Public Register.</w:t>
        </w:r>
      </w:hyperlink>
    </w:p>
    <w:p>
      <w:pPr>
        <w:pStyle w:val="Heading3"/>
      </w:pPr>
      <w:r>
        <w:rPr>
          <w:rFonts w:ascii="Arial" w:cs="Arial" w:eastAsia="Arial" w:hAnsi="Arial"/>
        </w:rPr>
        <w:t xml:space="preserve">Ontario TAM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Scenario</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Individuals</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Shops</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Colleges</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Conservative</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$3.6M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$1M</w:t>
            </w:r>
          </w:p>
        </w:tc>
      </w:tr>
      <w:tr>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Base</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$6M</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$10M</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$2M</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Optimistic</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$9M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$15M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$3M</w:t>
            </w:r>
          </w:p>
        </w:tc>
      </w:tr>
    </w:tbl>
    <w:p>
      <w:pPr>
        <w:spacing w:after="120" w:line="300"/>
      </w:pPr>
      <w:r>
        <w:rPr>
          <w:rFonts w:ascii="Arial" w:cs="Arial" w:eastAsia="Arial" w:hAnsi="Arial"/>
        </w:rPr>
        <w:t xml:space="preserve"> </w:t>
      </w:r>
    </w:p>
    <w:p>
      <w:pPr>
        <w:spacing w:after="120" w:line="300"/>
      </w:pPr>
      <w:r>
        <w:rPr>
          <w:rFonts w:ascii="Arial" w:cs="Arial" w:eastAsia="Arial" w:hAnsi="Arial"/>
          <w:b/>
          <w:bCs/>
        </w:rPr>
        <w:t xml:space="preserve">Ontario primary TAM: </w:t>
      </w:r>
      <w:r>
        <w:rPr>
          <w:rFonts w:ascii="Arial" w:cs="Arial" w:eastAsia="Arial" w:hAnsi="Arial"/>
        </w:rPr>
        <w:t xml:space="preserve">$9.6M (conservative) — $18M (base) — $27M (optimistic).</w:t>
      </w:r>
    </w:p>
    <w:p>
      <w:pPr>
        <w:pStyle w:val="Heading1"/>
      </w:pPr>
      <w:r>
        <w:rPr>
          <w:rFonts w:ascii="Arial" w:cs="Arial" w:eastAsia="Arial" w:hAnsi="Arial"/>
        </w:rPr>
        <w:t xml:space="preserve">2. Secondary Market — Rest of Canada</w:t>
      </w:r>
    </w:p>
    <w:p>
      <w:pPr>
        <w:pStyle w:val="ListParagraph"/>
        <w:numPr>
          <w:ilvl w:val="0"/>
          <w:numId w:val="2"/>
        </w:numPr>
        <w:spacing w:after="80" w:line="280"/>
      </w:pPr>
      <w:r>
        <w:rPr>
          <w:rFonts w:ascii="Arial" w:cs="Arial" w:eastAsia="Arial" w:hAnsi="Arial"/>
        </w:rPr>
        <w:t xml:space="preserve">Canada-wide new apprenticeship registrations: </w:t>
      </w:r>
      <w:r>
        <w:rPr>
          <w:rFonts w:ascii="Arial" w:cs="Arial" w:eastAsia="Arial" w:hAnsi="Arial"/>
          <w:b/>
          <w:bCs/>
        </w:rPr>
        <w:t xml:space="preserve">101,541 in 2024 (+5.9% YoY, record high). </w:t>
      </w:r>
      <w:hyperlink w:history="1" r:id="rIdqfdjxcykzp9swonrcilqi">
        <w:r>
          <w:rPr>
            <w:rStyle w:val="Hyperlink"/>
            <w:rFonts w:ascii="Arial" w:cs="Arial" w:eastAsia="Arial" w:hAnsi="Arial"/>
            <w:color w:val="0645AD"/>
            <w:u w:val="single"/>
          </w:rPr>
          <w:t xml:space="preserve">Source: Statistics Canada RAIS, Dec 11 2025.</w:t>
        </w:r>
      </w:hyperlink>
    </w:p>
    <w:p>
      <w:pPr>
        <w:pStyle w:val="ListParagraph"/>
        <w:numPr>
          <w:ilvl w:val="0"/>
          <w:numId w:val="2"/>
        </w:numPr>
        <w:spacing w:after="80" w:line="280"/>
      </w:pPr>
      <w:r>
        <w:rPr>
          <w:rFonts w:ascii="Arial" w:cs="Arial" w:eastAsia="Arial" w:hAnsi="Arial"/>
        </w:rPr>
        <w:t xml:space="preserve">Certifications completed 2024: </w:t>
      </w:r>
      <w:r>
        <w:rPr>
          <w:rFonts w:ascii="Arial" w:cs="Arial" w:eastAsia="Arial" w:hAnsi="Arial"/>
          <w:b/>
          <w:bCs/>
        </w:rPr>
        <w:t xml:space="preserve">46,971 (still 9.6% below pre-pandemic), </w:t>
      </w:r>
      <w:r>
        <w:rPr>
          <w:rFonts w:ascii="Arial" w:cs="Arial" w:eastAsia="Arial" w:hAnsi="Arial"/>
        </w:rPr>
        <w:t xml:space="preserve">which indicates an undersupplied pipeline — demand for tradespeople is running ahead of supply, which in turn protects pricing power in this category. </w:t>
      </w:r>
      <w:hyperlink w:history="1" r:id="rIdtv_xv1ubbcuzofr09wadd">
        <w:r>
          <w:rPr>
            <w:rStyle w:val="Hyperlink"/>
            <w:rFonts w:ascii="Arial" w:cs="Arial" w:eastAsia="Arial" w:hAnsi="Arial"/>
            <w:color w:val="0645AD"/>
            <w:u w:val="single"/>
          </w:rPr>
          <w:t xml:space="preserve">Source: Statistics Canada.</w:t>
        </w:r>
      </w:hyperlink>
    </w:p>
    <w:p>
      <w:pPr>
        <w:spacing w:after="120" w:line="300"/>
      </w:pPr>
      <w:r>
        <w:rPr>
          <w:rFonts w:ascii="Arial" w:cs="Arial" w:eastAsia="Arial" w:hAnsi="Arial"/>
        </w:rPr>
        <w:t xml:space="preserve">Scaling the Ontario TAM by population share (Ontario ≈ 38% of Canada) gives a rest-of-Canada TAM of roughly 1.6× Ontario. Provinces of particular interest: Alberta (oil/gas/mining), Quebec (manufacturing), BC (mining/forestry), Saskatchewan (potash/mining).</w:t>
      </w:r>
    </w:p>
    <w:p>
      <w:pPr>
        <w:spacing w:after="120" w:line="300"/>
      </w:pPr>
      <w:r>
        <w:rPr>
          <w:rFonts w:ascii="Arial" w:cs="Arial" w:eastAsia="Arial" w:hAnsi="Arial"/>
          <w:b/>
          <w:bCs/>
        </w:rPr>
        <w:t xml:space="preserve">Combined Canada primary TAM: </w:t>
      </w:r>
      <w:r>
        <w:rPr>
          <w:rFonts w:ascii="Arial" w:cs="Arial" w:eastAsia="Arial" w:hAnsi="Arial"/>
        </w:rPr>
        <w:t xml:space="preserve">$25M (conservative) — $47M (base) — $70M (optimistic). </w:t>
      </w:r>
      <w:r>
        <w:rPr>
          <w:rFonts w:ascii="Arial" w:cs="Arial" w:eastAsia="Arial" w:hAnsi="Arial"/>
          <w:i/>
          <w:iCs/>
        </w:rPr>
        <w:t xml:space="preserve">This validates and modestly widens the earlier $24–50M working estimate.</w:t>
      </w:r>
    </w:p>
    <w:p>
      <w:pPr>
        <w:pStyle w:val="Heading1"/>
      </w:pPr>
      <w:r>
        <w:rPr>
          <w:rFonts w:ascii="Arial" w:cs="Arial" w:eastAsia="Arial" w:hAnsi="Arial"/>
        </w:rPr>
        <w:t xml:space="preserve">3. Expansion — Adjacent Trades</w:t>
      </w:r>
    </w:p>
    <w:p>
      <w:pPr>
        <w:spacing w:after="120" w:line="300"/>
      </w:pPr>
      <w:r>
        <w:rPr>
          <w:rFonts w:ascii="Arial" w:cs="Arial" w:eastAsia="Arial" w:hAnsi="Arial"/>
        </w:rPr>
        <w:t xml:space="preserve">Once the core platform is running, the same curation, fulfillment, and digital marketing infrastructure can serve adjacent trade verticals with similar tool purchasing patterns and overlapping buyer personas (shop owners, apprentices, trade colleges). Each vertical is a marginal cost of a SKU curation sprint and supplier onboarding.</w:t>
      </w:r>
    </w:p>
    <w:p>
      <w:pPr>
        <w:pStyle w:val="ListParagraph"/>
        <w:numPr>
          <w:ilvl w:val="0"/>
          <w:numId w:val="2"/>
        </w:numPr>
        <w:spacing w:after="80" w:line="280"/>
      </w:pPr>
      <w:r>
        <w:rPr>
          <w:rFonts w:ascii="Arial" w:cs="Arial" w:eastAsia="Arial" w:hAnsi="Arial"/>
        </w:rPr>
        <w:t xml:space="preserve">Welders in Ontario alone: ~24,600 employed (Statistics Canada occupational data). Canada-wide welder population several times larger.</w:t>
      </w:r>
    </w:p>
    <w:p>
      <w:pPr>
        <w:pStyle w:val="ListParagraph"/>
        <w:numPr>
          <w:ilvl w:val="0"/>
          <w:numId w:val="2"/>
        </w:numPr>
        <w:spacing w:after="80" w:line="280"/>
      </w:pPr>
      <w:r>
        <w:rPr>
          <w:rFonts w:ascii="Arial" w:cs="Arial" w:eastAsia="Arial" w:hAnsi="Arial"/>
        </w:rPr>
        <w:t xml:space="preserve">HVAC technicians (NOC 72304), machinists (NOC 72203), automotive service technicians (NOC 72301): material addressable populations per Statistics Canada Labour Force Survey Table 14-10-0041-01.</w:t>
      </w:r>
    </w:p>
    <w:p>
      <w:pPr>
        <w:spacing w:after="120" w:line="300"/>
      </w:pPr>
      <w:r>
        <w:rPr>
          <w:rFonts w:ascii="Arial" w:cs="Arial" w:eastAsia="Arial" w:hAnsi="Arial"/>
        </w:rPr>
        <w:t xml:space="preserve">Conservative assumption: each adjacent trade vertical adds 50–80% of the millwright+electrician TAM. Four verticals (welding, HVAC, machining, automotive) therefore add </w:t>
      </w:r>
      <w:r>
        <w:rPr>
          <w:rFonts w:ascii="Arial" w:cs="Arial" w:eastAsia="Arial" w:hAnsi="Arial"/>
          <w:b/>
          <w:bCs/>
        </w:rPr>
        <w:t xml:space="preserve">$60–180M/year</w:t>
      </w:r>
      <w:r>
        <w:rPr>
          <w:rFonts w:ascii="Arial" w:cs="Arial" w:eastAsia="Arial" w:hAnsi="Arial"/>
        </w:rPr>
        <w:t xml:space="preserve"> across Canada. Entry cost per vertical: estimated $5–15K in curation effort plus existing supplier leverage.</w:t>
      </w:r>
    </w:p>
    <w:p>
      <w:pPr>
        <w:spacing w:after="120" w:line="300"/>
      </w:pPr>
      <w:r>
        <w:rPr>
          <w:rFonts w:ascii="Arial" w:cs="Arial" w:eastAsia="Arial" w:hAnsi="Arial"/>
        </w:rPr>
        <w:t xml:space="preserve">Strategic note: Phil should see the adjacent-trades optionality as the single biggest argument for spinning this into a standalone e-commerce entity. The fixed digital infrastructure (SEO moat, email list, checkout, warehouse workflow) pays for itself once in millwright + electrician, then earns compounding returns across every additional vertical with near-zero marginal fixed cost.</w:t>
      </w:r>
    </w:p>
    <w:p>
      <w:pPr>
        <w:pStyle w:val="Heading1"/>
      </w:pPr>
      <w:r>
        <w:rPr>
          <w:rFonts w:ascii="Arial" w:cs="Arial" w:eastAsia="Arial" w:hAnsi="Arial"/>
        </w:rPr>
        <w:t xml:space="preserve">4. Expansion — US Market (Year 3–4)</w:t>
      </w:r>
    </w:p>
    <w:p>
      <w:pPr>
        <w:pStyle w:val="ListParagraph"/>
        <w:numPr>
          <w:ilvl w:val="0"/>
          <w:numId w:val="2"/>
        </w:numPr>
        <w:spacing w:after="80" w:line="280"/>
      </w:pPr>
      <w:r>
        <w:rPr>
          <w:rFonts w:ascii="Arial" w:cs="Arial" w:eastAsia="Arial" w:hAnsi="Arial"/>
        </w:rPr>
        <w:t xml:space="preserve">US millwrights (SOC 49-9044): </w:t>
      </w:r>
      <w:r>
        <w:rPr>
          <w:rFonts w:ascii="Arial" w:cs="Arial" w:eastAsia="Arial" w:hAnsi="Arial"/>
          <w:b/>
          <w:bCs/>
        </w:rPr>
        <w:t xml:space="preserve">72,500 employed (May 2024), median wage $63,510/yr, 13% projected growth to 2034, ~5,400 annual openings. </w:t>
      </w:r>
      <w:hyperlink w:history="1" r:id="rId7ujyiabhhvuft7mzmumkd">
        <w:r>
          <w:rPr>
            <w:rStyle w:val="Hyperlink"/>
            <w:rFonts w:ascii="Arial" w:cs="Arial" w:eastAsia="Arial" w:hAnsi="Arial"/>
            <w:color w:val="0645AD"/>
            <w:u w:val="single"/>
          </w:rPr>
          <w:t xml:space="preserve">Source: US BLS.</w:t>
        </w:r>
      </w:hyperlink>
    </w:p>
    <w:p>
      <w:pPr>
        <w:pStyle w:val="ListParagraph"/>
        <w:numPr>
          <w:ilvl w:val="0"/>
          <w:numId w:val="2"/>
        </w:numPr>
        <w:spacing w:after="80" w:line="280"/>
      </w:pPr>
      <w:r>
        <w:rPr>
          <w:rFonts w:ascii="Arial" w:cs="Arial" w:eastAsia="Arial" w:hAnsi="Arial"/>
        </w:rPr>
        <w:t xml:space="preserve">US industrial machinery mechanics + maintenance workers + millwrights combined: </w:t>
      </w:r>
      <w:r>
        <w:rPr>
          <w:rFonts w:ascii="Arial" w:cs="Arial" w:eastAsia="Arial" w:hAnsi="Arial"/>
          <w:b/>
          <w:bCs/>
        </w:rPr>
        <w:t xml:space="preserve">538,300 employed, 54,200 annual openings, 13% projected growth. </w:t>
      </w:r>
      <w:hyperlink w:history="1" r:id="rIdf0jedomwxdfq_gg7huf-z">
        <w:r>
          <w:rPr>
            <w:rStyle w:val="Hyperlink"/>
            <w:rFonts w:ascii="Arial" w:cs="Arial" w:eastAsia="Arial" w:hAnsi="Arial"/>
            <w:color w:val="0645AD"/>
            <w:u w:val="single"/>
          </w:rPr>
          <w:t xml:space="preserve">Source: US BLS Occupational Outlook Handbook.</w:t>
        </w:r>
      </w:hyperlink>
    </w:p>
    <w:p>
      <w:pPr>
        <w:spacing w:after="120" w:line="300"/>
      </w:pPr>
      <w:r>
        <w:rPr>
          <w:rFonts w:ascii="Arial" w:cs="Arial" w:eastAsia="Arial" w:hAnsi="Arial"/>
        </w:rPr>
        <w:t xml:space="preserve">The US market is roughly 18–22× the size of its Canadian equivalent. Realistic entry is Year 3–4, beginning with northern border states (Michigan, Ohio, Pennsylvania, New York), using a dropship-first model or a US 3PL to avoid cross-border fulfillment friction. Barriers include imperial-vs-metric tool preferences, USMCA tariff compliance, warranty logistics, and brand recognition — all of which are manageable on a multi-year build but should not be underwritten in Year 1 projections.</w:t>
      </w:r>
    </w:p>
    <w:p>
      <w:pPr>
        <w:spacing w:after="120" w:line="300"/>
      </w:pPr>
      <w:r>
        <w:rPr>
          <w:rFonts w:ascii="Arial" w:cs="Arial" w:eastAsia="Arial" w:hAnsi="Arial"/>
        </w:rPr>
        <w:t xml:space="preserve">Upside scenario: capturing 0.5% of US industrial mechanic/millwright tool spend would add </w:t>
      </w:r>
      <w:r>
        <w:rPr>
          <w:rFonts w:ascii="Arial" w:cs="Arial" w:eastAsia="Arial" w:hAnsi="Arial"/>
          <w:b/>
          <w:bCs/>
        </w:rPr>
        <w:t xml:space="preserve">$5–15M/year</w:t>
      </w:r>
      <w:r>
        <w:rPr>
          <w:rFonts w:ascii="Arial" w:cs="Arial" w:eastAsia="Arial" w:hAnsi="Arial"/>
        </w:rPr>
        <w:t xml:space="preserve"> of US revenue on top of the Canadian business — roughly doubling Year 5 revenue if pursued.</w:t>
      </w:r>
    </w:p>
    <w:p>
      <w:pPr>
        <w:pStyle w:val="Heading1"/>
      </w:pPr>
      <w:r>
        <w:rPr>
          <w:rFonts w:ascii="Arial" w:cs="Arial" w:eastAsia="Arial" w:hAnsi="Arial"/>
        </w:rPr>
        <w:t xml:space="preserve">5. Market Growth Drivers</w:t>
      </w:r>
    </w:p>
    <w:p>
      <w:pPr>
        <w:spacing w:after="120" w:line="300"/>
      </w:pPr>
      <w:r>
        <w:rPr>
          <w:rFonts w:ascii="Arial" w:cs="Arial" w:eastAsia="Arial" w:hAnsi="Arial"/>
        </w:rPr>
        <w:t xml:space="preserve">Three independent forecasts suggest the customer base is growing faster than population, not shrinking.</w:t>
      </w:r>
    </w:p>
    <w:p>
      <w:pPr>
        <w:pStyle w:val="ListParagraph"/>
        <w:numPr>
          <w:ilvl w:val="0"/>
          <w:numId w:val="2"/>
        </w:numPr>
        <w:spacing w:after="80" w:line="280"/>
      </w:pPr>
      <w:r>
        <w:rPr>
          <w:rFonts w:ascii="Arial" w:cs="Arial" w:eastAsia="Arial" w:hAnsi="Arial"/>
        </w:rPr>
        <w:t xml:space="preserve">RBC skilled trades shortage projection: </w:t>
      </w:r>
      <w:r>
        <w:rPr>
          <w:rFonts w:ascii="Arial" w:cs="Arial" w:eastAsia="Arial" w:hAnsi="Arial"/>
        </w:rPr>
        <w:t xml:space="preserve">minimum 10,000-person shortfall in 56 Red Seal trades by 2029; up to 100,000+ when provincially regulated trades are included. Shortages "particularly acute among industrial mechanics, boilermakers, welders." </w:t>
      </w:r>
      <w:hyperlink w:history="1" r:id="rIdvtps8jcy7aijuspawxvc-">
        <w:r>
          <w:rPr>
            <w:rStyle w:val="Hyperlink"/>
            <w:rFonts w:ascii="Arial" w:cs="Arial" w:eastAsia="Arial" w:hAnsi="Arial"/>
            <w:color w:val="0645AD"/>
            <w:u w:val="single"/>
          </w:rPr>
          <w:t xml:space="preserve">Source: RBC Thought Leadership.</w:t>
        </w:r>
      </w:hyperlink>
    </w:p>
    <w:p>
      <w:pPr>
        <w:pStyle w:val="ListParagraph"/>
        <w:numPr>
          <w:ilvl w:val="0"/>
          <w:numId w:val="2"/>
        </w:numPr>
        <w:spacing w:after="80" w:line="280"/>
      </w:pPr>
      <w:r>
        <w:rPr>
          <w:rFonts w:ascii="Arial" w:cs="Arial" w:eastAsia="Arial" w:hAnsi="Arial"/>
        </w:rPr>
        <w:t xml:space="preserve">BuildForce Canada labour demand (through 2033): </w:t>
      </w:r>
      <w:r>
        <w:rPr>
          <w:rFonts w:ascii="Arial" w:cs="Arial" w:eastAsia="Arial" w:hAnsi="Arial"/>
        </w:rPr>
        <w:t xml:space="preserve">351,800 total hiring requirements, 263,400 driven by retirements (21% of current labour force), 88,400+ from growth. Recruitment gap: ~85,500 workers. </w:t>
      </w:r>
      <w:hyperlink w:history="1" r:id="rIdulow3p9xdkfpt-igzaqoo">
        <w:r>
          <w:rPr>
            <w:rStyle w:val="Hyperlink"/>
            <w:rFonts w:ascii="Arial" w:cs="Arial" w:eastAsia="Arial" w:hAnsi="Arial"/>
            <w:color w:val="0645AD"/>
            <w:u w:val="single"/>
          </w:rPr>
          <w:t xml:space="preserve">Source: BuildForce Canada.</w:t>
        </w:r>
      </w:hyperlink>
    </w:p>
    <w:p>
      <w:pPr>
        <w:pStyle w:val="ListParagraph"/>
        <w:numPr>
          <w:ilvl w:val="0"/>
          <w:numId w:val="2"/>
        </w:numPr>
        <w:spacing w:after="80" w:line="280"/>
      </w:pPr>
      <w:r>
        <w:rPr>
          <w:rFonts w:ascii="Arial" w:cs="Arial" w:eastAsia="Arial" w:hAnsi="Arial"/>
        </w:rPr>
        <w:t xml:space="preserve">Government training equipment funding: </w:t>
      </w:r>
      <w:r>
        <w:rPr>
          <w:rFonts w:ascii="Arial" w:cs="Arial" w:eastAsia="Arial" w:hAnsi="Arial"/>
        </w:rPr>
        <w:t xml:space="preserve">Canadian Apprenticeship Strategy – Investments in Training Equipment (CAS-ITE) provides up to $5M per union training project with $20M available in 2025–26 — direct grant-funded purchasing power for college and union customers. </w:t>
      </w:r>
      <w:hyperlink w:history="1" r:id="rIdkcaq5wzabt3ulpnqre1pd">
        <w:r>
          <w:rPr>
            <w:rStyle w:val="Hyperlink"/>
            <w:rFonts w:ascii="Arial" w:cs="Arial" w:eastAsia="Arial" w:hAnsi="Arial"/>
            <w:color w:val="0645AD"/>
            <w:u w:val="single"/>
          </w:rPr>
          <w:t xml:space="preserve">Source: Employment and Social Development Canada.</w:t>
        </w:r>
      </w:hyperlink>
    </w:p>
    <w:p>
      <w:pPr>
        <w:spacing w:after="120" w:line="300"/>
      </w:pPr>
      <w:r>
        <w:rPr>
          <w:rFonts w:ascii="Arial" w:cs="Arial" w:eastAsia="Arial" w:hAnsi="Arial"/>
        </w:rPr>
        <w:t xml:space="preserve">These drivers mean the institutional (college, union, sector council) buyer segment is actively looking for qualified vendors to absorb grant money. A credible specialized supplier is a scarce resource in this category — which is also the Knells signal.</w:t>
      </w:r>
    </w:p>
    <w:p>
      <w:pPr>
        <w:pStyle w:val="Heading1"/>
      </w:pPr>
      <w:r>
        <w:rPr>
          <w:rFonts w:ascii="Arial" w:cs="Arial" w:eastAsia="Arial" w:hAnsi="Arial"/>
        </w:rPr>
        <w:t xml:space="preserve">6. Buyer Segment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80"/>
        <w:gridCol w:w="1880"/>
      </w:tblGrid>
      <w:tr>
        <w:trPr>
          <w:tblHeader/>
        </w:trPr>
        <w:tc>
          <w:tcPr>
            <w:tcW w:type="dxa" w:w="200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Segment</w:t>
            </w:r>
          </w:p>
        </w:tc>
        <w:tc>
          <w:tcPr>
            <w:tcW w:type="dxa" w:w="180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Decision cycle</w:t>
            </w:r>
          </w:p>
        </w:tc>
        <w:tc>
          <w:tcPr>
            <w:tcW w:type="dxa" w:w="180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Price sensitivity</w:t>
            </w:r>
          </w:p>
        </w:tc>
        <w:tc>
          <w:tcPr>
            <w:tcW w:type="dxa" w:w="18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Order size</w:t>
            </w:r>
          </w:p>
        </w:tc>
        <w:tc>
          <w:tcPr>
            <w:tcW w:type="dxa" w:w="18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Entry barrier</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Individual apprentice</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1–4 weeks</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High</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 kit</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Checkout, reviews, financing</w:t>
            </w:r>
          </w:p>
        </w:tc>
      </w:tr>
      <w:tr>
        <w:tc>
          <w:tcPr>
            <w:tcW w:type="dxa" w:w="20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Shop / employer</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2–8 weeks</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Medium</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2–20 kits</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Quote flow, PO terms</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Trade college</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3–12 months</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Low (grant-funded)</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20–60 kits</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RFP, vendor listing</w:t>
            </w:r>
          </w:p>
        </w:tc>
      </w:tr>
      <w:tr>
        <w:tc>
          <w:tcPr>
            <w:tcW w:type="dxa" w:w="20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Union / JAC</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3–9 months</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Low (grant-funded)</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10–100 kits</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Sector approval</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BTS has structural advantages in each segment: established Google domain authority on bullettrade.ca (individual segment), existing industrial customer relationships (shop segment), and the ability to add a direct sales motion (college and union segments). No pure digital entrant can replicate all three quickly.</w:t>
      </w:r>
    </w:p>
    <w:p>
      <w:pPr>
        <w:pStyle w:val="Heading1"/>
      </w:pPr>
      <w:r>
        <w:rPr>
          <w:rFonts w:ascii="Arial" w:cs="Arial" w:eastAsia="Arial" w:hAnsi="Arial"/>
        </w:rPr>
        <w:t xml:space="preserve">7. Realistic 5-Year Capture (SOM)</w:t>
      </w:r>
    </w:p>
    <w:p>
      <w:pPr>
        <w:spacing w:after="120" w:line="300"/>
      </w:pPr>
      <w:r>
        <w:rPr>
          <w:rFonts w:ascii="Arial" w:cs="Arial" w:eastAsia="Arial" w:hAnsi="Arial"/>
        </w:rPr>
        <w:t xml:space="preserve">Base case assumes Ontario-first launch, national expansion in Year 2, one adjacent vertical in Year 3, and either a second adjacent vertical or US northern-states entry in Year 5. No aggressive penetration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2010"/>
        <w:gridCol w:w="2010"/>
        <w:gridCol w:w="2010"/>
        <w:gridCol w:w="2010"/>
      </w:tblGrid>
      <w:tr>
        <w:trPr>
          <w:tblHeader/>
        </w:trPr>
        <w:tc>
          <w:tcPr>
            <w:tcW w:type="dxa" w:w="13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Year</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Focus</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Revenue</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CM @ 25%</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 of TAM</w:t>
            </w:r>
          </w:p>
        </w:tc>
      </w:tr>
      <w:tr>
        <w:tc>
          <w:tcPr>
            <w:tcW w:type="dxa" w:w="13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1</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Ontario only, individuals + early shops</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$500K–$800K</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$125K–$200K</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3–5% of ON</w:t>
            </w:r>
          </w:p>
        </w:tc>
      </w:tr>
      <w:tr>
        <w:tc>
          <w:tcPr>
            <w:tcW w:type="dxa" w:w="13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Year 2</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National Canadian rollout</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$1.2M–$1.8M</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$300K–$450K</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3–4% of CA</w:t>
            </w:r>
          </w:p>
        </w:tc>
      </w:tr>
      <w:tr>
        <w:tc>
          <w:tcPr>
            <w:tcW w:type="dxa" w:w="13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3</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First adjacent trade (welding or HVAC)</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$2.0M–$3.0M</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$500K–$750K</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4–6% of CA</w:t>
            </w:r>
          </w:p>
        </w:tc>
      </w:tr>
      <w:tr>
        <w:tc>
          <w:tcPr>
            <w:tcW w:type="dxa" w:w="13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Year 4</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College / union channel mature</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$3.2M–$4.5M</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$800K–$1.1M</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6–9% of CA</w:t>
            </w:r>
          </w:p>
        </w:tc>
      </w:tr>
      <w:tr>
        <w:tc>
          <w:tcPr>
            <w:tcW w:type="dxa" w:w="13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5</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US entry or second adjacent trade</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$4.5M–$6.5M</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$1.1M–$1.6M</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8–12% of CA</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This is neither hockey-stick nor toy-business. It corresponds to reasonable penetration curves for a B2B/institutional category with documented growth drivers and a structurally underserved supply side.</w:t>
      </w:r>
    </w:p>
    <w:p>
      <w:pPr>
        <w:pStyle w:val="Heading1"/>
      </w:pPr>
      <w:r>
        <w:rPr>
          <w:rFonts w:ascii="Arial" w:cs="Arial" w:eastAsia="Arial" w:hAnsi="Arial"/>
        </w:rPr>
        <w:t xml:space="preserve">8. Limitations &amp; Recommended Next Steps</w:t>
      </w:r>
    </w:p>
    <w:p>
      <w:pPr>
        <w:spacing w:after="120" w:line="300"/>
      </w:pPr>
      <w:r>
        <w:rPr>
          <w:rFonts w:ascii="Arial" w:cs="Arial" w:eastAsia="Arial" w:hAnsi="Arial"/>
        </w:rPr>
        <w:t xml:space="preserve">To convert base-case estimates into board-grade projections, the following primary research should be completed in the first 30–60 days:</w:t>
      </w:r>
    </w:p>
    <w:p>
      <w:pPr>
        <w:pStyle w:val="ListParagraph"/>
        <w:numPr>
          <w:ilvl w:val="0"/>
          <w:numId w:val="3"/>
        </w:numPr>
        <w:spacing w:after="80"/>
      </w:pPr>
      <w:r>
        <w:rPr>
          <w:rFonts w:ascii="Arial" w:cs="Arial" w:eastAsia="Arial" w:hAnsi="Arial"/>
        </w:rPr>
        <w:t xml:space="preserve">Contact Skilled Trades Ontario (647-847-3000) for year-by-year 433A and 442A new registration counts.</w:t>
      </w:r>
    </w:p>
    <w:p>
      <w:pPr>
        <w:pStyle w:val="ListParagraph"/>
        <w:numPr>
          <w:ilvl w:val="0"/>
          <w:numId w:val="3"/>
        </w:numPr>
        <w:spacing w:after="80"/>
      </w:pPr>
      <w:r>
        <w:rPr>
          <w:rFonts w:ascii="Arial" w:cs="Arial" w:eastAsia="Arial" w:hAnsi="Arial"/>
        </w:rPr>
        <w:t xml:space="preserve">Query Statistics Canada Table 14-10-0041-01 for NOC 72400 and 72201 employment by province.</w:t>
      </w:r>
    </w:p>
    <w:p>
      <w:pPr>
        <w:pStyle w:val="ListParagraph"/>
        <w:numPr>
          <w:ilvl w:val="0"/>
          <w:numId w:val="3"/>
        </w:numPr>
        <w:spacing w:after="80"/>
      </w:pPr>
      <w:r>
        <w:rPr>
          <w:rFonts w:ascii="Arial" w:cs="Arial" w:eastAsia="Arial" w:hAnsi="Arial"/>
        </w:rPr>
        <w:t xml:space="preserve">Outreach to the Canadian Apprenticeship Forum (CAF-FCA, info@caf-fca.org) for employer tool purchasing survey data.</w:t>
      </w:r>
    </w:p>
    <w:p>
      <w:pPr>
        <w:pStyle w:val="ListParagraph"/>
        <w:numPr>
          <w:ilvl w:val="0"/>
          <w:numId w:val="3"/>
        </w:numPr>
        <w:spacing w:after="80"/>
      </w:pPr>
      <w:r>
        <w:rPr>
          <w:rFonts w:ascii="Arial" w:cs="Arial" w:eastAsia="Arial" w:hAnsi="Arial"/>
        </w:rPr>
        <w:t xml:space="preserve">5–10 discovery calls with Ontario industrial shop owners to validate bulk-buy adoption assumptions.</w:t>
      </w:r>
    </w:p>
    <w:p>
      <w:pPr>
        <w:pStyle w:val="ListParagraph"/>
        <w:numPr>
          <w:ilvl w:val="0"/>
          <w:numId w:val="3"/>
        </w:numPr>
        <w:spacing w:after="80"/>
      </w:pPr>
      <w:r>
        <w:rPr>
          <w:rFonts w:ascii="Arial" w:cs="Arial" w:eastAsia="Arial" w:hAnsi="Arial"/>
        </w:rPr>
        <w:t xml:space="preserve">3–5 discovery calls with Ontario trade college program heads to validate starter-kit willingness-to-buy and grant funding timing.</w:t>
      </w:r>
    </w:p>
    <w:p>
      <w:pPr>
        <w:pStyle w:val="ListParagraph"/>
        <w:numPr>
          <w:ilvl w:val="0"/>
          <w:numId w:val="3"/>
        </w:numPr>
        <w:spacing w:after="80"/>
      </w:pPr>
      <w:r>
        <w:rPr>
          <w:rFonts w:ascii="Arial" w:cs="Arial" w:eastAsia="Arial" w:hAnsi="Arial"/>
        </w:rPr>
        <w:t xml:space="preserve">Debrief with Knells to confirm the "non-competitive market" signal and understand existing customer overlap.</w:t>
      </w:r>
    </w:p>
    <w:p>
      <w:pPr>
        <w:pStyle w:val="Heading1"/>
      </w:pPr>
      <w:r>
        <w:rPr>
          <w:rFonts w:ascii="Arial" w:cs="Arial" w:eastAsia="Arial" w:hAnsi="Arial"/>
        </w:rPr>
        <w:t xml:space="preserve">Sources</w:t>
      </w:r>
    </w:p>
    <w:p>
      <w:pPr>
        <w:pStyle w:val="ListParagraph"/>
        <w:numPr>
          <w:ilvl w:val="0"/>
          <w:numId w:val="2"/>
        </w:numPr>
        <w:spacing w:after="80" w:line="280"/>
      </w:pPr>
      <w:hyperlink w:history="1" r:id="rId98pzsnqoraft_yive4egm">
        <w:r>
          <w:rPr>
            <w:rStyle w:val="Hyperlink"/>
            <w:rFonts w:ascii="Arial" w:cs="Arial" w:eastAsia="Arial" w:hAnsi="Arial"/>
            <w:color w:val="0645AD"/>
            <w:u w:val="single"/>
          </w:rPr>
          <w:t xml:space="preserve">Statistics Canada — Registered Apprenticeship Information System, 2024 release (Dec 11, 2025)</w:t>
        </w:r>
      </w:hyperlink>
    </w:p>
    <w:p>
      <w:pPr>
        <w:pStyle w:val="ListParagraph"/>
        <w:numPr>
          <w:ilvl w:val="0"/>
          <w:numId w:val="2"/>
        </w:numPr>
        <w:spacing w:after="80" w:line="280"/>
      </w:pPr>
      <w:hyperlink w:history="1" r:id="rIdw-eassd7m79eldxpbq5u0">
        <w:r>
          <w:rPr>
            <w:rStyle w:val="Hyperlink"/>
            <w:rFonts w:ascii="Arial" w:cs="Arial" w:eastAsia="Arial" w:hAnsi="Arial"/>
            <w:color w:val="0645AD"/>
            <w:u w:val="single"/>
          </w:rPr>
          <w:t xml:space="preserve">Skilled Trades Ontario — Apprenticeship Programs Chart (Sept 2024)</w:t>
        </w:r>
      </w:hyperlink>
    </w:p>
    <w:p>
      <w:pPr>
        <w:pStyle w:val="ListParagraph"/>
        <w:numPr>
          <w:ilvl w:val="0"/>
          <w:numId w:val="2"/>
        </w:numPr>
        <w:spacing w:after="80" w:line="280"/>
      </w:pPr>
      <w:hyperlink w:history="1" r:id="rIdn2khzajk6qqcz3ecniyt_">
        <w:r>
          <w:rPr>
            <w:rStyle w:val="Hyperlink"/>
            <w:rFonts w:ascii="Arial" w:cs="Arial" w:eastAsia="Arial" w:hAnsi="Arial"/>
            <w:color w:val="0645AD"/>
            <w:u w:val="single"/>
          </w:rPr>
          <w:t xml:space="preserve">Skilled Trades Ontario — Public Register of Training Delivery Agents</w:t>
        </w:r>
      </w:hyperlink>
    </w:p>
    <w:p>
      <w:pPr>
        <w:pStyle w:val="ListParagraph"/>
        <w:numPr>
          <w:ilvl w:val="0"/>
          <w:numId w:val="2"/>
        </w:numPr>
        <w:spacing w:after="80" w:line="280"/>
      </w:pPr>
      <w:hyperlink w:history="1" r:id="rIduojcrhfx5vgbvfymwuvvi">
        <w:r>
          <w:rPr>
            <w:rStyle w:val="Hyperlink"/>
            <w:rFonts w:ascii="Arial" w:cs="Arial" w:eastAsia="Arial" w:hAnsi="Arial"/>
            <w:color w:val="0645AD"/>
            <w:u w:val="single"/>
          </w:rPr>
          <w:t xml:space="preserve">Skilled Trades Ontario — Trades Information</w:t>
        </w:r>
      </w:hyperlink>
    </w:p>
    <w:p>
      <w:pPr>
        <w:pStyle w:val="ListParagraph"/>
        <w:numPr>
          <w:ilvl w:val="0"/>
          <w:numId w:val="2"/>
        </w:numPr>
        <w:spacing w:after="80" w:line="280"/>
      </w:pPr>
      <w:hyperlink w:history="1" r:id="rIdzlm7ssrvbgeasuhrvipkh">
        <w:r>
          <w:rPr>
            <w:rStyle w:val="Hyperlink"/>
            <w:rFonts w:ascii="Arial" w:cs="Arial" w:eastAsia="Arial" w:hAnsi="Arial"/>
            <w:color w:val="0645AD"/>
            <w:u w:val="single"/>
          </w:rPr>
          <w:t xml:space="preserve">Electrical Industry Canada — Apprenticeship Registrations Report</w:t>
        </w:r>
      </w:hyperlink>
    </w:p>
    <w:p>
      <w:pPr>
        <w:pStyle w:val="ListParagraph"/>
        <w:numPr>
          <w:ilvl w:val="0"/>
          <w:numId w:val="2"/>
        </w:numPr>
        <w:spacing w:after="80" w:line="280"/>
      </w:pPr>
      <w:hyperlink w:history="1" r:id="rIdfo8lfbfqr9xxcawcua_sd">
        <w:r>
          <w:rPr>
            <w:rStyle w:val="Hyperlink"/>
            <w:rFonts w:ascii="Arial" w:cs="Arial" w:eastAsia="Arial" w:hAnsi="Arial"/>
            <w:color w:val="0645AD"/>
            <w:u w:val="single"/>
          </w:rPr>
          <w:t xml:space="preserve">Statistics Canada — Labour Force Survey Table 14-10-0041-01</w:t>
        </w:r>
      </w:hyperlink>
    </w:p>
    <w:p>
      <w:pPr>
        <w:pStyle w:val="ListParagraph"/>
        <w:numPr>
          <w:ilvl w:val="0"/>
          <w:numId w:val="2"/>
        </w:numPr>
        <w:spacing w:after="80" w:line="280"/>
      </w:pPr>
      <w:hyperlink w:history="1" r:id="rIdcwtz8pft61texiftrhlju">
        <w:r>
          <w:rPr>
            <w:rStyle w:val="Hyperlink"/>
            <w:rFonts w:ascii="Arial" w:cs="Arial" w:eastAsia="Arial" w:hAnsi="Arial"/>
            <w:color w:val="0645AD"/>
            <w:u w:val="single"/>
          </w:rPr>
          <w:t xml:space="preserve">Statistics Canada — NOC 2021 Definitions (72400, 72201)</w:t>
        </w:r>
      </w:hyperlink>
    </w:p>
    <w:p>
      <w:pPr>
        <w:pStyle w:val="ListParagraph"/>
        <w:numPr>
          <w:ilvl w:val="0"/>
          <w:numId w:val="2"/>
        </w:numPr>
        <w:spacing w:after="80" w:line="280"/>
      </w:pPr>
      <w:hyperlink w:history="1" r:id="rIdwucsnbuppy1acbr7nz8wr">
        <w:r>
          <w:rPr>
            <w:rStyle w:val="Hyperlink"/>
            <w:rFonts w:ascii="Arial" w:cs="Arial" w:eastAsia="Arial" w:hAnsi="Arial"/>
            <w:color w:val="0645AD"/>
            <w:u w:val="single"/>
          </w:rPr>
          <w:t xml:space="preserve">RBC Thought Leadership — Powering Up: Preparing Canada's Skilled Trades</w:t>
        </w:r>
      </w:hyperlink>
    </w:p>
    <w:p>
      <w:pPr>
        <w:pStyle w:val="ListParagraph"/>
        <w:numPr>
          <w:ilvl w:val="0"/>
          <w:numId w:val="2"/>
        </w:numPr>
        <w:spacing w:after="80" w:line="280"/>
      </w:pPr>
      <w:hyperlink w:history="1" r:id="rId7avmbp3oc8ntfvd_pfytc">
        <w:r>
          <w:rPr>
            <w:rStyle w:val="Hyperlink"/>
            <w:rFonts w:ascii="Arial" w:cs="Arial" w:eastAsia="Arial" w:hAnsi="Arial"/>
            <w:color w:val="0645AD"/>
            <w:u w:val="single"/>
          </w:rPr>
          <w:t xml:space="preserve">BuildForce Canada — Construction Sector Growth Through 2033</w:t>
        </w:r>
      </w:hyperlink>
    </w:p>
    <w:p>
      <w:pPr>
        <w:pStyle w:val="ListParagraph"/>
        <w:numPr>
          <w:ilvl w:val="0"/>
          <w:numId w:val="2"/>
        </w:numPr>
        <w:spacing w:after="80" w:line="280"/>
      </w:pPr>
      <w:hyperlink w:history="1" r:id="rId1bs2oruvw4ck-x0mfil6f">
        <w:r>
          <w:rPr>
            <w:rStyle w:val="Hyperlink"/>
            <w:rFonts w:ascii="Arial" w:cs="Arial" w:eastAsia="Arial" w:hAnsi="Arial"/>
            <w:color w:val="0645AD"/>
            <w:u w:val="single"/>
          </w:rPr>
          <w:t xml:space="preserve">Employment and Social Development Canada — CAS-ITE funding program</w:t>
        </w:r>
      </w:hyperlink>
    </w:p>
    <w:p>
      <w:pPr>
        <w:pStyle w:val="ListParagraph"/>
        <w:numPr>
          <w:ilvl w:val="0"/>
          <w:numId w:val="2"/>
        </w:numPr>
        <w:spacing w:after="80" w:line="280"/>
      </w:pPr>
      <w:hyperlink w:history="1" r:id="rIder_kh-h8303d3uezfhvwn">
        <w:r>
          <w:rPr>
            <w:rStyle w:val="Hyperlink"/>
            <w:rFonts w:ascii="Arial" w:cs="Arial" w:eastAsia="Arial" w:hAnsi="Arial"/>
            <w:color w:val="0645AD"/>
            <w:u w:val="single"/>
          </w:rPr>
          <w:t xml:space="preserve">IBISWorld Canada — Hand Tool &amp; Cutlery Manufacturing</w:t>
        </w:r>
      </w:hyperlink>
    </w:p>
    <w:p>
      <w:pPr>
        <w:pStyle w:val="ListParagraph"/>
        <w:numPr>
          <w:ilvl w:val="0"/>
          <w:numId w:val="2"/>
        </w:numPr>
        <w:spacing w:after="80" w:line="280"/>
      </w:pPr>
      <w:hyperlink w:history="1" r:id="rIdi2orgadimpllc4cjem-6v">
        <w:r>
          <w:rPr>
            <w:rStyle w:val="Hyperlink"/>
            <w:rFonts w:ascii="Arial" w:cs="Arial" w:eastAsia="Arial" w:hAnsi="Arial"/>
            <w:color w:val="0645AD"/>
            <w:u w:val="single"/>
          </w:rPr>
          <w:t xml:space="preserve">IBISWorld Canada — Hardware Stores</w:t>
        </w:r>
      </w:hyperlink>
    </w:p>
    <w:p>
      <w:pPr>
        <w:pStyle w:val="ListParagraph"/>
        <w:numPr>
          <w:ilvl w:val="0"/>
          <w:numId w:val="2"/>
        </w:numPr>
        <w:spacing w:after="80" w:line="280"/>
      </w:pPr>
      <w:hyperlink w:history="1" r:id="rIdn2g3vqits_er7568cqxj_">
        <w:r>
          <w:rPr>
            <w:rStyle w:val="Hyperlink"/>
            <w:rFonts w:ascii="Arial" w:cs="Arial" w:eastAsia="Arial" w:hAnsi="Arial"/>
            <w:color w:val="0645AD"/>
            <w:u w:val="single"/>
          </w:rPr>
          <w:t xml:space="preserve">US BLS — Millwrights OEWS (49-9044, May 2024)</w:t>
        </w:r>
      </w:hyperlink>
    </w:p>
    <w:p>
      <w:pPr>
        <w:pStyle w:val="ListParagraph"/>
        <w:numPr>
          <w:ilvl w:val="0"/>
          <w:numId w:val="2"/>
        </w:numPr>
        <w:spacing w:after="80" w:line="280"/>
      </w:pPr>
      <w:hyperlink w:history="1" r:id="rIdygtntytjmkqlgyswddqnz">
        <w:r>
          <w:rPr>
            <w:rStyle w:val="Hyperlink"/>
            <w:rFonts w:ascii="Arial" w:cs="Arial" w:eastAsia="Arial" w:hAnsi="Arial"/>
            <w:color w:val="0645AD"/>
            <w:u w:val="single"/>
          </w:rPr>
          <w:t xml:space="preserve">US BLS — Industrial Machinery Mechanics Occupational Outlook Handbook</w:t>
        </w:r>
      </w:hyperlink>
    </w:p>
    <w:p>
      <w:pPr>
        <w:pStyle w:val="ListParagraph"/>
        <w:numPr>
          <w:ilvl w:val="0"/>
          <w:numId w:val="2"/>
        </w:numPr>
        <w:spacing w:after="80" w:line="280"/>
      </w:pPr>
      <w:hyperlink w:history="1" r:id="rIddzdulpi_i3aumxxreq_9y">
        <w:r>
          <w:rPr>
            <w:rStyle w:val="Hyperlink"/>
            <w:rFonts w:ascii="Arial" w:cs="Arial" w:eastAsia="Arial" w:hAnsi="Arial"/>
            <w:color w:val="0645AD"/>
            <w:u w:val="single"/>
          </w:rPr>
          <w:t xml:space="preserve">Statistics Canada — Retail Trade 2024 Annual Report</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BTS E-Commerce — Market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1A"/>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B0002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5mtcgolp2mtkqtmg7oe7" Type="http://schemas.openxmlformats.org/officeDocument/2006/relationships/hyperlink" Target="https://www.skilledtradesontario.ca/wp-content/uploads/2024/09/Apprenticeship-Programs-Chart-EN-09.06.24.pdf" TargetMode="External"/><Relationship Id="rIdk67a9udwxbjlzxidfa8bg" Type="http://schemas.openxmlformats.org/officeDocument/2006/relationships/hyperlink" Target="https://electricalindustry.ca/latest-articles/apprenticeship-registrations/" TargetMode="External"/><Relationship Id="rIdyuykvaw-bjzfq3kgeip7q" Type="http://schemas.openxmlformats.org/officeDocument/2006/relationships/hyperlink" Target="https://www.skilledtradesontario.ca/about-trades/trades-information/" TargetMode="External"/><Relationship Id="rId_oyq8xxdd1o7h_wgsecyl" Type="http://schemas.openxmlformats.org/officeDocument/2006/relationships/hyperlink" Target="https://www.skilledtradesontario.ca/public-register/" TargetMode="External"/><Relationship Id="rIdqfdjxcykzp9swonrcilqi" Type="http://schemas.openxmlformats.org/officeDocument/2006/relationships/hyperlink" Target="https://www150.statcan.gc.ca/n1/daily-quotidien/251211/dq251211e-eng.htm" TargetMode="External"/><Relationship Id="rIdtv_xv1ubbcuzofr09wadd" Type="http://schemas.openxmlformats.org/officeDocument/2006/relationships/hyperlink" Target="https://www150.statcan.gc.ca/n1/daily-quotidien/251211/dq251211e-eng.htm" TargetMode="External"/><Relationship Id="rId7ujyiabhhvuft7mzmumkd" Type="http://schemas.openxmlformats.org/officeDocument/2006/relationships/hyperlink" Target="https://www.bls.gov/oes/current/oes499044.htm" TargetMode="External"/><Relationship Id="rIdf0jedomwxdfq_gg7huf-z" Type="http://schemas.openxmlformats.org/officeDocument/2006/relationships/hyperlink" Target="https://www.bls.gov/ooh/installation-maintenance-and-repair/industrial-machinery-mechanics-and-maintenance-workers-and-millwrights.htm" TargetMode="External"/><Relationship Id="rIdvtps8jcy7aijuspawxvc-" Type="http://schemas.openxmlformats.org/officeDocument/2006/relationships/hyperlink" Target="https://thoughtleadership.rbc.com/wp-content/uploads/Skilled-Trades-Report.pdf" TargetMode="External"/><Relationship Id="rIdulow3p9xdkfpt-igzaqoo" Type="http://schemas.openxmlformats.org/officeDocument/2006/relationships/hyperlink" Target="https://www.buildforce.ca/en/press-release/canadas-construction-sector-is-poised-to-grow-through-2033/" TargetMode="External"/><Relationship Id="rIdkcaq5wzabt3ulpnqre1pd" Type="http://schemas.openxmlformats.org/officeDocument/2006/relationships/hyperlink" Target="https://www.canada.ca/en/employment-social-development/services/funding/investments-training-equipment.html" TargetMode="External"/><Relationship Id="rId98pzsnqoraft_yive4egm" Type="http://schemas.openxmlformats.org/officeDocument/2006/relationships/hyperlink" Target="https://www150.statcan.gc.ca/n1/daily-quotidien/251211/dq251211e-eng.htm" TargetMode="External"/><Relationship Id="rIdw-eassd7m79eldxpbq5u0" Type="http://schemas.openxmlformats.org/officeDocument/2006/relationships/hyperlink" Target="https://www.skilledtradesontario.ca/wp-content/uploads/2024/09/Apprenticeship-Programs-Chart-EN-09.06.24.pdf" TargetMode="External"/><Relationship Id="rIdn2khzajk6qqcz3ecniyt_" Type="http://schemas.openxmlformats.org/officeDocument/2006/relationships/hyperlink" Target="https://www.skilledtradesontario.ca/public-register/" TargetMode="External"/><Relationship Id="rIduojcrhfx5vgbvfymwuvvi" Type="http://schemas.openxmlformats.org/officeDocument/2006/relationships/hyperlink" Target="https://www.skilledtradesontario.ca/about-trades/trades-information/" TargetMode="External"/><Relationship Id="rIdzlm7ssrvbgeasuhrvipkh" Type="http://schemas.openxmlformats.org/officeDocument/2006/relationships/hyperlink" Target="https://electricalindustry.ca/latest-articles/apprenticeship-registrations/" TargetMode="External"/><Relationship Id="rIdfo8lfbfqr9xxcawcua_sd" Type="http://schemas.openxmlformats.org/officeDocument/2006/relationships/hyperlink" Target="https://www150.statcan.gc.ca/t1/tbl1/en/tv.action?pid=1410041601" TargetMode="External"/><Relationship Id="rIdcwtz8pft61texiftrhlju" Type="http://schemas.openxmlformats.org/officeDocument/2006/relationships/hyperlink" Target="https://www23.statcan.gc.ca/imdb/p3VD.pl?Function=getVD&amp;TVD=1322554" TargetMode="External"/><Relationship Id="rIdwucsnbuppy1acbr7nz8wr" Type="http://schemas.openxmlformats.org/officeDocument/2006/relationships/hyperlink" Target="https://thoughtleadership.rbc.com/wp-content/uploads/Skilled-Trades-Report.pdf" TargetMode="External"/><Relationship Id="rId7avmbp3oc8ntfvd_pfytc" Type="http://schemas.openxmlformats.org/officeDocument/2006/relationships/hyperlink" Target="https://www.buildforce.ca/en/press-release/canadas-construction-sector-is-poised-to-grow-through-2033/" TargetMode="External"/><Relationship Id="rId1bs2oruvw4ck-x0mfil6f" Type="http://schemas.openxmlformats.org/officeDocument/2006/relationships/hyperlink" Target="https://www.canada.ca/en/employment-social-development/services/funding/investments-training-equipment.html" TargetMode="External"/><Relationship Id="rIder_kh-h8303d3uezfhvwn" Type="http://schemas.openxmlformats.org/officeDocument/2006/relationships/hyperlink" Target="https://www.ibisworld.com/canada/market-size/hand-tool-cutlery-manufacturing/617/" TargetMode="External"/><Relationship Id="rIdi2orgadimpllc4cjem-6v" Type="http://schemas.openxmlformats.org/officeDocument/2006/relationships/hyperlink" Target="https://www.ibisworld.com/canada/market-size/hardware-stores/1033/" TargetMode="External"/><Relationship Id="rIdn2g3vqits_er7568cqxj_" Type="http://schemas.openxmlformats.org/officeDocument/2006/relationships/hyperlink" Target="https://www.bls.gov/oes/current/oes499044.htm" TargetMode="External"/><Relationship Id="rIdygtntytjmkqlgyswddqnz" Type="http://schemas.openxmlformats.org/officeDocument/2006/relationships/hyperlink" Target="https://www.bls.gov/ooh/installation-maintenance-and-repair/industrial-machinery-mechanics-and-maintenance-workers-and-millwrights.htm" TargetMode="External"/><Relationship Id="rIddzdulpi_i3aumxxreq_9y" Type="http://schemas.openxmlformats.org/officeDocument/2006/relationships/hyperlink" Target="https://www150.statcan.gc.ca/n1/daily-quotidien/250221/dq250221a-eng.htm"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BTS E-Commerce — Market Assessment</dc:title>
  <dc:creator>Russell Cole</dc:creator>
  <cp:lastModifiedBy>Un-named</cp:lastModifiedBy>
  <cp:revision>1</cp:revision>
  <dcterms:created xsi:type="dcterms:W3CDTF">2026-04-12T16:04:01.510Z</dcterms:created>
  <dcterms:modified xsi:type="dcterms:W3CDTF">2026-04-12T16:04:01.510Z</dcterms:modified>
</cp:coreProperties>
</file>

<file path=docProps/custom.xml><?xml version="1.0" encoding="utf-8"?>
<Properties xmlns="http://schemas.openxmlformats.org/officeDocument/2006/custom-properties" xmlns:vt="http://schemas.openxmlformats.org/officeDocument/2006/docPropsVTypes"/>
</file>