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b/>
          <w:bCs/>
          <w:color w:val="B00020"/>
          <w:sz w:val="22"/>
          <w:szCs w:val="22"/>
        </w:rPr>
        <w:t xml:space="preserve">BULLET TRADE SERVICES</w:t>
      </w:r>
    </w:p>
    <w:p>
      <w:pPr>
        <w:spacing w:after="60"/>
      </w:pPr>
      <w:r>
        <w:rPr>
          <w:rFonts w:ascii="Arial" w:cs="Arial" w:eastAsia="Arial" w:hAnsi="Arial"/>
          <w:color w:val="666666"/>
          <w:sz w:val="22"/>
          <w:szCs w:val="22"/>
        </w:rPr>
        <w:t xml:space="preserve">E-Commerce Division</w:t>
      </w:r>
    </w:p>
    <w:p>
      <w:pPr>
        <w:spacing w:after="240" w:before="240"/>
      </w:pPr>
      <w:r>
        <w:rPr>
          <w:rFonts w:ascii="Arial" w:cs="Arial" w:eastAsia="Arial" w:hAnsi="Arial"/>
          <w:b/>
          <w:bCs/>
          <w:sz w:val="40"/>
          <w:szCs w:val="40"/>
        </w:rPr>
        <w:t xml:space="preserve">Memorandum — Compensation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TO</w:t>
            </w:r>
          </w:p>
        </w:tc>
        <w:tc>
          <w:tcPr>
            <w:tcW w:type="dxa" w:w="7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Phil, Owner, Bullet Trade Services</w:t>
            </w:r>
          </w:p>
        </w:tc>
      </w:tr>
      <w:tr>
        <w:tc>
          <w:tcPr>
            <w:tcW w:type="dxa" w:w="18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FROM</w:t>
            </w:r>
          </w:p>
        </w:tc>
        <w:tc>
          <w:tcPr>
            <w:tcW w:type="dxa" w:w="7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Russell Cole</w:t>
            </w:r>
          </w:p>
        </w:tc>
      </w:tr>
      <w:tr>
        <w:tc>
          <w:tcPr>
            <w:tcW w:type="dxa" w:w="18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DATE</w:t>
            </w:r>
          </w:p>
        </w:tc>
        <w:tc>
          <w:tcPr>
            <w:tcW w:type="dxa" w:w="7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April 2026</w:t>
            </w:r>
          </w:p>
        </w:tc>
      </w:tr>
      <w:tr>
        <w:tc>
          <w:tcPr>
            <w:tcW w:type="dxa" w:w="180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RE</w:t>
            </w:r>
          </w:p>
        </w:tc>
        <w:tc>
          <w:tcPr>
            <w:tcW w:type="dxa" w:w="75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How the e-commerce division compensates me — and why it lands at market rate</w:t>
            </w:r>
          </w:p>
        </w:tc>
      </w:tr>
    </w:tbl>
    <w:p>
      <w:pPr>
        <w:spacing w:after="120" w:line="300"/>
      </w:pPr>
      <w:r>
        <w:rPr>
          <w:rFonts w:ascii="Arial" w:cs="Arial" w:eastAsia="Arial" w:hAnsi="Arial"/>
        </w:rPr>
        <w:t xml:space="preserve"> </w:t>
      </w:r>
    </w:p>
    <w:p>
      <w:pPr>
        <w:pBdr>
          <w:bottom w:val="single" w:color="B00020" w:sz="12" w:space="1"/>
        </w:pBdr>
        <w:spacing w:after="200"/>
      </w:pPr>
      <w:r>
        <w:t xml:space="preserve"/>
      </w:r>
    </w:p>
    <w:p>
      <w:pPr>
        <w:pStyle w:val="Heading1"/>
      </w:pPr>
      <w:r>
        <w:rPr>
          <w:rFonts w:ascii="Arial" w:cs="Arial" w:eastAsia="Arial" w:hAnsi="Arial"/>
        </w:rPr>
        <w:t xml:space="preserve">The Principle</w:t>
      </w:r>
    </w:p>
    <w:p>
      <w:pPr>
        <w:spacing w:after="120" w:line="300"/>
      </w:pPr>
      <w:r>
        <w:rPr>
          <w:rFonts w:ascii="Arial" w:cs="Arial" w:eastAsia="Arial" w:hAnsi="Arial"/>
        </w:rPr>
        <w:t xml:space="preserve">Compensation for my role running the BTS e-commerce division should meet three tests:</w:t>
      </w:r>
    </w:p>
    <w:p>
      <w:pPr>
        <w:pStyle w:val="ListParagraph"/>
        <w:numPr>
          <w:ilvl w:val="0"/>
          <w:numId w:val="2"/>
        </w:numPr>
        <w:spacing w:after="80"/>
      </w:pPr>
      <w:r>
        <w:rPr>
          <w:rFonts w:ascii="Arial" w:cs="Arial" w:eastAsia="Arial" w:hAnsi="Arial"/>
        </w:rPr>
        <w:t xml:space="preserve">Track the value the division actually generates — not a guaranteed salary before revenue exists.</w:t>
      </w:r>
    </w:p>
    <w:p>
      <w:pPr>
        <w:pStyle w:val="ListParagraph"/>
        <w:numPr>
          <w:ilvl w:val="0"/>
          <w:numId w:val="2"/>
        </w:numPr>
        <w:spacing w:after="80"/>
      </w:pPr>
      <w:r>
        <w:rPr>
          <w:rFonts w:ascii="Arial" w:cs="Arial" w:eastAsia="Arial" w:hAnsi="Arial"/>
        </w:rPr>
        <w:t xml:space="preserve">Never exceed, at steady state, what a senior e-commerce leader would cost you as a W-2 employee in the same role at the same scale.</w:t>
      </w:r>
    </w:p>
    <w:p>
      <w:pPr>
        <w:pStyle w:val="ListParagraph"/>
        <w:numPr>
          <w:ilvl w:val="0"/>
          <w:numId w:val="2"/>
        </w:numPr>
        <w:spacing w:after="80"/>
      </w:pPr>
      <w:r>
        <w:rPr>
          <w:rFonts w:ascii="Arial" w:cs="Arial" w:eastAsia="Arial" w:hAnsi="Arial"/>
        </w:rPr>
        <w:t xml:space="preserve">Convert automatically from performance-based to market-rate as the business matures — with no renegotiation needed.</w:t>
      </w:r>
    </w:p>
    <w:p>
      <w:pPr>
        <w:spacing w:after="120" w:line="300"/>
      </w:pPr>
      <w:r>
        <w:rPr>
          <w:rFonts w:ascii="Arial" w:cs="Arial" w:eastAsia="Arial" w:hAnsi="Arial"/>
        </w:rPr>
        <w:t xml:space="preserve">The structure below delivers all three. It starts high as a percentage of contribution margin (CM) because I am taking no salary during the build phase, and it declines on a pre-agreed schedule so that at maturity the division pays me exactly what any company our size would pay its Head of E-Commerce — not a dollar more.</w:t>
      </w:r>
    </w:p>
    <w:p>
      <w:pPr>
        <w:pStyle w:val="Heading1"/>
      </w:pPr>
      <w:r>
        <w:rPr>
          <w:rFonts w:ascii="Arial" w:cs="Arial" w:eastAsia="Arial" w:hAnsi="Arial"/>
        </w:rPr>
        <w:t xml:space="preserve">Why It Starts High</w:t>
      </w:r>
    </w:p>
    <w:p>
      <w:pPr>
        <w:spacing w:after="120" w:line="300"/>
      </w:pPr>
      <w:r>
        <w:rPr>
          <w:rFonts w:ascii="Arial" w:cs="Arial" w:eastAsia="Arial" w:hAnsi="Arial"/>
        </w:rPr>
        <w:t xml:space="preserve">A market-rate Head of E-Commerce in Canada earns $140K–$180K base + 15–25% variable + benefits, for a total package of approximately $180K–$230K. Over the first 18 months of a build you would spend $270K–$345K on that person — cash out the door, regardless of whether the division generates any revenue.</w:t>
      </w:r>
    </w:p>
    <w:p>
      <w:pPr>
        <w:spacing w:after="120" w:line="300"/>
      </w:pPr>
      <w:r>
        <w:rPr>
          <w:rFonts w:ascii="Arial" w:cs="Arial" w:eastAsia="Arial" w:hAnsi="Arial"/>
        </w:rPr>
        <w:t xml:space="preserve">Under my proposal, the division pays me nothing until CM exists. When CM is generated, I take a high percentage of it — 40% of the first tranche — because that high percentage applied to a small early pool still sums to less total cash than a salaried hire's guaranteed payroll over the same period. Two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Scenario</w:t>
            </w:r>
          </w:p>
        </w:tc>
        <w:tc>
          <w:tcPr>
            <w:tcW w:type="dxa" w:w="234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Annual CM</w:t>
            </w:r>
          </w:p>
        </w:tc>
        <w:tc>
          <w:tcPr>
            <w:tcW w:type="dxa" w:w="234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My share</w:t>
            </w:r>
          </w:p>
        </w:tc>
        <w:tc>
          <w:tcPr>
            <w:tcW w:type="dxa" w:w="234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W-2 alternative</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Year 1 (build)</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$150K</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$60K (40%)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~$180K</w:t>
            </w:r>
          </w:p>
        </w:tc>
      </w:tr>
      <w:tr>
        <w:tc>
          <w:tcPr>
            <w:tcW w:type="dxa" w:w="234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Year 2 (ramp)</w:t>
            </w:r>
          </w:p>
        </w:tc>
        <w:tc>
          <w:tcPr>
            <w:tcW w:type="dxa" w:w="234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$400K</w:t>
            </w:r>
          </w:p>
        </w:tc>
        <w:tc>
          <w:tcPr>
            <w:tcW w:type="dxa" w:w="234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$122K (40/25 blend)</w:t>
            </w:r>
          </w:p>
        </w:tc>
        <w:tc>
          <w:tcPr>
            <w:tcW w:type="dxa" w:w="234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~$190K</w:t>
            </w:r>
          </w:p>
        </w:tc>
      </w:tr>
    </w:tbl>
    <w:p>
      <w:pPr>
        <w:spacing w:after="120" w:line="300"/>
      </w:pPr>
      <w:r>
        <w:rPr>
          <w:rFonts w:ascii="Arial" w:cs="Arial" w:eastAsia="Arial" w:hAnsi="Arial"/>
        </w:rPr>
        <w:t xml:space="preserve"> </w:t>
      </w:r>
    </w:p>
    <w:p>
      <w:pPr>
        <w:spacing w:after="120" w:line="300"/>
      </w:pPr>
      <w:r>
        <w:rPr>
          <w:rFonts w:ascii="Arial" w:cs="Arial" w:eastAsia="Arial" w:hAnsi="Arial"/>
        </w:rPr>
        <w:t xml:space="preserve">Through Year 2 I am cheaper than a salaried equivalent in nearly every scenario, </w:t>
      </w:r>
      <w:r>
        <w:rPr>
          <w:rFonts w:ascii="Arial" w:cs="Arial" w:eastAsia="Arial" w:hAnsi="Arial"/>
          <w:b/>
          <w:bCs/>
        </w:rPr>
        <w:t xml:space="preserve">and the division carries zero fixed-cost risk if it doesn't work. </w:t>
      </w:r>
      <w:r>
        <w:rPr>
          <w:rFonts w:ascii="Arial" w:cs="Arial" w:eastAsia="Arial" w:hAnsi="Arial"/>
        </w:rPr>
        <w:t xml:space="preserve">The high percentage is not a premium — it is the price of the capital and risk I am contributing in lieu of a salary.</w:t>
      </w:r>
    </w:p>
    <w:p>
      <w:pPr>
        <w:pStyle w:val="Heading1"/>
      </w:pPr>
      <w:r>
        <w:rPr>
          <w:rFonts w:ascii="Arial" w:cs="Arial" w:eastAsia="Arial" w:hAnsi="Arial"/>
        </w:rPr>
        <w:t xml:space="preserve">Why It Declines — and Converges to Market Rate</w:t>
      </w:r>
    </w:p>
    <w:p>
      <w:pPr>
        <w:spacing w:after="120" w:line="300"/>
      </w:pPr>
      <w:r>
        <w:rPr>
          <w:rFonts w:ascii="Arial" w:cs="Arial" w:eastAsia="Arial" w:hAnsi="Arial"/>
        </w:rPr>
        <w:t xml:space="preserve">At larger CM pools, a flat 40% share would eventually exceed what a W-2 hire costs, which is unfair to you as owner and unsustainable for the business. The structure prevents that mechanically, in two layers that work together.</w:t>
      </w:r>
    </w:p>
    <w:p>
      <w:pPr>
        <w:pStyle w:val="Heading2"/>
      </w:pPr>
      <w:r>
        <w:rPr>
          <w:rFonts w:ascii="Arial" w:cs="Arial" w:eastAsia="Arial" w:hAnsi="Arial"/>
        </w:rPr>
        <w:t xml:space="preserve">Layer 1 — Tiered CM share</w:t>
      </w:r>
    </w:p>
    <w:p>
      <w:pPr>
        <w:spacing w:after="120" w:line="300"/>
      </w:pPr>
      <w:r>
        <w:rPr>
          <w:rFonts w:ascii="Arial" w:cs="Arial" w:eastAsia="Arial" w:hAnsi="Arial"/>
        </w:rPr>
        <w:t xml:space="preserve">The CM share rate steps down at fixed CM thresholds, so that larger pools are taxed at lower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Annual CM band</w:t>
            </w:r>
          </w:p>
        </w:tc>
        <w:tc>
          <w:tcPr>
            <w:tcW w:type="dxa" w:w="208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My share</w:t>
            </w:r>
          </w:p>
        </w:tc>
        <w:tc>
          <w:tcPr>
            <w:tcW w:type="dxa" w:w="416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Cumulative dollars at band ceiling</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$0 — $150K</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40%</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$60K</w:t>
            </w:r>
          </w:p>
        </w:tc>
      </w:tr>
      <w:tr>
        <w:tc>
          <w:tcPr>
            <w:tcW w:type="dxa" w:w="312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$150K — $400K</w:t>
            </w:r>
          </w:p>
        </w:tc>
        <w:tc>
          <w:tcPr>
            <w:tcW w:type="dxa" w:w="208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25%</w:t>
            </w:r>
          </w:p>
        </w:tc>
        <w:tc>
          <w:tcPr>
            <w:tcW w:type="dxa" w:w="416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$122K</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$400K — $1.0M</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15%</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$212K</w:t>
            </w:r>
          </w:p>
        </w:tc>
      </w:tr>
      <w:tr>
        <w:tc>
          <w:tcPr>
            <w:tcW w:type="dxa" w:w="312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$1.0M — $2.0M</w:t>
            </w:r>
          </w:p>
        </w:tc>
        <w:tc>
          <w:tcPr>
            <w:tcW w:type="dxa" w:w="208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8%</w:t>
            </w:r>
          </w:p>
        </w:tc>
        <w:tc>
          <w:tcPr>
            <w:tcW w:type="dxa" w:w="416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$292K</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$2.0M +</w:t>
            </w:r>
          </w:p>
        </w:tc>
        <w:tc>
          <w:tcPr>
            <w:tcW w:type="dxa" w:w="20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5% → converts to W-2</w:t>
            </w:r>
          </w:p>
        </w:tc>
        <w:tc>
          <w:tcPr>
            <w:tcW w:type="dxa" w:w="41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Market-rate salary</w:t>
            </w:r>
          </w:p>
        </w:tc>
      </w:tr>
    </w:tbl>
    <w:p>
      <w:pPr>
        <w:spacing w:after="120" w:line="300"/>
      </w:pPr>
      <w:r>
        <w:rPr>
          <w:rFonts w:ascii="Arial" w:cs="Arial" w:eastAsia="Arial" w:hAnsi="Arial"/>
        </w:rPr>
        <w:t xml:space="preserve"> </w:t>
      </w:r>
    </w:p>
    <w:p>
      <w:pPr>
        <w:spacing w:after="120" w:line="300"/>
      </w:pPr>
      <w:r>
        <w:rPr>
          <w:rFonts w:ascii="Arial" w:cs="Arial" w:eastAsia="Arial" w:hAnsi="Arial"/>
        </w:rPr>
        <w:t xml:space="preserve">By itself, this schedule caps my cash comp below or at a senior director salary through the entire growth phase. It is self-limiting.</w:t>
      </w:r>
    </w:p>
    <w:p>
      <w:pPr>
        <w:pStyle w:val="Heading2"/>
      </w:pPr>
      <w:r>
        <w:rPr>
          <w:rFonts w:ascii="Arial" w:cs="Arial" w:eastAsia="Arial" w:hAnsi="Arial"/>
        </w:rPr>
        <w:t xml:space="preserve">Layer 2 — NewCo equity vesting steps down the CM share further</w:t>
      </w:r>
    </w:p>
    <w:p>
      <w:pPr>
        <w:spacing w:after="120" w:line="300"/>
      </w:pPr>
      <w:r>
        <w:rPr>
          <w:rFonts w:ascii="Arial" w:cs="Arial" w:eastAsia="Arial" w:hAnsi="Arial"/>
        </w:rPr>
        <w:t xml:space="preserve">Once NewCo (the separately incorporated e-commerce entity proposed in the addendum to the main proposal) hits revenue milestones, milestone-vested equity kicks in and the CM share drops in lockstep: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Vested NewCo equity</w:t>
            </w:r>
          </w:p>
        </w:tc>
        <w:tc>
          <w:tcPr>
            <w:tcW w:type="dxa" w:w="312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Vesting trigger</w:t>
            </w:r>
          </w:p>
        </w:tc>
        <w:tc>
          <w:tcPr>
            <w:tcW w:type="dxa" w:w="312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CM share adjustment</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5%</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$1.0M TTM revenue</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−25% of current rate</w:t>
            </w:r>
          </w:p>
        </w:tc>
      </w:tr>
      <w:tr>
        <w:tc>
          <w:tcPr>
            <w:tcW w:type="dxa" w:w="312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10%</w:t>
            </w:r>
          </w:p>
        </w:tc>
        <w:tc>
          <w:tcPr>
            <w:tcW w:type="dxa" w:w="312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$2.5M TTM revenue</w:t>
            </w:r>
          </w:p>
        </w:tc>
        <w:tc>
          <w:tcPr>
            <w:tcW w:type="dxa" w:w="312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−50% of current rate</w:t>
            </w:r>
          </w:p>
        </w:tc>
      </w:tr>
      <w:tr>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15%</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$5.0M TTM revenue</w:t>
            </w:r>
          </w:p>
        </w:tc>
        <w:tc>
          <w:tcPr>
            <w:tcW w:type="dxa" w:w="31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−75% of current rate</w:t>
            </w:r>
          </w:p>
        </w:tc>
      </w:tr>
      <w:tr>
        <w:tc>
          <w:tcPr>
            <w:tcW w:type="dxa" w:w="312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20% (fully vested)</w:t>
            </w:r>
          </w:p>
        </w:tc>
        <w:tc>
          <w:tcPr>
            <w:tcW w:type="dxa" w:w="312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$10M TTM revenue or liquidity event</w:t>
            </w:r>
          </w:p>
        </w:tc>
        <w:tc>
          <w:tcPr>
            <w:tcW w:type="dxa" w:w="312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CM share → $0; W-2 salary takes over</w:t>
            </w:r>
          </w:p>
        </w:tc>
      </w:tr>
    </w:tbl>
    <w:p>
      <w:pPr>
        <w:spacing w:after="120" w:line="300"/>
      </w:pPr>
      <w:r>
        <w:rPr>
          <w:rFonts w:ascii="Arial" w:cs="Arial" w:eastAsia="Arial" w:hAnsi="Arial"/>
        </w:rPr>
        <w:t xml:space="preserve"> </w:t>
      </w:r>
    </w:p>
    <w:p>
      <w:pPr>
        <w:spacing w:after="120" w:line="300"/>
      </w:pPr>
      <w:r>
        <w:rPr>
          <w:rFonts w:ascii="Arial" w:cs="Arial" w:eastAsia="Arial" w:hAnsi="Arial"/>
        </w:rPr>
        <w:t xml:space="preserve">At fully vested, my cash compensation is exactly a standard W-2 Head of E-Commerce package for a business at that scale — approximately $180K–$220K base + variable + benefits. </w:t>
      </w:r>
      <w:r>
        <w:rPr>
          <w:rFonts w:ascii="Arial" w:cs="Arial" w:eastAsia="Arial" w:hAnsi="Arial"/>
          <w:b/>
          <w:bCs/>
        </w:rPr>
        <w:t xml:space="preserve">Not a dollar above market rate. </w:t>
      </w:r>
      <w:r>
        <w:rPr>
          <w:rFonts w:ascii="Arial" w:cs="Arial" w:eastAsia="Arial" w:hAnsi="Arial"/>
        </w:rPr>
        <w:t xml:space="preserve">The only remaining economic relationship is my 20% NewCo equity stake, which I earned from zero by building the division. You retain 75–85% ownership of a clean, sellable sub-entity that is now worth materially more than a buried operating division would have been.</w:t>
      </w:r>
    </w:p>
    <w:p>
      <w:pPr>
        <w:pStyle w:val="Heading1"/>
      </w:pPr>
      <w:r>
        <w:rPr>
          <w:rFonts w:ascii="Arial" w:cs="Arial" w:eastAsia="Arial" w:hAnsi="Arial"/>
        </w:rPr>
        <w:t xml:space="preserve">What This Means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c>
          <w:tcPr>
            <w:tcW w:type="dxa" w:w="234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My cash comp</w:t>
            </w:r>
          </w:p>
        </w:tc>
        <w:tc>
          <w:tcPr>
            <w:tcW w:type="dxa" w:w="234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W-2 equivalent</w:t>
            </w:r>
          </w:p>
        </w:tc>
        <w:tc>
          <w:tcPr>
            <w:tcW w:type="dxa" w:w="234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Your exposure</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Build (Y1–Y2)</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$0 – $122K</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$180K – $230K</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Zero if CM = 0</w:t>
            </w:r>
          </w:p>
        </w:tc>
      </w:tr>
      <w:tr>
        <w:tc>
          <w:tcPr>
            <w:tcW w:type="dxa" w:w="234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Scale (Y3–Y4)</w:t>
            </w:r>
          </w:p>
        </w:tc>
        <w:tc>
          <w:tcPr>
            <w:tcW w:type="dxa" w:w="234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$150K – $220K</w:t>
            </w:r>
          </w:p>
        </w:tc>
        <w:tc>
          <w:tcPr>
            <w:tcW w:type="dxa" w:w="234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$180K – $240K</w:t>
            </w:r>
          </w:p>
        </w:tc>
        <w:tc>
          <w:tcPr>
            <w:tcW w:type="dxa" w:w="234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 market rate</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Mature (Y5+)</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$180K – $220K W-2</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$180K – $240K</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 market rate</w:t>
            </w:r>
          </w:p>
        </w:tc>
      </w:tr>
    </w:tbl>
    <w:p>
      <w:pPr>
        <w:spacing w:after="120" w:line="300"/>
      </w:pPr>
      <w:r>
        <w:rPr>
          <w:rFonts w:ascii="Arial" w:cs="Arial" w:eastAsia="Arial" w:hAnsi="Arial"/>
        </w:rPr>
        <w:t xml:space="preserve"> </w:t>
      </w:r>
    </w:p>
    <w:p>
      <w:pPr>
        <w:spacing w:after="120" w:line="300"/>
      </w:pPr>
      <w:r>
        <w:rPr>
          <w:rFonts w:ascii="Arial" w:cs="Arial" w:eastAsia="Arial" w:hAnsi="Arial"/>
        </w:rPr>
        <w:t xml:space="preserve">At no point in the division's life does it pay me more, in cash, than what the market would pay a senior e-commerce leader in a mature business of equivalent scale. The high early percentage is the price of not paying a salary during the build. The low late percentage — and the automatic conversion to W-2 — is the correction the moment the division is large enough to afford one.</w:t>
      </w:r>
    </w:p>
    <w:p>
      <w:pPr>
        <w:pStyle w:val="Heading1"/>
      </w:pPr>
      <w:r>
        <w:rPr>
          <w:rFonts w:ascii="Arial" w:cs="Arial" w:eastAsia="Arial" w:hAnsi="Arial"/>
        </w:rPr>
        <w:t xml:space="preserve">Robust If Circumstances Change</w:t>
      </w:r>
    </w:p>
    <w:p>
      <w:pPr>
        <w:spacing w:after="120" w:line="300"/>
      </w:pPr>
      <w:r>
        <w:rPr>
          <w:rFonts w:ascii="Arial" w:cs="Arial" w:eastAsia="Arial" w:hAnsi="Arial"/>
        </w:rPr>
        <w:t xml:space="preserve">A fair structure has to work even if the relationship has to change. Two failure modes to plan for:</w:t>
      </w:r>
    </w:p>
    <w:p>
      <w:pPr>
        <w:spacing w:after="120" w:line="300"/>
      </w:pPr>
      <w:r>
        <w:rPr>
          <w:rFonts w:ascii="Arial" w:cs="Arial" w:eastAsia="Arial" w:hAnsi="Arial"/>
          <w:b/>
          <w:bCs/>
        </w:rPr>
        <w:t xml:space="preserve">If the division grows faster than expected: </w:t>
      </w:r>
      <w:r>
        <w:rPr>
          <w:rFonts w:ascii="Arial" w:cs="Arial" w:eastAsia="Arial" w:hAnsi="Arial"/>
        </w:rPr>
        <w:t xml:space="preserve">the CM share steps down mechanically; you are not stuck with an above-market comp line. You don't need my agreement to avoid overpaying — the schedule does it for you.</w:t>
      </w:r>
    </w:p>
    <w:p>
      <w:pPr>
        <w:spacing w:after="120" w:line="300"/>
      </w:pPr>
      <w:r>
        <w:rPr>
          <w:rFonts w:ascii="Arial" w:cs="Arial" w:eastAsia="Arial" w:hAnsi="Arial"/>
          <w:b/>
          <w:bCs/>
        </w:rPr>
        <w:t xml:space="preserve">If the division grows slower than expected: </w:t>
      </w:r>
      <w:r>
        <w:rPr>
          <w:rFonts w:ascii="Arial" w:cs="Arial" w:eastAsia="Arial" w:hAnsi="Arial"/>
        </w:rPr>
        <w:t xml:space="preserve">I earn less, and you haven't paid a salary to an unproductive hire. The division's downside is shared proportionally, not absorbed by you.</w:t>
      </w:r>
    </w:p>
    <w:p>
      <w:pPr>
        <w:spacing w:after="120" w:line="300"/>
      </w:pPr>
      <w:r>
        <w:rPr>
          <w:rFonts w:ascii="Arial" w:cs="Arial" w:eastAsia="Arial" w:hAnsi="Arial"/>
          <w:b/>
          <w:bCs/>
        </w:rPr>
        <w:t xml:space="preserve">If operational responsibility needs to transition: </w:t>
      </w:r>
      <w:r>
        <w:rPr>
          <w:rFonts w:ascii="Arial" w:cs="Arial" w:eastAsia="Arial" w:hAnsi="Arial"/>
        </w:rPr>
        <w:t xml:space="preserve">once my CM share has dropped into the single-digit band (Year 4 onward), it is close enough to a variable-comp component of a salaried role that you can convert me formally to W-2 via the three-door transition, or bring in a market-rate operator to run day-to-day while I retain whatever NewCo equity has vested. In either case, the division's ongoing operating cost stays at market rate. The structure never structurally burdens you with above-market comp.</w:t>
      </w:r>
    </w:p>
    <w:p>
      <w:pPr>
        <w:pStyle w:val="Heading1"/>
      </w:pPr>
      <w:r>
        <w:rPr>
          <w:rFonts w:ascii="Arial" w:cs="Arial" w:eastAsia="Arial" w:hAnsi="Arial"/>
        </w:rPr>
        <w:t xml:space="preserve">Comparison to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Structure</w:t>
            </w:r>
          </w:p>
        </w:tc>
        <w:tc>
          <w:tcPr>
            <w:tcW w:type="dxa" w:w="234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Build-phase cost</w:t>
            </w:r>
          </w:p>
        </w:tc>
        <w:tc>
          <w:tcPr>
            <w:tcW w:type="dxa" w:w="234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Scale-phase cost</w:t>
            </w:r>
          </w:p>
        </w:tc>
        <w:tc>
          <w:tcPr>
            <w:tcW w:type="dxa" w:w="2340"/>
            <w:tcBorders>
              <w:top w:val="single" w:color="BBBBBB" w:sz="4"/>
              <w:left w:val="single" w:color="BBBBBB" w:sz="4"/>
              <w:bottom w:val="single" w:color="BBBBBB" w:sz="4"/>
              <w:right w:val="single" w:color="BBBBBB" w:sz="4"/>
            </w:tcBorders>
            <w:shd w:fill="1A1A1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Risk if it fails</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W-2 Head of E-Comm from Day 1</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$180K – $230K/yr guaranteed</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$180K – $260K/yr</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Severance, ~$50K – $100K sunk</w:t>
            </w:r>
          </w:p>
        </w:tc>
      </w:tr>
      <w:tr>
        <w:tc>
          <w:tcPr>
            <w:tcW w:type="dxa" w:w="234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Fractional / agency leader</w:t>
            </w:r>
          </w:p>
        </w:tc>
        <w:tc>
          <w:tcPr>
            <w:tcW w:type="dxa" w:w="234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$120K – $180K/yr retainer</w:t>
            </w:r>
          </w:p>
        </w:tc>
        <w:tc>
          <w:tcPr>
            <w:tcW w:type="dxa" w:w="234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Capped effort</w:t>
            </w:r>
          </w:p>
        </w:tc>
        <w:tc>
          <w:tcPr>
            <w:tcW w:type="dxa" w:w="2340"/>
            <w:tcBorders>
              <w:top w:val="single" w:color="BBBBBB" w:sz="4"/>
              <w:left w:val="single" w:color="BBBBBB" w:sz="4"/>
              <w:bottom w:val="single" w:color="BBBBBB" w:sz="4"/>
              <w:right w:val="single" w:color="BBBBBB" w:sz="4"/>
            </w:tcBorders>
            <w:shd w:fill="F5F5F5" w:val="clear"/>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Low, but low upside</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left"/>
            </w:pPr>
            <w:r>
              <w:rPr>
                <w:rFonts w:ascii="Arial" w:cs="Arial" w:eastAsia="Arial" w:hAnsi="Arial"/>
                <w:b/>
                <w:bCs/>
                <w:color w:val="000000"/>
                <w:sz w:val="20"/>
                <w:szCs w:val="20"/>
              </w:rPr>
              <w:t xml:space="preserve">Russell on tiered CM share + NewCo vesting</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$0 – $122K (outcome-linked)</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Converges to market rate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jc w:val="right"/>
            </w:pPr>
            <w:r>
              <w:rPr>
                <w:rFonts w:ascii="Arial" w:cs="Arial" w:eastAsia="Arial" w:hAnsi="Arial"/>
                <w:b w:val="false"/>
                <w:bCs w:val="false"/>
                <w:color w:val="000000"/>
                <w:sz w:val="20"/>
                <w:szCs w:val="20"/>
              </w:rPr>
              <w:t xml:space="preserve">Zero — no CM, no payment</w:t>
            </w:r>
          </w:p>
        </w:tc>
      </w:tr>
    </w:tbl>
    <w:p>
      <w:pPr>
        <w:spacing w:after="120" w:line="300"/>
      </w:pPr>
      <w:r>
        <w:rPr>
          <w:rFonts w:ascii="Arial" w:cs="Arial" w:eastAsia="Arial" w:hAnsi="Arial"/>
        </w:rPr>
        <w:t xml:space="preserve"> </w:t>
      </w:r>
    </w:p>
    <w:p>
      <w:pPr>
        <w:spacing w:after="120" w:line="300"/>
      </w:pPr>
      <w:r>
        <w:rPr>
          <w:rFonts w:ascii="Arial" w:cs="Arial" w:eastAsia="Arial" w:hAnsi="Arial"/>
        </w:rPr>
        <w:t xml:space="preserve">The proposed structure is the only one of the three where (a) the build-phase cost is fully linked to the revenue the division actually generates, and (b) the scale-phase cost is locked at market rate by design.</w:t>
      </w:r>
    </w:p>
    <w:p>
      <w:pPr>
        <w:pStyle w:val="Heading1"/>
      </w:pPr>
      <w:r>
        <w:rPr>
          <w:rFonts w:ascii="Arial" w:cs="Arial" w:eastAsia="Arial" w:hAnsi="Arial"/>
        </w:rPr>
        <w:t xml:space="preserve">What I'm Asking You to Agree To</w:t>
      </w:r>
    </w:p>
    <w:p>
      <w:pPr>
        <w:pStyle w:val="ListParagraph"/>
        <w:numPr>
          <w:ilvl w:val="0"/>
          <w:numId w:val="2"/>
        </w:numPr>
        <w:spacing w:after="100"/>
      </w:pPr>
      <w:r>
        <w:rPr>
          <w:rFonts w:ascii="Arial" w:cs="Arial" w:eastAsia="Arial" w:hAnsi="Arial"/>
        </w:rPr>
        <w:t xml:space="preserve">The tiered CM share schedule in the table above.</w:t>
      </w:r>
    </w:p>
    <w:p>
      <w:pPr>
        <w:pStyle w:val="ListParagraph"/>
        <w:numPr>
          <w:ilvl w:val="0"/>
          <w:numId w:val="2"/>
        </w:numPr>
        <w:spacing w:after="100"/>
      </w:pPr>
      <w:r>
        <w:rPr>
          <w:rFonts w:ascii="Arial" w:cs="Arial" w:eastAsia="Arial" w:hAnsi="Arial"/>
        </w:rPr>
        <w:t xml:space="preserve">Spinning the division into NewCo — a separately incorporated entity, 100% owned by Bullet Trade Services on day one, with the milestone-vested equity schedule in the addendum.</w:t>
      </w:r>
    </w:p>
    <w:p>
      <w:pPr>
        <w:pStyle w:val="ListParagraph"/>
        <w:numPr>
          <w:ilvl w:val="0"/>
          <w:numId w:val="2"/>
        </w:numPr>
        <w:spacing w:after="100"/>
      </w:pPr>
      <w:r>
        <w:rPr>
          <w:rFonts w:ascii="Arial" w:cs="Arial" w:eastAsia="Arial" w:hAnsi="Arial"/>
        </w:rPr>
        <w:t xml:space="preserve">A severance clause: termination without cause before fully vested triggers the greater of 18 months trailing CM share or $150K.</w:t>
      </w:r>
    </w:p>
    <w:p>
      <w:pPr>
        <w:pStyle w:val="ListParagraph"/>
        <w:numPr>
          <w:ilvl w:val="0"/>
          <w:numId w:val="2"/>
        </w:numPr>
        <w:spacing w:after="100"/>
      </w:pPr>
      <w:r>
        <w:rPr>
          <w:rFonts w:ascii="Arial" w:cs="Arial" w:eastAsia="Arial" w:hAnsi="Arial"/>
        </w:rPr>
        <w:t xml:space="preserve">At fully vested NewCo equity, my compensation automatically reverts to a standard market-rate W-2 package — no premium, no override, no negotiation.</w:t>
      </w:r>
    </w:p>
    <w:p>
      <w:pPr>
        <w:spacing w:after="120" w:line="300"/>
      </w:pPr>
      <w:r>
        <w:rPr>
          <w:rFonts w:ascii="Arial" w:cs="Arial" w:eastAsia="Arial" w:hAnsi="Arial"/>
        </w:rPr>
        <w:t xml:space="preserve"> </w:t>
      </w:r>
    </w:p>
    <w:p>
      <w:pPr>
        <w:spacing w:after="120" w:line="300"/>
      </w:pPr>
      <w:r>
        <w:rPr>
          <w:rFonts w:ascii="Arial" w:cs="Arial" w:eastAsia="Arial" w:hAnsi="Arial"/>
          <w:b/>
          <w:bCs/>
        </w:rPr>
        <w:t xml:space="preserve">The point I want you to take from this memo: </w:t>
      </w:r>
      <w:r>
        <w:rPr>
          <w:rFonts w:ascii="Arial" w:cs="Arial" w:eastAsia="Arial" w:hAnsi="Arial"/>
        </w:rPr>
        <w:t xml:space="preserve">the structure is specifically engineered so that the division never pays me more than a market-rate employee at maturity. The only period in which my effective hourly rate looks high is the period in which you are paying no salary, no benefits, and carrying no severance risk. Every other year of the life of the business, my comp is at or below what you would pay an outside hire for the same role.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BTS E-Commerce — Compensation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B000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BTS E-Commerce — Compensation Memo</dc:title>
  <dc:creator>Russell Cole</dc:creator>
  <cp:lastModifiedBy>Un-named</cp:lastModifiedBy>
  <cp:revision>1</cp:revision>
  <dcterms:created xsi:type="dcterms:W3CDTF">2026-04-10T19:15:07.248Z</dcterms:created>
  <dcterms:modified xsi:type="dcterms:W3CDTF">2026-04-10T19:15:07.248Z</dcterms:modified>
</cp:coreProperties>
</file>

<file path=docProps/custom.xml><?xml version="1.0" encoding="utf-8"?>
<Properties xmlns="http://schemas.openxmlformats.org/officeDocument/2006/custom-properties" xmlns:vt="http://schemas.openxmlformats.org/officeDocument/2006/docPropsVTypes"/>
</file>