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1486" w:rsidRPr="00D31486" w:rsidRDefault="00D31486" w:rsidP="00D31486">
      <w:pPr>
        <w:spacing w:after="0" w:line="240" w:lineRule="auto"/>
        <w:rPr>
          <w:rFonts w:ascii="Arial" w:hAnsi="Arial" w:cs="Arial"/>
          <w:sz w:val="22"/>
        </w:rPr>
      </w:pPr>
      <w:r w:rsidRPr="00D31486">
        <w:rPr>
          <w:rFonts w:ascii="Arial" w:hAnsi="Arial" w:cs="Arial"/>
          <w:sz w:val="22"/>
        </w:rPr>
        <w:t>EBUS course 2026 MCQs</w:t>
      </w:r>
    </w:p>
    <w:p w:rsidR="00D31486" w:rsidRPr="00D31486" w:rsidRDefault="00D31486" w:rsidP="00D31486">
      <w:pPr>
        <w:spacing w:after="0" w:line="240" w:lineRule="auto"/>
        <w:rPr>
          <w:rFonts w:ascii="Arial" w:hAnsi="Arial" w:cs="Arial"/>
          <w:sz w:val="22"/>
        </w:rPr>
      </w:pPr>
    </w:p>
    <w:p w:rsidR="00D31486" w:rsidRPr="00D31486" w:rsidRDefault="007528DB" w:rsidP="00D31486">
      <w:pPr>
        <w:spacing w:after="0" w:line="240" w:lineRule="auto"/>
        <w:rPr>
          <w:rFonts w:ascii="Arial" w:hAnsi="Arial" w:cs="Arial"/>
          <w:sz w:val="22"/>
        </w:rPr>
      </w:pPr>
      <w:proofErr w:type="spellStart"/>
      <w:r>
        <w:rPr>
          <w:rFonts w:ascii="Arial" w:hAnsi="Arial" w:cs="Arial"/>
          <w:sz w:val="22"/>
        </w:rPr>
        <w:t>cpEBUS</w:t>
      </w:r>
      <w:proofErr w:type="spellEnd"/>
      <w:r>
        <w:rPr>
          <w:rFonts w:ascii="Arial" w:hAnsi="Arial" w:cs="Arial"/>
          <w:sz w:val="22"/>
        </w:rPr>
        <w:t xml:space="preserve"> for molecular markers</w:t>
      </w:r>
    </w:p>
    <w:p w:rsidR="00D31486" w:rsidRPr="00D31486" w:rsidRDefault="00D31486" w:rsidP="00D31486">
      <w:pPr>
        <w:spacing w:after="0" w:line="240" w:lineRule="auto"/>
        <w:rPr>
          <w:rFonts w:ascii="Arial" w:hAnsi="Arial" w:cs="Arial"/>
          <w:sz w:val="22"/>
        </w:rPr>
      </w:pPr>
    </w:p>
    <w:p w:rsidR="00285ED2" w:rsidRDefault="00D31486" w:rsidP="00D31486">
      <w:pPr>
        <w:spacing w:after="0" w:line="240" w:lineRule="auto"/>
        <w:rPr>
          <w:rFonts w:ascii="Arial" w:hAnsi="Arial" w:cs="Arial"/>
          <w:sz w:val="22"/>
        </w:rPr>
      </w:pPr>
      <w:r w:rsidRPr="00D31486">
        <w:rPr>
          <w:rFonts w:ascii="Arial" w:hAnsi="Arial" w:cs="Arial"/>
          <w:sz w:val="22"/>
        </w:rPr>
        <w:t>Post video quiz</w:t>
      </w:r>
      <w:r w:rsidR="00701DDB">
        <w:rPr>
          <w:rFonts w:ascii="Arial" w:hAnsi="Arial" w:cs="Arial"/>
          <w:sz w:val="22"/>
        </w:rPr>
        <w:t xml:space="preserve"> </w:t>
      </w:r>
      <w:r w:rsidRPr="00D31486">
        <w:rPr>
          <w:rFonts w:ascii="Arial" w:hAnsi="Arial" w:cs="Arial"/>
          <w:sz w:val="22"/>
        </w:rPr>
        <w:t>(with answers)</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p>
    <w:p w:rsidR="00D31486" w:rsidRPr="00D31486" w:rsidRDefault="00701DDB" w:rsidP="00D31486">
      <w:pPr>
        <w:spacing w:after="0" w:line="240" w:lineRule="auto"/>
        <w:rPr>
          <w:rFonts w:ascii="Arial" w:hAnsi="Arial" w:cs="Arial"/>
          <w:sz w:val="22"/>
        </w:rPr>
      </w:pPr>
      <w:r>
        <w:rPr>
          <w:rFonts w:ascii="Arial" w:hAnsi="Arial" w:cs="Arial"/>
          <w:sz w:val="22"/>
        </w:rPr>
        <w:t xml:space="preserve">1. </w:t>
      </w:r>
      <w:r w:rsidR="00D31486" w:rsidRPr="00D31486">
        <w:rPr>
          <w:rFonts w:ascii="Arial" w:hAnsi="Arial" w:cs="Arial"/>
          <w:sz w:val="22"/>
        </w:rPr>
        <w:t>A 67-year-old never-smoker presents with mediastinal adenopathy and a right hilar mass. Convex-probe endobronchial ultrasound-guided transbronchial needle aspiration (</w:t>
      </w:r>
      <w:proofErr w:type="spellStart"/>
      <w:r w:rsidR="00D31486" w:rsidRPr="00D31486">
        <w:rPr>
          <w:rFonts w:ascii="Arial" w:hAnsi="Arial" w:cs="Arial"/>
          <w:sz w:val="22"/>
        </w:rPr>
        <w:t>cpEBUS</w:t>
      </w:r>
      <w:proofErr w:type="spellEnd"/>
      <w:r w:rsidR="00D31486" w:rsidRPr="00D31486">
        <w:rPr>
          <w:rFonts w:ascii="Arial" w:hAnsi="Arial" w:cs="Arial"/>
          <w:sz w:val="22"/>
        </w:rPr>
        <w:t>-TBNA) of station 7 establishes metastatic lung adenocarcinoma. The cytopathologist reports that the specimen is adequate for one coordinated ancillary-testing strategy, but material is limited. Which testing approach is most likely to preserve tissue while maximizing detection of actionable genomic alterations?</w:t>
      </w:r>
    </w:p>
    <w:p w:rsidR="00D31486" w:rsidRPr="00D31486" w:rsidRDefault="00D31486" w:rsidP="00D31486">
      <w:pPr>
        <w:spacing w:after="0" w:line="240" w:lineRule="auto"/>
        <w:rPr>
          <w:rFonts w:ascii="Arial" w:hAnsi="Arial" w:cs="Arial"/>
          <w:sz w:val="22"/>
        </w:rPr>
      </w:pPr>
      <w:r w:rsidRPr="00D31486">
        <w:rPr>
          <w:rFonts w:ascii="Arial" w:hAnsi="Arial" w:cs="Arial"/>
          <w:sz w:val="22"/>
        </w:rPr>
        <w:t>A. Sequential single-gene testing one assay at a time, starting with EGFR and adding others only if negative</w:t>
      </w:r>
    </w:p>
    <w:p w:rsidR="00D31486" w:rsidRPr="00D31486" w:rsidRDefault="00D31486" w:rsidP="00D31486">
      <w:pPr>
        <w:spacing w:after="0" w:line="240" w:lineRule="auto"/>
        <w:rPr>
          <w:rFonts w:ascii="Arial" w:hAnsi="Arial" w:cs="Arial"/>
          <w:sz w:val="22"/>
        </w:rPr>
      </w:pPr>
      <w:r w:rsidRPr="00D31486">
        <w:rPr>
          <w:rFonts w:ascii="Arial" w:hAnsi="Arial" w:cs="Arial"/>
          <w:sz w:val="22"/>
        </w:rPr>
        <w:t>B. A broad DNA/RNA next-generation sequencing (NGS) panel coordinated with programmed death ligand 1 (PD-L1)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C. PD-L1 testing alone because it can guide first-line treatment decisions</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D. </w:t>
      </w:r>
      <w:r>
        <w:rPr>
          <w:rFonts w:ascii="Arial" w:hAnsi="Arial" w:cs="Arial"/>
          <w:sz w:val="22"/>
        </w:rPr>
        <w:t>R</w:t>
      </w:r>
      <w:r w:rsidRPr="00D31486">
        <w:rPr>
          <w:rFonts w:ascii="Arial" w:hAnsi="Arial" w:cs="Arial"/>
          <w:sz w:val="22"/>
        </w:rPr>
        <w:t xml:space="preserve">epeat </w:t>
      </w:r>
      <w:proofErr w:type="spellStart"/>
      <w:r w:rsidRPr="00D31486">
        <w:rPr>
          <w:rFonts w:ascii="Arial" w:hAnsi="Arial" w:cs="Arial"/>
          <w:sz w:val="22"/>
        </w:rPr>
        <w:t>cpEBUS</w:t>
      </w:r>
      <w:proofErr w:type="spellEnd"/>
      <w:r w:rsidRPr="00D31486">
        <w:rPr>
          <w:rFonts w:ascii="Arial" w:hAnsi="Arial" w:cs="Arial"/>
          <w:sz w:val="22"/>
        </w:rPr>
        <w:t>-TBNA before any molecular testing is sent</w:t>
      </w:r>
    </w:p>
    <w:p w:rsidR="00D31486" w:rsidRPr="00D31486" w:rsidRDefault="00D31486" w:rsidP="00D31486">
      <w:pPr>
        <w:spacing w:after="0" w:line="240" w:lineRule="auto"/>
        <w:rPr>
          <w:rFonts w:ascii="Arial" w:hAnsi="Arial" w:cs="Arial"/>
          <w:sz w:val="22"/>
        </w:rPr>
      </w:pPr>
    </w:p>
    <w:p w:rsidR="00D31486" w:rsidRPr="00D31486" w:rsidRDefault="00D31486" w:rsidP="00D31486">
      <w:pPr>
        <w:spacing w:after="0" w:line="240" w:lineRule="auto"/>
        <w:rPr>
          <w:rFonts w:ascii="Arial" w:hAnsi="Arial" w:cs="Arial"/>
          <w:sz w:val="22"/>
        </w:rPr>
      </w:pPr>
      <w:r w:rsidRPr="00D31486">
        <w:rPr>
          <w:rFonts w:ascii="Arial" w:hAnsi="Arial" w:cs="Arial"/>
          <w:sz w:val="22"/>
        </w:rPr>
        <w:t>Correct answer: B.</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Broad panel-based testing is preferred on limited </w:t>
      </w:r>
      <w:proofErr w:type="spellStart"/>
      <w:r w:rsidRPr="00D31486">
        <w:rPr>
          <w:rFonts w:ascii="Arial" w:hAnsi="Arial" w:cs="Arial"/>
          <w:sz w:val="22"/>
        </w:rPr>
        <w:t>cpEBUS</w:t>
      </w:r>
      <w:proofErr w:type="spellEnd"/>
      <w:r w:rsidRPr="00D31486">
        <w:rPr>
          <w:rFonts w:ascii="Arial" w:hAnsi="Arial" w:cs="Arial"/>
          <w:sz w:val="22"/>
        </w:rPr>
        <w:t xml:space="preserve"> material because it maximizes actionable information while minimizing repeated consumption of tumor cells by multiple serial assays. In advanced </w:t>
      </w:r>
      <w:proofErr w:type="spellStart"/>
      <w:r w:rsidRPr="00D31486">
        <w:rPr>
          <w:rFonts w:ascii="Arial" w:hAnsi="Arial" w:cs="Arial"/>
          <w:sz w:val="22"/>
        </w:rPr>
        <w:t>nonsquamous</w:t>
      </w:r>
      <w:proofErr w:type="spellEnd"/>
      <w:r w:rsidRPr="00D31486">
        <w:rPr>
          <w:rFonts w:ascii="Arial" w:hAnsi="Arial" w:cs="Arial"/>
          <w:sz w:val="22"/>
        </w:rPr>
        <w:t xml:space="preserve"> NSCLC, the clinical question is not simply whether one alteration is present, but whether the specimen can efficiently evaluate common mutations and actionable fusions within a single validated workflow. If the current specimen is already adequate, coordinating NGS and PD-L1 from the same acquisition is usually more tissue-sparing than repeating the bronchoscopy.</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sidRPr="00D31486">
        <w:rPr>
          <w:rFonts w:ascii="Arial" w:hAnsi="Arial" w:cs="Arial"/>
          <w:sz w:val="22"/>
        </w:rPr>
        <w:t>Option A is incorrect because sequential testing can exhaust a small sample and delay comprehensive results. Option C is incorrect because PD-L1 testing answers an immunotherapy question but does not exclude EGFR, ALK, ROS1, RET, or other actionable drivers. Option D is incorrect because repeat sampling is generally reserved for truly inadequate material, not as the first response to a limited but usable specimen.</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Pr>
          <w:rFonts w:ascii="Arial" w:hAnsi="Arial" w:cs="Arial"/>
          <w:sz w:val="22"/>
        </w:rPr>
        <w:t xml:space="preserve">----------  </w:t>
      </w:r>
    </w:p>
    <w:p w:rsidR="00D31486" w:rsidRDefault="00D31486" w:rsidP="00D31486">
      <w:pPr>
        <w:spacing w:after="0" w:line="240" w:lineRule="auto"/>
        <w:rPr>
          <w:rFonts w:ascii="Arial" w:hAnsi="Arial" w:cs="Arial"/>
          <w:sz w:val="22"/>
        </w:rPr>
      </w:pPr>
    </w:p>
    <w:p w:rsidR="00D31486" w:rsidRPr="00D31486" w:rsidRDefault="00701DDB" w:rsidP="00D31486">
      <w:pPr>
        <w:spacing w:after="0" w:line="240" w:lineRule="auto"/>
        <w:rPr>
          <w:rFonts w:ascii="Arial" w:hAnsi="Arial" w:cs="Arial"/>
          <w:sz w:val="22"/>
        </w:rPr>
      </w:pPr>
      <w:r>
        <w:rPr>
          <w:rFonts w:ascii="Arial" w:hAnsi="Arial" w:cs="Arial"/>
          <w:sz w:val="22"/>
        </w:rPr>
        <w:t xml:space="preserve">2. </w:t>
      </w:r>
      <w:r w:rsidR="00D31486" w:rsidRPr="00D31486">
        <w:rPr>
          <w:rFonts w:ascii="Arial" w:hAnsi="Arial" w:cs="Arial"/>
          <w:sz w:val="22"/>
        </w:rPr>
        <w:t xml:space="preserve">A 71-year-old man with PET-avid 4R and 7 nodes undergoes </w:t>
      </w:r>
      <w:proofErr w:type="spellStart"/>
      <w:r w:rsidR="00D31486" w:rsidRPr="00D31486">
        <w:rPr>
          <w:rFonts w:ascii="Arial" w:hAnsi="Arial" w:cs="Arial"/>
          <w:sz w:val="22"/>
        </w:rPr>
        <w:t>cpEBUS</w:t>
      </w:r>
      <w:proofErr w:type="spellEnd"/>
      <w:r w:rsidR="00D31486" w:rsidRPr="00D31486">
        <w:rPr>
          <w:rFonts w:ascii="Arial" w:hAnsi="Arial" w:cs="Arial"/>
          <w:sz w:val="22"/>
        </w:rPr>
        <w:t>-TBNA. The cell block from 4R is scant, but several well-preserved Diff-</w:t>
      </w:r>
      <w:proofErr w:type="spellStart"/>
      <w:r w:rsidR="00D31486" w:rsidRPr="00D31486">
        <w:rPr>
          <w:rFonts w:ascii="Arial" w:hAnsi="Arial" w:cs="Arial"/>
          <w:sz w:val="22"/>
        </w:rPr>
        <w:t>Quik</w:t>
      </w:r>
      <w:proofErr w:type="spellEnd"/>
      <w:r w:rsidR="00D31486" w:rsidRPr="00D31486">
        <w:rPr>
          <w:rFonts w:ascii="Arial" w:hAnsi="Arial" w:cs="Arial"/>
          <w:sz w:val="22"/>
        </w:rPr>
        <w:t xml:space="preserve"> and alcohol-fixed cytology smears contain abundant tumor. Your laboratory has validated molecular assays on cytology preparations. Which statement is most accurate?</w:t>
      </w:r>
    </w:p>
    <w:p w:rsidR="00D31486" w:rsidRPr="00D31486" w:rsidRDefault="00D31486" w:rsidP="00D31486">
      <w:pPr>
        <w:spacing w:after="0" w:line="240" w:lineRule="auto"/>
        <w:rPr>
          <w:rFonts w:ascii="Arial" w:hAnsi="Arial" w:cs="Arial"/>
          <w:sz w:val="22"/>
        </w:rPr>
      </w:pPr>
      <w:r w:rsidRPr="00D31486">
        <w:rPr>
          <w:rFonts w:ascii="Arial" w:hAnsi="Arial" w:cs="Arial"/>
          <w:sz w:val="22"/>
        </w:rPr>
        <w:t>A. Only core histology specimens are acceptable for molecular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B. Only cell blocks are acceptable for NGS or fusion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C. Smears may be used for PD-L1, but not for genomic testing</w:t>
      </w:r>
    </w:p>
    <w:p w:rsidR="00D31486" w:rsidRPr="00D31486" w:rsidRDefault="00D31486" w:rsidP="00D31486">
      <w:pPr>
        <w:spacing w:after="0" w:line="240" w:lineRule="auto"/>
        <w:rPr>
          <w:rFonts w:ascii="Arial" w:hAnsi="Arial" w:cs="Arial"/>
          <w:sz w:val="22"/>
        </w:rPr>
      </w:pPr>
      <w:r w:rsidRPr="00D31486">
        <w:rPr>
          <w:rFonts w:ascii="Arial" w:hAnsi="Arial" w:cs="Arial"/>
          <w:sz w:val="22"/>
        </w:rPr>
        <w:t>D. Validated cytology smears can be acceptable for molecular testing when tumor content is adequate</w:t>
      </w:r>
    </w:p>
    <w:p w:rsidR="00D31486" w:rsidRPr="00D31486" w:rsidRDefault="00D31486" w:rsidP="00D31486">
      <w:pPr>
        <w:spacing w:after="0" w:line="240" w:lineRule="auto"/>
        <w:rPr>
          <w:rFonts w:ascii="Arial" w:hAnsi="Arial" w:cs="Arial"/>
          <w:sz w:val="22"/>
        </w:rPr>
      </w:pPr>
    </w:p>
    <w:p w:rsidR="00D31486" w:rsidRPr="00D31486" w:rsidRDefault="00D31486" w:rsidP="00D31486">
      <w:pPr>
        <w:spacing w:after="0" w:line="240" w:lineRule="auto"/>
        <w:rPr>
          <w:rFonts w:ascii="Arial" w:hAnsi="Arial" w:cs="Arial"/>
          <w:sz w:val="22"/>
        </w:rPr>
      </w:pPr>
      <w:r w:rsidRPr="00D31486">
        <w:rPr>
          <w:rFonts w:ascii="Arial" w:hAnsi="Arial" w:cs="Arial"/>
          <w:sz w:val="22"/>
        </w:rPr>
        <w:t>Correct answer: D.</w:t>
      </w: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D best reflects contemporary cytopathology practice and the practical realities of </w:t>
      </w:r>
      <w:proofErr w:type="spellStart"/>
      <w:r w:rsidRPr="00D31486">
        <w:rPr>
          <w:rFonts w:ascii="Arial" w:hAnsi="Arial" w:cs="Arial"/>
          <w:sz w:val="22"/>
        </w:rPr>
        <w:t>cpEBUS</w:t>
      </w:r>
      <w:proofErr w:type="spellEnd"/>
      <w:r w:rsidRPr="00D31486">
        <w:rPr>
          <w:rFonts w:ascii="Arial" w:hAnsi="Arial" w:cs="Arial"/>
          <w:sz w:val="22"/>
        </w:rPr>
        <w:t xml:space="preserve"> sampling.</w:t>
      </w:r>
      <w:r>
        <w:rPr>
          <w:rFonts w:ascii="Arial" w:hAnsi="Arial" w:cs="Arial"/>
          <w:sz w:val="22"/>
        </w:rPr>
        <w:t xml:space="preserve"> </w:t>
      </w:r>
      <w:r w:rsidRPr="00D31486">
        <w:rPr>
          <w:rFonts w:ascii="Arial" w:hAnsi="Arial" w:cs="Arial"/>
          <w:sz w:val="22"/>
        </w:rPr>
        <w:t xml:space="preserve">Modern molecular guidelines allow cytologic specimens for predictive testing, and </w:t>
      </w:r>
      <w:proofErr w:type="spellStart"/>
      <w:r>
        <w:rPr>
          <w:rFonts w:ascii="Arial" w:hAnsi="Arial" w:cs="Arial"/>
          <w:sz w:val="22"/>
        </w:rPr>
        <w:t>cp</w:t>
      </w:r>
      <w:r w:rsidRPr="00D31486">
        <w:rPr>
          <w:rFonts w:ascii="Arial" w:hAnsi="Arial" w:cs="Arial"/>
          <w:sz w:val="22"/>
        </w:rPr>
        <w:t>EBUS</w:t>
      </w:r>
      <w:proofErr w:type="spellEnd"/>
      <w:r w:rsidRPr="00D31486">
        <w:rPr>
          <w:rFonts w:ascii="Arial" w:hAnsi="Arial" w:cs="Arial"/>
          <w:sz w:val="22"/>
        </w:rPr>
        <w:t xml:space="preserve">-derived smears can be appropriate when the laboratory has validated the platform and the specimen contains sufficient tumor. This is clinically important because </w:t>
      </w:r>
      <w:proofErr w:type="spellStart"/>
      <w:r w:rsidRPr="00D31486">
        <w:rPr>
          <w:rFonts w:ascii="Arial" w:hAnsi="Arial" w:cs="Arial"/>
          <w:sz w:val="22"/>
        </w:rPr>
        <w:t>cpEBUS</w:t>
      </w:r>
      <w:proofErr w:type="spellEnd"/>
      <w:r w:rsidRPr="00D31486">
        <w:rPr>
          <w:rFonts w:ascii="Arial" w:hAnsi="Arial" w:cs="Arial"/>
          <w:sz w:val="22"/>
        </w:rPr>
        <w:t xml:space="preserve"> often yields </w:t>
      </w:r>
      <w:r>
        <w:rPr>
          <w:rFonts w:ascii="Arial" w:hAnsi="Arial" w:cs="Arial"/>
          <w:sz w:val="22"/>
        </w:rPr>
        <w:t>small-volume</w:t>
      </w:r>
      <w:r w:rsidRPr="00D31486">
        <w:rPr>
          <w:rFonts w:ascii="Arial" w:hAnsi="Arial" w:cs="Arial"/>
          <w:sz w:val="22"/>
        </w:rPr>
        <w:t xml:space="preserve"> material, and cytology smears may provide equal or even better nucleic acid recovery than formalin-fixed paraffin-embedded cell blocks in some workflows.</w:t>
      </w:r>
    </w:p>
    <w:p w:rsidR="00D31486" w:rsidRP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A is incorrect because histology is not the only acceptable specimen type. Option B is incorrect because restricting testing to cell blocks alone unnecessarily wastes useful material. Option C is </w:t>
      </w:r>
      <w:r w:rsidRPr="00D31486">
        <w:rPr>
          <w:rFonts w:ascii="Arial" w:hAnsi="Arial" w:cs="Arial"/>
          <w:sz w:val="22"/>
        </w:rPr>
        <w:lastRenderedPageBreak/>
        <w:t xml:space="preserve">incorrect because smears can support genomic testing, not just immunohistochemistry, when laboratory validation and tumor adequacy are present. </w:t>
      </w:r>
    </w:p>
    <w:p w:rsidR="00D31486" w:rsidRDefault="00D31486"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Pr>
          <w:rFonts w:ascii="Arial" w:hAnsi="Arial" w:cs="Arial"/>
          <w:sz w:val="22"/>
        </w:rPr>
        <w:t xml:space="preserve">----------  </w:t>
      </w:r>
    </w:p>
    <w:p w:rsidR="00D31486" w:rsidRDefault="00D31486" w:rsidP="00D31486">
      <w:pPr>
        <w:spacing w:after="0" w:line="240" w:lineRule="auto"/>
        <w:rPr>
          <w:rFonts w:ascii="Arial" w:hAnsi="Arial" w:cs="Arial"/>
          <w:sz w:val="22"/>
        </w:rPr>
      </w:pPr>
    </w:p>
    <w:p w:rsidR="00D31486" w:rsidRPr="00D31486" w:rsidRDefault="00701DDB" w:rsidP="00D31486">
      <w:pPr>
        <w:spacing w:after="0" w:line="240" w:lineRule="auto"/>
        <w:rPr>
          <w:rFonts w:ascii="Arial" w:hAnsi="Arial" w:cs="Arial"/>
          <w:sz w:val="22"/>
        </w:rPr>
      </w:pPr>
      <w:r>
        <w:rPr>
          <w:rFonts w:ascii="Arial" w:hAnsi="Arial" w:cs="Arial"/>
          <w:sz w:val="22"/>
        </w:rPr>
        <w:t xml:space="preserve">3. </w:t>
      </w:r>
      <w:r w:rsidR="00D31486" w:rsidRPr="00D31486">
        <w:rPr>
          <w:rFonts w:ascii="Arial" w:hAnsi="Arial" w:cs="Arial"/>
          <w:sz w:val="22"/>
        </w:rPr>
        <w:t xml:space="preserve">A 62-year-old woman with suspected stage IIIB lung adenocarcinoma has a single large, fluorodeoxyglucose-avid 4R node and no peripheral lesion suitable for biopsy. No rapid on-site evaluation is available. You expect </w:t>
      </w:r>
      <w:proofErr w:type="spellStart"/>
      <w:r w:rsidR="00D31486" w:rsidRPr="00D31486">
        <w:rPr>
          <w:rFonts w:ascii="Arial" w:hAnsi="Arial" w:cs="Arial"/>
          <w:sz w:val="22"/>
        </w:rPr>
        <w:t>cpEBUS</w:t>
      </w:r>
      <w:proofErr w:type="spellEnd"/>
      <w:r w:rsidR="00D31486" w:rsidRPr="00D31486">
        <w:rPr>
          <w:rFonts w:ascii="Arial" w:hAnsi="Arial" w:cs="Arial"/>
          <w:sz w:val="22"/>
        </w:rPr>
        <w:t>-TBNA to be the only tissue source for diagnosis, PD-L1 testing, and comprehensive molecular profiling. Which sampling plan is most consistent with current evidence recommendations?</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A. </w:t>
      </w:r>
      <w:r>
        <w:rPr>
          <w:rFonts w:ascii="Arial" w:hAnsi="Arial" w:cs="Arial"/>
          <w:sz w:val="22"/>
        </w:rPr>
        <w:t xml:space="preserve">Sample the 4R node using rapid on-site cytologic evaluation (ROSE) and </w:t>
      </w:r>
      <w:r w:rsidR="00701DDB">
        <w:rPr>
          <w:rFonts w:ascii="Arial" w:hAnsi="Arial" w:cs="Arial"/>
          <w:sz w:val="22"/>
        </w:rPr>
        <w:t>conclude</w:t>
      </w:r>
      <w:r w:rsidRPr="00D31486">
        <w:rPr>
          <w:rFonts w:ascii="Arial" w:hAnsi="Arial" w:cs="Arial"/>
          <w:sz w:val="22"/>
        </w:rPr>
        <w:t xml:space="preserve"> </w:t>
      </w:r>
      <w:r w:rsidR="00144FC4">
        <w:rPr>
          <w:rFonts w:ascii="Arial" w:hAnsi="Arial" w:cs="Arial"/>
          <w:sz w:val="22"/>
        </w:rPr>
        <w:t>when</w:t>
      </w:r>
      <w:r w:rsidRPr="00D31486">
        <w:rPr>
          <w:rFonts w:ascii="Arial" w:hAnsi="Arial" w:cs="Arial"/>
          <w:sz w:val="22"/>
        </w:rPr>
        <w:t xml:space="preserve"> malignant cells are </w:t>
      </w:r>
      <w:r w:rsidR="00833994">
        <w:rPr>
          <w:rFonts w:ascii="Arial" w:hAnsi="Arial" w:cs="Arial"/>
          <w:sz w:val="22"/>
        </w:rPr>
        <w:t>recovered</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B. Sample three different nodes </w:t>
      </w:r>
      <w:r>
        <w:rPr>
          <w:rFonts w:ascii="Arial" w:hAnsi="Arial" w:cs="Arial"/>
          <w:sz w:val="22"/>
        </w:rPr>
        <w:t>with 1-2 passes</w:t>
      </w:r>
      <w:r w:rsidRPr="00D31486">
        <w:rPr>
          <w:rFonts w:ascii="Arial" w:hAnsi="Arial" w:cs="Arial"/>
          <w:sz w:val="22"/>
        </w:rPr>
        <w:t xml:space="preserve"> each to broaden staging</w:t>
      </w:r>
      <w:r>
        <w:rPr>
          <w:rFonts w:ascii="Arial" w:hAnsi="Arial" w:cs="Arial"/>
          <w:sz w:val="22"/>
        </w:rPr>
        <w:t xml:space="preserve"> and diversify</w:t>
      </w:r>
      <w:r w:rsidR="00833994">
        <w:rPr>
          <w:rFonts w:ascii="Arial" w:hAnsi="Arial" w:cs="Arial"/>
          <w:sz w:val="22"/>
        </w:rPr>
        <w:t xml:space="preserve"> tissue for molecular markers</w:t>
      </w:r>
    </w:p>
    <w:p w:rsidR="00D31486" w:rsidRPr="00D31486" w:rsidRDefault="00D31486" w:rsidP="00D31486">
      <w:pPr>
        <w:spacing w:after="0" w:line="240" w:lineRule="auto"/>
        <w:rPr>
          <w:rFonts w:ascii="Arial" w:hAnsi="Arial" w:cs="Arial"/>
          <w:sz w:val="22"/>
        </w:rPr>
      </w:pPr>
      <w:r w:rsidRPr="00D31486">
        <w:rPr>
          <w:rFonts w:ascii="Arial" w:hAnsi="Arial" w:cs="Arial"/>
          <w:sz w:val="22"/>
        </w:rPr>
        <w:t>C. Obtain at least 5 to 6 samples from the highest-yield target, aiming for multiple core-containing passes</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D. Use one </w:t>
      </w:r>
      <w:proofErr w:type="spellStart"/>
      <w:r w:rsidR="00833994">
        <w:rPr>
          <w:rFonts w:ascii="Arial" w:hAnsi="Arial" w:cs="Arial"/>
          <w:sz w:val="22"/>
        </w:rPr>
        <w:t>cpEBUS</w:t>
      </w:r>
      <w:proofErr w:type="spellEnd"/>
      <w:r w:rsidR="00833994">
        <w:rPr>
          <w:rFonts w:ascii="Arial" w:hAnsi="Arial" w:cs="Arial"/>
          <w:sz w:val="22"/>
        </w:rPr>
        <w:t xml:space="preserve">-TBNA </w:t>
      </w:r>
      <w:r w:rsidRPr="00D31486">
        <w:rPr>
          <w:rFonts w:ascii="Arial" w:hAnsi="Arial" w:cs="Arial"/>
          <w:sz w:val="22"/>
        </w:rPr>
        <w:t>pass for diagnosis and rely on plasma for genomic testing</w:t>
      </w:r>
    </w:p>
    <w:p w:rsidR="00D31486" w:rsidRPr="00D31486" w:rsidRDefault="00D31486" w:rsidP="00D31486">
      <w:pPr>
        <w:spacing w:after="0" w:line="240" w:lineRule="auto"/>
        <w:rPr>
          <w:rFonts w:ascii="Arial" w:hAnsi="Arial" w:cs="Arial"/>
          <w:sz w:val="22"/>
        </w:rPr>
      </w:pPr>
    </w:p>
    <w:p w:rsidR="00D31486" w:rsidRPr="00D31486" w:rsidRDefault="00D31486" w:rsidP="00D31486">
      <w:pPr>
        <w:spacing w:after="0" w:line="240" w:lineRule="auto"/>
        <w:rPr>
          <w:rFonts w:ascii="Arial" w:hAnsi="Arial" w:cs="Arial"/>
          <w:sz w:val="22"/>
        </w:rPr>
      </w:pPr>
      <w:r w:rsidRPr="00D31486">
        <w:rPr>
          <w:rFonts w:ascii="Arial" w:hAnsi="Arial" w:cs="Arial"/>
          <w:sz w:val="22"/>
        </w:rPr>
        <w:t>Correct answer: C.</w:t>
      </w:r>
    </w:p>
    <w:p w:rsidR="00D31486" w:rsidRPr="00D31486" w:rsidRDefault="00D31486" w:rsidP="00D31486">
      <w:pPr>
        <w:spacing w:after="0" w:line="240" w:lineRule="auto"/>
        <w:rPr>
          <w:rFonts w:ascii="Arial" w:hAnsi="Arial" w:cs="Arial"/>
          <w:sz w:val="22"/>
        </w:rPr>
      </w:pPr>
      <w:r w:rsidRPr="00D31486">
        <w:rPr>
          <w:rFonts w:ascii="Arial" w:hAnsi="Arial" w:cs="Arial"/>
          <w:sz w:val="22"/>
        </w:rPr>
        <w:t xml:space="preserve">When </w:t>
      </w:r>
      <w:proofErr w:type="spellStart"/>
      <w:r w:rsidRPr="00D31486">
        <w:rPr>
          <w:rFonts w:ascii="Arial" w:hAnsi="Arial" w:cs="Arial"/>
          <w:sz w:val="22"/>
        </w:rPr>
        <w:t>cpEBUS</w:t>
      </w:r>
      <w:proofErr w:type="spellEnd"/>
      <w:r w:rsidRPr="00D31486">
        <w:rPr>
          <w:rFonts w:ascii="Arial" w:hAnsi="Arial" w:cs="Arial"/>
          <w:sz w:val="22"/>
        </w:rPr>
        <w:t xml:space="preserve">-TBNA is likely to be the only tissue source, the goal is not merely to prove malignancy </w:t>
      </w:r>
      <w:r w:rsidR="00833994">
        <w:rPr>
          <w:rFonts w:ascii="Arial" w:hAnsi="Arial" w:cs="Arial"/>
          <w:sz w:val="22"/>
        </w:rPr>
        <w:t xml:space="preserve">and define stage, </w:t>
      </w:r>
      <w:r w:rsidRPr="00D31486">
        <w:rPr>
          <w:rFonts w:ascii="Arial" w:hAnsi="Arial" w:cs="Arial"/>
          <w:sz w:val="22"/>
        </w:rPr>
        <w:t xml:space="preserve">but to secure enough high-quality tumor material for ancillary testing. Evidence suggests that </w:t>
      </w:r>
      <w:r w:rsidR="00833994">
        <w:rPr>
          <w:rFonts w:ascii="Arial" w:hAnsi="Arial" w:cs="Arial"/>
          <w:sz w:val="22"/>
        </w:rPr>
        <w:t>next-generation sequencing s</w:t>
      </w:r>
      <w:r w:rsidRPr="00D31486">
        <w:rPr>
          <w:rFonts w:ascii="Arial" w:hAnsi="Arial" w:cs="Arial"/>
          <w:sz w:val="22"/>
        </w:rPr>
        <w:t>uccess improves with additional passes</w:t>
      </w:r>
      <w:r w:rsidR="00833994">
        <w:rPr>
          <w:rFonts w:ascii="Arial" w:hAnsi="Arial" w:cs="Arial"/>
          <w:sz w:val="22"/>
        </w:rPr>
        <w:t xml:space="preserve"> over that needed just for diagnosis. P</w:t>
      </w:r>
      <w:r w:rsidRPr="00D31486">
        <w:rPr>
          <w:rFonts w:ascii="Arial" w:hAnsi="Arial" w:cs="Arial"/>
          <w:sz w:val="22"/>
        </w:rPr>
        <w:t xml:space="preserve">ractical recommendations support obtaining </w:t>
      </w:r>
      <w:r w:rsidR="00833994">
        <w:rPr>
          <w:rFonts w:ascii="Arial" w:hAnsi="Arial" w:cs="Arial"/>
          <w:sz w:val="22"/>
        </w:rPr>
        <w:t xml:space="preserve">a total of </w:t>
      </w:r>
      <w:r w:rsidRPr="00D31486">
        <w:rPr>
          <w:rFonts w:ascii="Arial" w:hAnsi="Arial" w:cs="Arial"/>
          <w:sz w:val="22"/>
        </w:rPr>
        <w:t xml:space="preserve">about 5 to 6 samples from the most suspicious target, with attention to core tissue recovery. </w:t>
      </w:r>
    </w:p>
    <w:p w:rsidR="00833994" w:rsidRDefault="00833994" w:rsidP="00D31486">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r w:rsidRPr="00D31486">
        <w:rPr>
          <w:rFonts w:ascii="Arial" w:hAnsi="Arial" w:cs="Arial"/>
          <w:sz w:val="22"/>
        </w:rPr>
        <w:t xml:space="preserve">Option A is incorrect because diagnostic sufficiency is not the same as molecular sufficiency. Option B is incorrect because </w:t>
      </w:r>
      <w:r w:rsidR="00833994">
        <w:rPr>
          <w:rFonts w:ascii="Arial" w:hAnsi="Arial" w:cs="Arial"/>
          <w:sz w:val="22"/>
        </w:rPr>
        <w:t>a limited</w:t>
      </w:r>
      <w:r w:rsidRPr="00D31486">
        <w:rPr>
          <w:rFonts w:ascii="Arial" w:hAnsi="Arial" w:cs="Arial"/>
          <w:sz w:val="22"/>
        </w:rPr>
        <w:t>-pass</w:t>
      </w:r>
      <w:r w:rsidR="00833994">
        <w:rPr>
          <w:rFonts w:ascii="Arial" w:hAnsi="Arial" w:cs="Arial"/>
          <w:sz w:val="22"/>
        </w:rPr>
        <w:t>es</w:t>
      </w:r>
      <w:r w:rsidRPr="00D31486">
        <w:rPr>
          <w:rFonts w:ascii="Arial" w:hAnsi="Arial" w:cs="Arial"/>
          <w:sz w:val="22"/>
        </w:rPr>
        <w:t xml:space="preserve">-per-node </w:t>
      </w:r>
      <w:r w:rsidR="00833994">
        <w:rPr>
          <w:rFonts w:ascii="Arial" w:hAnsi="Arial" w:cs="Arial"/>
          <w:sz w:val="22"/>
        </w:rPr>
        <w:t>strategy</w:t>
      </w:r>
      <w:r w:rsidRPr="00D31486">
        <w:rPr>
          <w:rFonts w:ascii="Arial" w:hAnsi="Arial" w:cs="Arial"/>
          <w:sz w:val="22"/>
        </w:rPr>
        <w:t xml:space="preserve"> can dilute tissue quality and reduce the chance of comprehensive profiling. </w:t>
      </w:r>
      <w:r w:rsidR="00833994" w:rsidRPr="00D31486">
        <w:rPr>
          <w:rFonts w:ascii="Arial" w:hAnsi="Arial" w:cs="Arial"/>
          <w:sz w:val="22"/>
        </w:rPr>
        <w:t>Concentrating effort on the best target is usually more efficient than distributing minimal material across multiple sites.</w:t>
      </w:r>
      <w:r w:rsidR="00833994">
        <w:rPr>
          <w:rFonts w:ascii="Arial" w:hAnsi="Arial" w:cs="Arial"/>
          <w:sz w:val="22"/>
        </w:rPr>
        <w:t xml:space="preserve"> Ways to identify a high yield target for molecular-directed sampling may include choosing the largest, most FDG-avid, or least necrotic node</w:t>
      </w:r>
      <w:r w:rsidR="000C47B1">
        <w:rPr>
          <w:rFonts w:ascii="Arial" w:hAnsi="Arial" w:cs="Arial"/>
          <w:sz w:val="22"/>
        </w:rPr>
        <w:t>, the highest stage node,</w:t>
      </w:r>
      <w:r w:rsidR="00833994">
        <w:rPr>
          <w:rFonts w:ascii="Arial" w:hAnsi="Arial" w:cs="Arial"/>
          <w:sz w:val="22"/>
        </w:rPr>
        <w:t xml:space="preserve"> or if ROSE is available, the node that produced the most cellular content. </w:t>
      </w:r>
      <w:r w:rsidRPr="00D31486">
        <w:rPr>
          <w:rFonts w:ascii="Arial" w:hAnsi="Arial" w:cs="Arial"/>
          <w:sz w:val="22"/>
        </w:rPr>
        <w:t xml:space="preserve">Option D is incorrect because </w:t>
      </w:r>
      <w:r w:rsidR="00833994">
        <w:rPr>
          <w:rFonts w:ascii="Arial" w:hAnsi="Arial" w:cs="Arial"/>
          <w:sz w:val="22"/>
        </w:rPr>
        <w:t xml:space="preserve">while </w:t>
      </w:r>
      <w:r w:rsidRPr="00D31486">
        <w:rPr>
          <w:rFonts w:ascii="Arial" w:hAnsi="Arial" w:cs="Arial"/>
          <w:sz w:val="22"/>
        </w:rPr>
        <w:t xml:space="preserve">plasma testing can be useful in selected situations, it should not replace an adequate tissue-based strategy when </w:t>
      </w:r>
      <w:proofErr w:type="spellStart"/>
      <w:r w:rsidRPr="00D31486">
        <w:rPr>
          <w:rFonts w:ascii="Arial" w:hAnsi="Arial" w:cs="Arial"/>
          <w:sz w:val="22"/>
        </w:rPr>
        <w:t>cpEBUS</w:t>
      </w:r>
      <w:proofErr w:type="spellEnd"/>
      <w:r w:rsidRPr="00D31486">
        <w:rPr>
          <w:rFonts w:ascii="Arial" w:hAnsi="Arial" w:cs="Arial"/>
          <w:sz w:val="22"/>
        </w:rPr>
        <w:t xml:space="preserve"> sampling is underway.</w:t>
      </w:r>
    </w:p>
    <w:p w:rsidR="00833994" w:rsidRDefault="00833994" w:rsidP="00D31486">
      <w:pPr>
        <w:spacing w:after="0" w:line="240" w:lineRule="auto"/>
        <w:rPr>
          <w:rFonts w:ascii="Arial" w:hAnsi="Arial" w:cs="Arial"/>
          <w:sz w:val="22"/>
        </w:rPr>
      </w:pPr>
    </w:p>
    <w:p w:rsidR="00833994" w:rsidRDefault="00833994" w:rsidP="00D31486">
      <w:pPr>
        <w:spacing w:after="0" w:line="240" w:lineRule="auto"/>
        <w:rPr>
          <w:rFonts w:ascii="Arial" w:hAnsi="Arial" w:cs="Arial"/>
          <w:sz w:val="22"/>
        </w:rPr>
      </w:pPr>
      <w:r>
        <w:rPr>
          <w:rFonts w:ascii="Arial" w:hAnsi="Arial" w:cs="Arial"/>
          <w:sz w:val="22"/>
        </w:rPr>
        <w:t xml:space="preserve">---------  </w:t>
      </w:r>
    </w:p>
    <w:p w:rsidR="00833994" w:rsidRDefault="00833994" w:rsidP="00D31486">
      <w:pPr>
        <w:spacing w:after="0" w:line="240" w:lineRule="auto"/>
        <w:rPr>
          <w:rFonts w:ascii="Arial" w:hAnsi="Arial" w:cs="Arial"/>
          <w:sz w:val="22"/>
        </w:rPr>
      </w:pPr>
    </w:p>
    <w:p w:rsidR="00833994" w:rsidRPr="00833994" w:rsidRDefault="00701DDB" w:rsidP="00833994">
      <w:pPr>
        <w:spacing w:after="0" w:line="240" w:lineRule="auto"/>
        <w:rPr>
          <w:rFonts w:ascii="Arial" w:hAnsi="Arial" w:cs="Arial"/>
          <w:sz w:val="22"/>
        </w:rPr>
      </w:pPr>
      <w:r>
        <w:rPr>
          <w:rFonts w:ascii="Arial" w:hAnsi="Arial" w:cs="Arial"/>
          <w:sz w:val="22"/>
        </w:rPr>
        <w:t xml:space="preserve">4. </w:t>
      </w:r>
      <w:r w:rsidR="00833994">
        <w:rPr>
          <w:rFonts w:ascii="Arial" w:hAnsi="Arial" w:cs="Arial"/>
          <w:sz w:val="22"/>
        </w:rPr>
        <w:t>What are the</w:t>
      </w:r>
      <w:r w:rsidR="00833994" w:rsidRPr="00833994">
        <w:rPr>
          <w:rFonts w:ascii="Arial" w:hAnsi="Arial" w:cs="Arial"/>
          <w:sz w:val="22"/>
        </w:rPr>
        <w:t xml:space="preserve"> </w:t>
      </w:r>
      <w:r w:rsidR="00833994">
        <w:rPr>
          <w:rFonts w:ascii="Arial" w:hAnsi="Arial" w:cs="Arial"/>
          <w:sz w:val="22"/>
        </w:rPr>
        <w:t xml:space="preserve">approximate rates of tissue adequacy for molecular marker analysis provided by </w:t>
      </w:r>
      <w:proofErr w:type="spellStart"/>
      <w:r w:rsidR="00833994" w:rsidRPr="00833994">
        <w:rPr>
          <w:rFonts w:ascii="Arial" w:hAnsi="Arial" w:cs="Arial"/>
          <w:sz w:val="22"/>
        </w:rPr>
        <w:t>cpEBUS</w:t>
      </w:r>
      <w:proofErr w:type="spellEnd"/>
      <w:r w:rsidR="00833994" w:rsidRPr="00833994">
        <w:rPr>
          <w:rFonts w:ascii="Arial" w:hAnsi="Arial" w:cs="Arial"/>
          <w:sz w:val="22"/>
        </w:rPr>
        <w:t>-TBNA in advanced non-small cell lung cancer (NSCLC)</w:t>
      </w:r>
      <w:r w:rsidR="00833994">
        <w:rPr>
          <w:rFonts w:ascii="Arial" w:hAnsi="Arial" w:cs="Arial"/>
          <w:sz w:val="22"/>
        </w:rPr>
        <w:t>?</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A. EGFR and ALK testing are usually successful in </w:t>
      </w:r>
      <w:r>
        <w:rPr>
          <w:rFonts w:ascii="Arial" w:hAnsi="Arial" w:cs="Arial"/>
          <w:sz w:val="22"/>
        </w:rPr>
        <w:t>about</w:t>
      </w:r>
      <w:r w:rsidRPr="00833994">
        <w:rPr>
          <w:rFonts w:ascii="Arial" w:hAnsi="Arial" w:cs="Arial"/>
          <w:sz w:val="22"/>
        </w:rPr>
        <w:t xml:space="preserve"> 70% of cases</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B. Expanded NGS is </w:t>
      </w:r>
      <w:r>
        <w:rPr>
          <w:rFonts w:ascii="Arial" w:hAnsi="Arial" w:cs="Arial"/>
          <w:sz w:val="22"/>
        </w:rPr>
        <w:t>consistently near</w:t>
      </w:r>
      <w:r w:rsidRPr="00833994">
        <w:rPr>
          <w:rFonts w:ascii="Arial" w:hAnsi="Arial" w:cs="Arial"/>
          <w:sz w:val="22"/>
        </w:rPr>
        <w:t xml:space="preserve"> 100% successful </w:t>
      </w:r>
      <w:r>
        <w:rPr>
          <w:rFonts w:ascii="Arial" w:hAnsi="Arial" w:cs="Arial"/>
          <w:sz w:val="22"/>
        </w:rPr>
        <w:t>once</w:t>
      </w:r>
      <w:r w:rsidRPr="00833994">
        <w:rPr>
          <w:rFonts w:ascii="Arial" w:hAnsi="Arial" w:cs="Arial"/>
          <w:sz w:val="22"/>
        </w:rPr>
        <w:t xml:space="preserve"> three passes are obtained</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C. PD-L1 is the </w:t>
      </w:r>
      <w:r>
        <w:rPr>
          <w:rFonts w:ascii="Arial" w:hAnsi="Arial" w:cs="Arial"/>
          <w:sz w:val="22"/>
        </w:rPr>
        <w:t>primary</w:t>
      </w:r>
      <w:r w:rsidRPr="00833994">
        <w:rPr>
          <w:rFonts w:ascii="Arial" w:hAnsi="Arial" w:cs="Arial"/>
          <w:sz w:val="22"/>
        </w:rPr>
        <w:t xml:space="preserve"> biomarker that is consistently feasible from </w:t>
      </w:r>
      <w:proofErr w:type="spellStart"/>
      <w:r w:rsidRPr="00833994">
        <w:rPr>
          <w:rFonts w:ascii="Arial" w:hAnsi="Arial" w:cs="Arial"/>
          <w:sz w:val="22"/>
        </w:rPr>
        <w:t>cpEBUS</w:t>
      </w:r>
      <w:proofErr w:type="spellEnd"/>
      <w:r w:rsidRPr="00833994">
        <w:rPr>
          <w:rFonts w:ascii="Arial" w:hAnsi="Arial" w:cs="Arial"/>
          <w:sz w:val="22"/>
        </w:rPr>
        <w:t xml:space="preserve"> samples</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D. EGFR and ALK adequacy is typically in the mid-90% range, while expanded NGS adequacy is slightly lower </w:t>
      </w:r>
    </w:p>
    <w:p w:rsidR="00833994" w:rsidRPr="00833994" w:rsidRDefault="00833994" w:rsidP="00833994">
      <w:pPr>
        <w:spacing w:after="0" w:line="240" w:lineRule="auto"/>
        <w:rPr>
          <w:rFonts w:ascii="Arial" w:hAnsi="Arial" w:cs="Arial"/>
          <w:sz w:val="22"/>
        </w:rPr>
      </w:pPr>
    </w:p>
    <w:p w:rsidR="00833994" w:rsidRPr="00833994" w:rsidRDefault="00833994" w:rsidP="00833994">
      <w:pPr>
        <w:spacing w:after="0" w:line="240" w:lineRule="auto"/>
        <w:rPr>
          <w:rFonts w:ascii="Arial" w:hAnsi="Arial" w:cs="Arial"/>
          <w:sz w:val="22"/>
        </w:rPr>
      </w:pPr>
      <w:r w:rsidRPr="00833994">
        <w:rPr>
          <w:rFonts w:ascii="Arial" w:hAnsi="Arial" w:cs="Arial"/>
          <w:sz w:val="22"/>
        </w:rPr>
        <w:t>Correct answer: D.</w:t>
      </w:r>
    </w:p>
    <w:p w:rsidR="00833994" w:rsidRPr="00833994" w:rsidRDefault="00833994" w:rsidP="00833994">
      <w:pPr>
        <w:spacing w:after="0" w:line="240" w:lineRule="auto"/>
        <w:rPr>
          <w:rFonts w:ascii="Arial" w:hAnsi="Arial" w:cs="Arial"/>
          <w:sz w:val="22"/>
        </w:rPr>
      </w:pPr>
      <w:r w:rsidRPr="00833994">
        <w:rPr>
          <w:rFonts w:ascii="Arial" w:hAnsi="Arial" w:cs="Arial"/>
          <w:sz w:val="22"/>
        </w:rPr>
        <w:t xml:space="preserve">Published meta-analyses and real-world studies consistently show that </w:t>
      </w:r>
      <w:proofErr w:type="spellStart"/>
      <w:r w:rsidRPr="00833994">
        <w:rPr>
          <w:rFonts w:ascii="Arial" w:hAnsi="Arial" w:cs="Arial"/>
          <w:sz w:val="22"/>
        </w:rPr>
        <w:t>cpEBUS</w:t>
      </w:r>
      <w:proofErr w:type="spellEnd"/>
      <w:r w:rsidRPr="00833994">
        <w:rPr>
          <w:rFonts w:ascii="Arial" w:hAnsi="Arial" w:cs="Arial"/>
          <w:sz w:val="22"/>
        </w:rPr>
        <w:t xml:space="preserve">-TBNA has high adequacy for common driver testing, with EGFR and ALK success rates around the mid-90% range in pooled analyses. Expanded NGS performance is </w:t>
      </w:r>
      <w:r w:rsidR="000C47B1">
        <w:rPr>
          <w:rFonts w:ascii="Arial" w:hAnsi="Arial" w:cs="Arial"/>
          <w:sz w:val="22"/>
        </w:rPr>
        <w:t>slightly</w:t>
      </w:r>
      <w:r w:rsidRPr="00833994">
        <w:rPr>
          <w:rFonts w:ascii="Arial" w:hAnsi="Arial" w:cs="Arial"/>
          <w:sz w:val="22"/>
        </w:rPr>
        <w:t xml:space="preserve"> lower than single-target testing, but still high overall, with pooled yields in the roughly 80% to low-90% range</w:t>
      </w:r>
      <w:r w:rsidR="000C47B1">
        <w:rPr>
          <w:rFonts w:ascii="Arial" w:hAnsi="Arial" w:cs="Arial"/>
          <w:sz w:val="22"/>
        </w:rPr>
        <w:t xml:space="preserve">, with </w:t>
      </w:r>
      <w:r w:rsidRPr="00833994">
        <w:rPr>
          <w:rFonts w:ascii="Arial" w:hAnsi="Arial" w:cs="Arial"/>
          <w:sz w:val="22"/>
        </w:rPr>
        <w:t xml:space="preserve">clear evidence that sampling strategy matters. This is why </w:t>
      </w:r>
      <w:proofErr w:type="spellStart"/>
      <w:r w:rsidRPr="00833994">
        <w:rPr>
          <w:rFonts w:ascii="Arial" w:hAnsi="Arial" w:cs="Arial"/>
          <w:sz w:val="22"/>
        </w:rPr>
        <w:t>cpEBUS</w:t>
      </w:r>
      <w:proofErr w:type="spellEnd"/>
      <w:r w:rsidRPr="00833994">
        <w:rPr>
          <w:rFonts w:ascii="Arial" w:hAnsi="Arial" w:cs="Arial"/>
          <w:sz w:val="22"/>
        </w:rPr>
        <w:t>-TBNA is now commonly viewed as a central</w:t>
      </w:r>
      <w:r w:rsidR="008F14B3">
        <w:rPr>
          <w:rFonts w:ascii="Arial" w:hAnsi="Arial" w:cs="Arial"/>
          <w:sz w:val="22"/>
        </w:rPr>
        <w:t xml:space="preserve"> </w:t>
      </w:r>
      <w:r w:rsidRPr="00833994">
        <w:rPr>
          <w:rFonts w:ascii="Arial" w:hAnsi="Arial" w:cs="Arial"/>
          <w:sz w:val="22"/>
        </w:rPr>
        <w:t>source of biomarker material in advanced NSCLC.</w:t>
      </w:r>
    </w:p>
    <w:p w:rsidR="000C47B1" w:rsidRDefault="000C47B1" w:rsidP="00833994">
      <w:pPr>
        <w:spacing w:after="0" w:line="240" w:lineRule="auto"/>
        <w:rPr>
          <w:rFonts w:ascii="Arial" w:hAnsi="Arial" w:cs="Arial"/>
          <w:sz w:val="22"/>
        </w:rPr>
      </w:pPr>
    </w:p>
    <w:p w:rsidR="00833994" w:rsidRDefault="00833994" w:rsidP="00833994">
      <w:pPr>
        <w:spacing w:after="0" w:line="240" w:lineRule="auto"/>
        <w:rPr>
          <w:rFonts w:ascii="Arial" w:hAnsi="Arial" w:cs="Arial"/>
          <w:sz w:val="22"/>
        </w:rPr>
      </w:pPr>
      <w:r w:rsidRPr="00833994">
        <w:rPr>
          <w:rFonts w:ascii="Arial" w:hAnsi="Arial" w:cs="Arial"/>
          <w:sz w:val="22"/>
        </w:rPr>
        <w:t xml:space="preserve">Option A is incorrect because it substantially underestimates adequacy. Option B is incorrect because no </w:t>
      </w:r>
      <w:proofErr w:type="spellStart"/>
      <w:r w:rsidRPr="00833994">
        <w:rPr>
          <w:rFonts w:ascii="Arial" w:hAnsi="Arial" w:cs="Arial"/>
          <w:sz w:val="22"/>
        </w:rPr>
        <w:t>bronchoscopic</w:t>
      </w:r>
      <w:proofErr w:type="spellEnd"/>
      <w:r w:rsidRPr="00833994">
        <w:rPr>
          <w:rFonts w:ascii="Arial" w:hAnsi="Arial" w:cs="Arial"/>
          <w:sz w:val="22"/>
        </w:rPr>
        <w:t xml:space="preserve"> sampling method is uniformly 100% successful, and three passes is not a universal guarantee. Option C is incorrect because driver mutation and fusion testing is also highly feasible. Option D best captures the balance between strong performance and real-world limitations.</w:t>
      </w:r>
    </w:p>
    <w:p w:rsidR="000C47B1" w:rsidRDefault="000C47B1" w:rsidP="00833994">
      <w:pPr>
        <w:spacing w:after="0" w:line="240" w:lineRule="auto"/>
        <w:rPr>
          <w:rFonts w:ascii="Arial" w:hAnsi="Arial" w:cs="Arial"/>
          <w:sz w:val="22"/>
        </w:rPr>
      </w:pPr>
    </w:p>
    <w:p w:rsidR="000C47B1" w:rsidRDefault="000C47B1" w:rsidP="00833994">
      <w:pPr>
        <w:spacing w:after="0" w:line="240" w:lineRule="auto"/>
        <w:rPr>
          <w:rFonts w:ascii="Arial" w:hAnsi="Arial" w:cs="Arial"/>
          <w:sz w:val="22"/>
        </w:rPr>
      </w:pPr>
      <w:r>
        <w:rPr>
          <w:rFonts w:ascii="Arial" w:hAnsi="Arial" w:cs="Arial"/>
          <w:sz w:val="22"/>
        </w:rPr>
        <w:t xml:space="preserve">----------  </w:t>
      </w:r>
    </w:p>
    <w:p w:rsidR="00144FC4" w:rsidRDefault="00144FC4" w:rsidP="000C47B1">
      <w:pPr>
        <w:spacing w:after="0" w:line="240" w:lineRule="auto"/>
        <w:rPr>
          <w:rFonts w:ascii="Arial" w:hAnsi="Arial" w:cs="Arial"/>
          <w:sz w:val="22"/>
        </w:rPr>
      </w:pPr>
    </w:p>
    <w:p w:rsidR="00144FC4" w:rsidRPr="00144FC4" w:rsidRDefault="00701DDB" w:rsidP="00144FC4">
      <w:pPr>
        <w:spacing w:after="0" w:line="240" w:lineRule="auto"/>
        <w:rPr>
          <w:rFonts w:ascii="Arial" w:hAnsi="Arial" w:cs="Arial"/>
          <w:sz w:val="22"/>
        </w:rPr>
      </w:pPr>
      <w:r>
        <w:rPr>
          <w:rFonts w:ascii="Arial" w:hAnsi="Arial" w:cs="Arial"/>
          <w:sz w:val="22"/>
        </w:rPr>
        <w:t xml:space="preserve">5. </w:t>
      </w:r>
      <w:r w:rsidR="00144FC4" w:rsidRPr="00144FC4">
        <w:rPr>
          <w:rFonts w:ascii="Arial" w:hAnsi="Arial" w:cs="Arial"/>
          <w:sz w:val="22"/>
        </w:rPr>
        <w:t xml:space="preserve">A 45-year-old never-smoker has metastatic NSCLC diagnosed by </w:t>
      </w:r>
      <w:proofErr w:type="spellStart"/>
      <w:r w:rsidR="00144FC4" w:rsidRPr="00144FC4">
        <w:rPr>
          <w:rFonts w:ascii="Arial" w:hAnsi="Arial" w:cs="Arial"/>
          <w:sz w:val="22"/>
        </w:rPr>
        <w:t>cpEBUS</w:t>
      </w:r>
      <w:proofErr w:type="spellEnd"/>
      <w:r w:rsidR="00144FC4" w:rsidRPr="00144FC4">
        <w:rPr>
          <w:rFonts w:ascii="Arial" w:hAnsi="Arial" w:cs="Arial"/>
          <w:sz w:val="22"/>
        </w:rPr>
        <w:t>-TBNA of station 7. Immunohistochemistry shows p40 positivity and little glandular differentiation, so the preliminary impression is squamous cell carcinoma. The oncology team notes that the patient’s age and smoking history are clinically atypical. Which biomarker strategy is most appropriate?</w:t>
      </w:r>
    </w:p>
    <w:p w:rsidR="00144FC4" w:rsidRPr="00144FC4" w:rsidRDefault="00144FC4" w:rsidP="00144FC4">
      <w:pPr>
        <w:spacing w:after="0" w:line="240" w:lineRule="auto"/>
        <w:rPr>
          <w:rFonts w:ascii="Arial" w:hAnsi="Arial" w:cs="Arial"/>
          <w:sz w:val="22"/>
        </w:rPr>
      </w:pPr>
      <w:r w:rsidRPr="00144FC4">
        <w:rPr>
          <w:rFonts w:ascii="Arial" w:hAnsi="Arial" w:cs="Arial"/>
          <w:sz w:val="22"/>
        </w:rPr>
        <w:t>A. No molecular testing</w:t>
      </w:r>
      <w:r>
        <w:rPr>
          <w:rFonts w:ascii="Arial" w:hAnsi="Arial" w:cs="Arial"/>
          <w:sz w:val="22"/>
        </w:rPr>
        <w:t xml:space="preserve"> since</w:t>
      </w:r>
      <w:r w:rsidRPr="00144FC4">
        <w:rPr>
          <w:rFonts w:ascii="Arial" w:hAnsi="Arial" w:cs="Arial"/>
          <w:sz w:val="22"/>
        </w:rPr>
        <w:t xml:space="preserve"> squamous morphology excludes actionable drivers</w:t>
      </w:r>
    </w:p>
    <w:p w:rsidR="00144FC4" w:rsidRPr="00144FC4" w:rsidRDefault="00144FC4" w:rsidP="00144FC4">
      <w:pPr>
        <w:spacing w:after="0" w:line="240" w:lineRule="auto"/>
        <w:rPr>
          <w:rFonts w:ascii="Arial" w:hAnsi="Arial" w:cs="Arial"/>
          <w:sz w:val="22"/>
        </w:rPr>
      </w:pPr>
      <w:r w:rsidRPr="00144FC4">
        <w:rPr>
          <w:rFonts w:ascii="Arial" w:hAnsi="Arial" w:cs="Arial"/>
          <w:sz w:val="22"/>
        </w:rPr>
        <w:t>B. Broad molecular profiling, because clinically atypical squamous NSCLC can still harbor actionable alterations</w:t>
      </w:r>
    </w:p>
    <w:p w:rsidR="00144FC4" w:rsidRPr="00144FC4" w:rsidRDefault="00144FC4" w:rsidP="00144FC4">
      <w:pPr>
        <w:spacing w:after="0" w:line="240" w:lineRule="auto"/>
        <w:rPr>
          <w:rFonts w:ascii="Arial" w:hAnsi="Arial" w:cs="Arial"/>
          <w:sz w:val="22"/>
        </w:rPr>
      </w:pPr>
      <w:r w:rsidRPr="00144FC4">
        <w:rPr>
          <w:rFonts w:ascii="Arial" w:hAnsi="Arial" w:cs="Arial"/>
          <w:sz w:val="22"/>
        </w:rPr>
        <w:t>C. PD-L1 testing alone</w:t>
      </w:r>
      <w:r>
        <w:rPr>
          <w:rFonts w:ascii="Arial" w:hAnsi="Arial" w:cs="Arial"/>
          <w:sz w:val="22"/>
        </w:rPr>
        <w:t xml:space="preserve"> since</w:t>
      </w:r>
      <w:r w:rsidRPr="00144FC4">
        <w:rPr>
          <w:rFonts w:ascii="Arial" w:hAnsi="Arial" w:cs="Arial"/>
          <w:sz w:val="22"/>
        </w:rPr>
        <w:t xml:space="preserve"> it is the clinically relevant marker in squamous disease</w:t>
      </w:r>
    </w:p>
    <w:p w:rsidR="00144FC4" w:rsidRPr="00144FC4" w:rsidRDefault="00144FC4" w:rsidP="00144FC4">
      <w:pPr>
        <w:spacing w:after="0" w:line="240" w:lineRule="auto"/>
        <w:rPr>
          <w:rFonts w:ascii="Arial" w:hAnsi="Arial" w:cs="Arial"/>
          <w:sz w:val="22"/>
        </w:rPr>
      </w:pPr>
      <w:r w:rsidRPr="00144FC4">
        <w:rPr>
          <w:rFonts w:ascii="Arial" w:hAnsi="Arial" w:cs="Arial"/>
          <w:sz w:val="22"/>
        </w:rPr>
        <w:t xml:space="preserve">D. EGFR testing </w:t>
      </w:r>
      <w:r w:rsidR="00701DDB">
        <w:rPr>
          <w:rFonts w:ascii="Arial" w:hAnsi="Arial" w:cs="Arial"/>
          <w:sz w:val="22"/>
        </w:rPr>
        <w:t>alone</w:t>
      </w:r>
      <w:r w:rsidRPr="00144FC4">
        <w:rPr>
          <w:rFonts w:ascii="Arial" w:hAnsi="Arial" w:cs="Arial"/>
          <w:sz w:val="22"/>
        </w:rPr>
        <w:t>, because it is the most common actionable driver</w:t>
      </w:r>
    </w:p>
    <w:p w:rsidR="00144FC4" w:rsidRPr="00144FC4" w:rsidRDefault="00144FC4" w:rsidP="00144FC4">
      <w:pPr>
        <w:spacing w:after="0" w:line="240" w:lineRule="auto"/>
        <w:rPr>
          <w:rFonts w:ascii="Arial" w:hAnsi="Arial" w:cs="Arial"/>
          <w:sz w:val="22"/>
        </w:rPr>
      </w:pPr>
    </w:p>
    <w:p w:rsidR="00144FC4" w:rsidRPr="00144FC4" w:rsidRDefault="00144FC4" w:rsidP="00144FC4">
      <w:pPr>
        <w:spacing w:after="0" w:line="240" w:lineRule="auto"/>
        <w:rPr>
          <w:rFonts w:ascii="Arial" w:hAnsi="Arial" w:cs="Arial"/>
          <w:sz w:val="22"/>
        </w:rPr>
      </w:pPr>
      <w:r w:rsidRPr="00144FC4">
        <w:rPr>
          <w:rFonts w:ascii="Arial" w:hAnsi="Arial" w:cs="Arial"/>
          <w:sz w:val="22"/>
        </w:rPr>
        <w:t>Correct answer: B.</w:t>
      </w:r>
    </w:p>
    <w:p w:rsidR="00144FC4" w:rsidRPr="00144FC4" w:rsidRDefault="00144FC4" w:rsidP="00144FC4">
      <w:pPr>
        <w:spacing w:after="0" w:line="240" w:lineRule="auto"/>
        <w:rPr>
          <w:rFonts w:ascii="Arial" w:hAnsi="Arial" w:cs="Arial"/>
          <w:sz w:val="22"/>
        </w:rPr>
      </w:pPr>
      <w:r>
        <w:rPr>
          <w:rFonts w:ascii="Arial" w:hAnsi="Arial" w:cs="Arial"/>
          <w:sz w:val="22"/>
        </w:rPr>
        <w:t>Explanation:</w:t>
      </w:r>
      <w:r w:rsidRPr="00144FC4">
        <w:rPr>
          <w:rFonts w:ascii="Arial" w:hAnsi="Arial" w:cs="Arial"/>
          <w:sz w:val="22"/>
        </w:rPr>
        <w:t xml:space="preserve"> Although advanced </w:t>
      </w:r>
      <w:proofErr w:type="spellStart"/>
      <w:r w:rsidRPr="00144FC4">
        <w:rPr>
          <w:rFonts w:ascii="Arial" w:hAnsi="Arial" w:cs="Arial"/>
          <w:sz w:val="22"/>
        </w:rPr>
        <w:t>nonsquamous</w:t>
      </w:r>
      <w:proofErr w:type="spellEnd"/>
      <w:r w:rsidRPr="00144FC4">
        <w:rPr>
          <w:rFonts w:ascii="Arial" w:hAnsi="Arial" w:cs="Arial"/>
          <w:sz w:val="22"/>
        </w:rPr>
        <w:t xml:space="preserve"> NSCLC is the classic setting for comprehensive profiling, clinically atypical squamous presentations—such as disease in a never-smoker or a younger patient—should still prompt broad molecular testing. This principle is especially important when the only available tissue comes from </w:t>
      </w:r>
      <w:proofErr w:type="spellStart"/>
      <w:r w:rsidRPr="00144FC4">
        <w:rPr>
          <w:rFonts w:ascii="Arial" w:hAnsi="Arial" w:cs="Arial"/>
          <w:sz w:val="22"/>
        </w:rPr>
        <w:t>cpEBUS</w:t>
      </w:r>
      <w:proofErr w:type="spellEnd"/>
      <w:r w:rsidRPr="00144FC4">
        <w:rPr>
          <w:rFonts w:ascii="Arial" w:hAnsi="Arial" w:cs="Arial"/>
          <w:sz w:val="22"/>
        </w:rPr>
        <w:t>-TBNA, because there may not be a second chance to obtain a more informative specimen later. The goal is to avoid falsely assuming that morphology alone excludes targetable biology.</w:t>
      </w:r>
    </w:p>
    <w:p w:rsidR="00144FC4" w:rsidRDefault="00144FC4" w:rsidP="00144FC4">
      <w:pPr>
        <w:spacing w:after="0" w:line="240" w:lineRule="auto"/>
        <w:rPr>
          <w:rFonts w:ascii="Arial" w:hAnsi="Arial" w:cs="Arial"/>
          <w:sz w:val="22"/>
        </w:rPr>
      </w:pPr>
    </w:p>
    <w:p w:rsidR="00144FC4" w:rsidRDefault="00144FC4" w:rsidP="00144FC4">
      <w:pPr>
        <w:spacing w:after="0" w:line="240" w:lineRule="auto"/>
        <w:rPr>
          <w:rFonts w:ascii="Arial" w:hAnsi="Arial" w:cs="Arial"/>
          <w:sz w:val="22"/>
        </w:rPr>
      </w:pPr>
      <w:r w:rsidRPr="00144FC4">
        <w:rPr>
          <w:rFonts w:ascii="Arial" w:hAnsi="Arial" w:cs="Arial"/>
          <w:sz w:val="22"/>
        </w:rPr>
        <w:t>Option A is incorrect because actionable drivers are less common in squamous disease but not impossible, especially in atypical clinical settings. Option C is incorrect because PD-L1 does not substitute for genomic profiling. Option D is incorrect because single-gene testing is too narrow for a limited specimen when multiple actionable drivers are possible.</w:t>
      </w:r>
    </w:p>
    <w:p w:rsidR="00144FC4" w:rsidRDefault="00144FC4" w:rsidP="000C47B1">
      <w:pPr>
        <w:spacing w:after="0" w:line="240" w:lineRule="auto"/>
        <w:rPr>
          <w:rFonts w:ascii="Arial" w:hAnsi="Arial" w:cs="Arial"/>
          <w:sz w:val="22"/>
        </w:rPr>
      </w:pPr>
    </w:p>
    <w:p w:rsidR="00D31486" w:rsidRDefault="00D31486" w:rsidP="00D31486">
      <w:pPr>
        <w:spacing w:after="0" w:line="240" w:lineRule="auto"/>
        <w:rPr>
          <w:rFonts w:ascii="Arial" w:hAnsi="Arial" w:cs="Arial"/>
          <w:sz w:val="22"/>
        </w:rPr>
      </w:pPr>
    </w:p>
    <w:p w:rsidR="00285ED2" w:rsidRDefault="00285ED2"/>
    <w:sectPr w:rsidR="00285ED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884244">
    <w:abstractNumId w:val="8"/>
  </w:num>
  <w:num w:numId="2" w16cid:durableId="1795172916">
    <w:abstractNumId w:val="6"/>
  </w:num>
  <w:num w:numId="3" w16cid:durableId="92945611">
    <w:abstractNumId w:val="5"/>
  </w:num>
  <w:num w:numId="4" w16cid:durableId="1983271507">
    <w:abstractNumId w:val="4"/>
  </w:num>
  <w:num w:numId="5" w16cid:durableId="643005324">
    <w:abstractNumId w:val="7"/>
  </w:num>
  <w:num w:numId="6" w16cid:durableId="1778597010">
    <w:abstractNumId w:val="3"/>
  </w:num>
  <w:num w:numId="7" w16cid:durableId="468595952">
    <w:abstractNumId w:val="2"/>
  </w:num>
  <w:num w:numId="8" w16cid:durableId="1812090466">
    <w:abstractNumId w:val="1"/>
  </w:num>
  <w:num w:numId="9" w16cid:durableId="50871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7B1"/>
    <w:rsid w:val="00144FC4"/>
    <w:rsid w:val="0015074B"/>
    <w:rsid w:val="00206FCF"/>
    <w:rsid w:val="00285ED2"/>
    <w:rsid w:val="0029639D"/>
    <w:rsid w:val="00326F90"/>
    <w:rsid w:val="00701DDB"/>
    <w:rsid w:val="007528DB"/>
    <w:rsid w:val="00833994"/>
    <w:rsid w:val="008F14B3"/>
    <w:rsid w:val="00AA1D8D"/>
    <w:rsid w:val="00B47730"/>
    <w:rsid w:val="00CB0664"/>
    <w:rsid w:val="00D31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5EDA4"/>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3</cp:revision>
  <dcterms:created xsi:type="dcterms:W3CDTF">2026-04-25T02:45:00Z</dcterms:created>
  <dcterms:modified xsi:type="dcterms:W3CDTF">2026-04-26T01:36:00Z</dcterms:modified>
  <cp:category/>
</cp:coreProperties>
</file>