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40"/>
          <w:szCs w:val="40"/>
        </w:rPr>
        <w:t xml:space="preserve">COO Compensation Proposal</w:t>
      </w:r>
    </w:p>
    <w:p>
      <w:pPr>
        <w:spacing w:after="60" w:before="0"/>
        <w:jc w:val="center"/>
      </w:pPr>
      <w:r>
        <w:rPr>
          <w:rFonts w:ascii="Calibri" w:cs="Calibri" w:eastAsia="Calibri" w:hAnsi="Calibri"/>
          <w:b/>
          <w:bCs/>
          <w:sz w:val="28"/>
          <w:szCs w:val="28"/>
        </w:rPr>
        <w:t xml:space="preserve">Russell Teter</w:t>
      </w:r>
    </w:p>
    <w:p>
      <w:pPr>
        <w:spacing w:after="360" w:before="0"/>
        <w:jc w:val="center"/>
      </w:pPr>
      <w:r>
        <w:rPr>
          <w:rFonts w:ascii="Calibri" w:cs="Calibri" w:eastAsia="Calibri" w:hAnsi="Calibri"/>
          <w:i/>
          <w:iCs/>
          <w:color w:val="666666"/>
          <w:sz w:val="22"/>
          <w:szCs w:val="22"/>
        </w:rPr>
        <w:t xml:space="preserve">Prepared May 21, 2026</w:t>
      </w:r>
    </w:p>
    <w:p>
      <w:pPr>
        <w:pStyle w:val="Heading1"/>
        <w:spacing w:after="180" w:before="360"/>
      </w:pPr>
      <w:r>
        <w:rPr>
          <w:rFonts w:ascii="Calibri" w:cs="Calibri" w:eastAsia="Calibri" w:hAnsi="Calibri"/>
          <w:b/>
          <w:bCs/>
          <w:sz w:val="32"/>
          <w:szCs w:val="32"/>
        </w:rPr>
        <w:t xml:space="preserve">Current Comp vs. Proposed COO Comp</w:t>
      </w:r>
    </w:p>
    <w:p>
      <w:pPr>
        <w:spacing w:after="80" w:before="80" w:line="300"/>
      </w:pPr>
      <w:r>
        <w:rPr>
          <w:rFonts w:ascii="Calibri" w:cs="Calibri" w:eastAsia="Calibri" w:hAnsi="Calibri"/>
          <w:sz w:val="22"/>
          <w:szCs w:val="22"/>
        </w:rPr>
        <w:t xml:space="preserve">The table below summarizes the proposed package against the current SVP-level compensation in effect as of the January 16, 2025 employee change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BFBFBF" w:sz="4"/>
              <w:left w:val="single" w:color="BFBFBF" w:sz="4"/>
              <w:bottom w:val="single" w:color="BFBFBF" w:sz="4"/>
              <w:right w:val="single" w:color="BFBFBF" w:sz="4"/>
            </w:tcBorders>
            <w:shd w:fill="DEE6EF" w:val="clear"/>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Component</w:t>
            </w:r>
          </w:p>
        </w:tc>
        <w:tc>
          <w:tcPr>
            <w:tcW w:type="dxa" w:w="3240"/>
            <w:tcBorders>
              <w:top w:val="single" w:color="BFBFBF" w:sz="4"/>
              <w:left w:val="single" w:color="BFBFBF" w:sz="4"/>
              <w:bottom w:val="single" w:color="BFBFBF" w:sz="4"/>
              <w:right w:val="single" w:color="BFBFBF" w:sz="4"/>
            </w:tcBorders>
            <w:shd w:fill="DEE6EF" w:val="clear"/>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Current (SVP)</w:t>
            </w:r>
          </w:p>
        </w:tc>
        <w:tc>
          <w:tcPr>
            <w:tcW w:type="dxa" w:w="3240"/>
            <w:tcBorders>
              <w:top w:val="single" w:color="BFBFBF" w:sz="4"/>
              <w:left w:val="single" w:color="BFBFBF" w:sz="4"/>
              <w:bottom w:val="single" w:color="BFBFBF" w:sz="4"/>
              <w:right w:val="single" w:color="BFBFBF" w:sz="4"/>
            </w:tcBorders>
            <w:shd w:fill="DEE6EF" w:val="clear"/>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Proposed (COO)</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Title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SVP, Operations and Business Development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Chief Operating Officer</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Reporting line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CFO (Brian Bharwani)</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CEO (Michael Chasen) and Board</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Base salary</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$225,000</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$280,000</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Variable target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$100,000</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$100,000</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Variable floor (Y1)</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None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50% guaranteed = $50,000</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Variable payment timing</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Annual lump, paid Feb/March 2027</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Semi-annual (every 6 months)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Sign-on / promotion bonus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None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$25,000 paid on COO appointment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Performance milestone bonus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None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$50,000 on 2 consecutive Qs of EBITDA positive AND operating cash flow positive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OTE (target)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$325,000</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$430,000</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Y1 guaranteed cash floor</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$225,000</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$355,000 (base + variable floor + sign-on)</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Severance — length</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4 months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5 months base + variable share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Severance — payment timing</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Standard installments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Full 5 months paid lump within 14 days of termination</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Severance — deemed termination triggers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None</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Three: missed payroll &gt;7 days; bankruptcy filing; formal wind-down announcement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Equity — Class E Common Units</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180 units (Oct 8, 2025 grant)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Unchanged</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Equity — MIP Designated %</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2.25% (Oct 8, 2025 grant)</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Unchanged</w:t>
            </w:r>
          </w:p>
        </w:tc>
      </w:tr>
    </w:tbl>
    <w:p>
      <w:r>
        <w:br w:type="page"/>
      </w:r>
    </w:p>
    <w:p>
      <w:pPr>
        <w:pStyle w:val="Heading1"/>
        <w:spacing w:after="180" w:before="360"/>
      </w:pPr>
      <w:r>
        <w:rPr>
          <w:rFonts w:ascii="Calibri" w:cs="Calibri" w:eastAsia="Calibri" w:hAnsi="Calibri"/>
          <w:b/>
          <w:bCs/>
          <w:sz w:val="32"/>
          <w:szCs w:val="32"/>
        </w:rPr>
        <w:t xml:space="preserve">Line-by-Line Breakdown of Proposed Terms</w:t>
      </w:r>
    </w:p>
    <w:p>
      <w:pPr>
        <w:pStyle w:val="Heading2"/>
        <w:spacing w:after="140" w:before="280"/>
      </w:pPr>
      <w:r>
        <w:rPr>
          <w:rFonts w:ascii="Calibri" w:cs="Calibri" w:eastAsia="Calibri" w:hAnsi="Calibri"/>
          <w:b/>
          <w:bCs/>
          <w:sz w:val="26"/>
          <w:szCs w:val="26"/>
        </w:rPr>
        <w:t xml:space="preserve">1. Title — Chief Operating Officer</w:t>
      </w:r>
    </w:p>
    <w:p>
      <w:pPr>
        <w:spacing w:after="80" w:before="80" w:line="300"/>
      </w:pPr>
      <w:r>
        <w:rPr>
          <w:rFonts w:ascii="Calibri" w:cs="Calibri" w:eastAsia="Calibri" w:hAnsi="Calibri"/>
          <w:sz w:val="22"/>
          <w:szCs w:val="22"/>
        </w:rPr>
        <w:t xml:space="preserve">The title is "Chief Operating Officer," reporting to the CEO and the Board.</w:t>
      </w:r>
    </w:p>
    <w:p>
      <w:pPr>
        <w:pStyle w:val="Heading2"/>
        <w:spacing w:after="140" w:before="280"/>
      </w:pPr>
      <w:r>
        <w:rPr>
          <w:rFonts w:ascii="Calibri" w:cs="Calibri" w:eastAsia="Calibri" w:hAnsi="Calibri"/>
          <w:b/>
          <w:bCs/>
          <w:sz w:val="26"/>
          <w:szCs w:val="26"/>
        </w:rPr>
        <w:t xml:space="preserve">2. Base salary — $280,000</w:t>
      </w:r>
    </w:p>
    <w:p>
      <w:pPr>
        <w:spacing w:after="80" w:before="80" w:line="300"/>
      </w:pPr>
      <w:r>
        <w:rPr>
          <w:rFonts w:ascii="Calibri" w:cs="Calibri" w:eastAsia="Calibri" w:hAnsi="Calibri"/>
          <w:sz w:val="22"/>
          <w:szCs w:val="22"/>
        </w:rPr>
        <w:t xml:space="preserve">Rationale:</w:t>
      </w:r>
    </w:p>
    <w:p>
      <w:pPr>
        <w:pStyle w:val="ListParagraph"/>
        <w:numPr>
          <w:ilvl w:val="0"/>
          <w:numId w:val="2"/>
        </w:numPr>
        <w:spacing w:after="40" w:before="40" w:line="300"/>
      </w:pPr>
      <w:r>
        <w:rPr>
          <w:rFonts w:ascii="Calibri" w:cs="Calibri" w:eastAsia="Calibri" w:hAnsi="Calibri"/>
          <w:sz w:val="22"/>
          <w:szCs w:val="22"/>
        </w:rPr>
        <w:t xml:space="preserve">The current base of $225,000 was set for the SVP, Operations and Business Development role.</w:t>
      </w:r>
    </w:p>
    <w:p>
      <w:pPr>
        <w:pStyle w:val="ListParagraph"/>
        <w:numPr>
          <w:ilvl w:val="0"/>
          <w:numId w:val="2"/>
        </w:numPr>
        <w:spacing w:after="40" w:before="40" w:line="300"/>
      </w:pPr>
      <w:r>
        <w:rPr>
          <w:rFonts w:ascii="Calibri" w:cs="Calibri" w:eastAsia="Calibri" w:hAnsi="Calibri"/>
          <w:sz w:val="22"/>
          <w:szCs w:val="22"/>
        </w:rPr>
        <w:t xml:space="preserve">The COO role at Class carries materially greater accountability, including direct ownership of cost reduction, operational execution, and the cash runway extension plan.</w:t>
      </w:r>
    </w:p>
    <w:p>
      <w:pPr>
        <w:pStyle w:val="ListParagraph"/>
        <w:numPr>
          <w:ilvl w:val="0"/>
          <w:numId w:val="2"/>
        </w:numPr>
        <w:spacing w:after="40" w:before="40" w:line="300"/>
      </w:pPr>
      <w:r>
        <w:rPr>
          <w:rFonts w:ascii="Calibri" w:cs="Calibri" w:eastAsia="Calibri" w:hAnsi="Calibri"/>
          <w:sz w:val="22"/>
          <w:szCs w:val="22"/>
        </w:rPr>
        <w:t xml:space="preserve">Published 2026 market data places median base salary for a privately-held SaaS COO in the $275,000–$370,000 range.</w:t>
      </w:r>
    </w:p>
    <w:p>
      <w:pPr>
        <w:pStyle w:val="ListParagraph"/>
        <w:numPr>
          <w:ilvl w:val="0"/>
          <w:numId w:val="2"/>
        </w:numPr>
        <w:spacing w:after="40" w:before="40" w:line="300"/>
      </w:pPr>
      <w:r>
        <w:rPr>
          <w:rFonts w:ascii="Calibri" w:cs="Calibri" w:eastAsia="Calibri" w:hAnsi="Calibri"/>
          <w:sz w:val="22"/>
          <w:szCs w:val="22"/>
        </w:rPr>
        <w:t xml:space="preserve">Most COO compensation packages at this stage include a meaningful equity component that offsets lower-than-market cash. The existing equity stack (180 Class E Common Units and 2.25% MIP) pays out only on a Deemed Liquidation Event under the October 8, 2025 Newco agreements.</w:t>
      </w:r>
    </w:p>
    <w:p>
      <w:pPr>
        <w:pStyle w:val="ListParagraph"/>
        <w:numPr>
          <w:ilvl w:val="0"/>
          <w:numId w:val="2"/>
        </w:numPr>
        <w:spacing w:after="40" w:before="40" w:line="300"/>
      </w:pPr>
      <w:r>
        <w:rPr>
          <w:rFonts w:ascii="Calibri" w:cs="Calibri" w:eastAsia="Calibri" w:hAnsi="Calibri"/>
          <w:sz w:val="22"/>
          <w:szCs w:val="22"/>
        </w:rPr>
        <w:t xml:space="preserve">Base salary is the mechanism by which a market-comparable COO package can be delivered without modifying the existing equity grants.</w:t>
      </w:r>
    </w:p>
    <w:p>
      <w:pPr>
        <w:pStyle w:val="Heading2"/>
        <w:spacing w:after="140" w:before="280"/>
      </w:pPr>
      <w:r>
        <w:rPr>
          <w:rFonts w:ascii="Calibri" w:cs="Calibri" w:eastAsia="Calibri" w:hAnsi="Calibri"/>
          <w:b/>
          <w:bCs/>
          <w:sz w:val="26"/>
          <w:szCs w:val="26"/>
        </w:rPr>
        <w:t xml:space="preserve">3. Variable target — $100,000</w:t>
      </w:r>
    </w:p>
    <w:p>
      <w:pPr>
        <w:spacing w:after="80" w:before="80" w:line="300"/>
      </w:pPr>
      <w:r>
        <w:rPr>
          <w:rFonts w:ascii="Calibri" w:cs="Calibri" w:eastAsia="Calibri" w:hAnsi="Calibri"/>
          <w:sz w:val="22"/>
          <w:szCs w:val="22"/>
        </w:rPr>
        <w:t xml:space="preserve">Held at current level. No change in target amount.</w:t>
      </w:r>
    </w:p>
    <w:p>
      <w:pPr>
        <w:pStyle w:val="Heading2"/>
        <w:spacing w:after="140" w:before="280"/>
      </w:pPr>
      <w:r>
        <w:rPr>
          <w:rFonts w:ascii="Calibri" w:cs="Calibri" w:eastAsia="Calibri" w:hAnsi="Calibri"/>
          <w:b/>
          <w:bCs/>
          <w:sz w:val="26"/>
          <w:szCs w:val="26"/>
        </w:rPr>
        <w:t xml:space="preserve">4. Variable floor (Y1) — 50% guaranteed = $50,000</w:t>
      </w:r>
    </w:p>
    <w:p>
      <w:pPr>
        <w:spacing w:after="80" w:before="80" w:line="300"/>
      </w:pPr>
      <w:r>
        <w:rPr>
          <w:rFonts w:ascii="Calibri" w:cs="Calibri" w:eastAsia="Calibri" w:hAnsi="Calibri"/>
          <w:sz w:val="22"/>
          <w:szCs w:val="22"/>
        </w:rPr>
        <w:t xml:space="preserve">Rationale:</w:t>
      </w:r>
    </w:p>
    <w:p>
      <w:pPr>
        <w:pStyle w:val="ListParagraph"/>
        <w:numPr>
          <w:ilvl w:val="0"/>
          <w:numId w:val="2"/>
        </w:numPr>
        <w:spacing w:after="40" w:before="40" w:line="300"/>
      </w:pPr>
      <w:r>
        <w:rPr>
          <w:rFonts w:ascii="Calibri" w:cs="Calibri" w:eastAsia="Calibri" w:hAnsi="Calibri"/>
          <w:sz w:val="22"/>
          <w:szCs w:val="22"/>
        </w:rPr>
        <w:t xml:space="preserve">A 50% floor on the variable target guarantees $50,000 of variable bonus in Year 1 regardless of company-level performance attainment.</w:t>
      </w:r>
    </w:p>
    <w:p>
      <w:pPr>
        <w:pStyle w:val="ListParagraph"/>
        <w:numPr>
          <w:ilvl w:val="0"/>
          <w:numId w:val="2"/>
        </w:numPr>
        <w:spacing w:after="40" w:before="40" w:line="300"/>
      </w:pPr>
      <w:r>
        <w:rPr>
          <w:rFonts w:ascii="Calibri" w:cs="Calibri" w:eastAsia="Calibri" w:hAnsi="Calibri"/>
          <w:sz w:val="22"/>
          <w:szCs w:val="22"/>
        </w:rPr>
        <w:t xml:space="preserve">A guaranteed floor is standard practice when an executive is being asked to lead a turnaround in a cash-crisis scenario where company-level performance metrics carry substantial execution risk.</w:t>
      </w:r>
    </w:p>
    <w:p>
      <w:pPr>
        <w:pStyle w:val="ListParagraph"/>
        <w:numPr>
          <w:ilvl w:val="0"/>
          <w:numId w:val="2"/>
        </w:numPr>
        <w:spacing w:after="40" w:before="40" w:line="300"/>
      </w:pPr>
      <w:r>
        <w:rPr>
          <w:rFonts w:ascii="Calibri" w:cs="Calibri" w:eastAsia="Calibri" w:hAnsi="Calibri"/>
          <w:sz w:val="22"/>
          <w:szCs w:val="22"/>
        </w:rPr>
        <w:t xml:space="preserve">The remaining 50% of the variable target ($50,000) remains performance-contingent, preserving alignment with company outcomes.</w:t>
      </w:r>
    </w:p>
    <w:p>
      <w:pPr>
        <w:pStyle w:val="Heading2"/>
        <w:spacing w:after="140" w:before="280"/>
      </w:pPr>
      <w:r>
        <w:rPr>
          <w:rFonts w:ascii="Calibri" w:cs="Calibri" w:eastAsia="Calibri" w:hAnsi="Calibri"/>
          <w:b/>
          <w:bCs/>
          <w:sz w:val="26"/>
          <w:szCs w:val="26"/>
        </w:rPr>
        <w:t xml:space="preserve">5. Variable payment timing — semi-annual (every 6 months)</w:t>
      </w:r>
    </w:p>
    <w:p>
      <w:pPr>
        <w:spacing w:after="80" w:before="80" w:line="300"/>
      </w:pPr>
      <w:r>
        <w:rPr>
          <w:rFonts w:ascii="Calibri" w:cs="Calibri" w:eastAsia="Calibri" w:hAnsi="Calibri"/>
          <w:sz w:val="22"/>
          <w:szCs w:val="22"/>
        </w:rPr>
        <w:t xml:space="preserve">Rationale:</w:t>
      </w:r>
    </w:p>
    <w:p>
      <w:pPr>
        <w:pStyle w:val="ListParagraph"/>
        <w:numPr>
          <w:ilvl w:val="0"/>
          <w:numId w:val="2"/>
        </w:numPr>
        <w:spacing w:after="40" w:before="40" w:line="300"/>
      </w:pPr>
      <w:r>
        <w:rPr>
          <w:rFonts w:ascii="Calibri" w:cs="Calibri" w:eastAsia="Calibri" w:hAnsi="Calibri"/>
          <w:sz w:val="22"/>
          <w:szCs w:val="22"/>
        </w:rPr>
        <w:t xml:space="preserve">Through Q4 2025, the variable bonus was paid quarterly under prior compensation structure.</w:t>
      </w:r>
    </w:p>
    <w:p>
      <w:pPr>
        <w:pStyle w:val="ListParagraph"/>
        <w:numPr>
          <w:ilvl w:val="0"/>
          <w:numId w:val="2"/>
        </w:numPr>
        <w:spacing w:after="40" w:before="40" w:line="300"/>
      </w:pPr>
      <w:r>
        <w:rPr>
          <w:rFonts w:ascii="Calibri" w:cs="Calibri" w:eastAsia="Calibri" w:hAnsi="Calibri"/>
          <w:sz w:val="22"/>
          <w:szCs w:val="22"/>
        </w:rPr>
        <w:t xml:space="preserve">Effective Q1 2026, the variable bonus structure shifted to an annual payout scheduled for February/March 2027, creating a 14+ month gap between bonus payments.</w:t>
      </w:r>
    </w:p>
    <w:p>
      <w:pPr>
        <w:pStyle w:val="ListParagraph"/>
        <w:numPr>
          <w:ilvl w:val="0"/>
          <w:numId w:val="2"/>
        </w:numPr>
        <w:spacing w:after="40" w:before="40" w:line="300"/>
      </w:pPr>
      <w:r>
        <w:rPr>
          <w:rFonts w:ascii="Calibri" w:cs="Calibri" w:eastAsia="Calibri" w:hAnsi="Calibri"/>
          <w:sz w:val="22"/>
          <w:szCs w:val="22"/>
        </w:rPr>
        <w:t xml:space="preserve">Semi-annual payment restores a portion of the prior cash flow cadence.</w:t>
      </w:r>
    </w:p>
    <w:p>
      <w:pPr>
        <w:pStyle w:val="Heading2"/>
        <w:spacing w:after="140" w:before="280"/>
      </w:pPr>
      <w:r>
        <w:rPr>
          <w:rFonts w:ascii="Calibri" w:cs="Calibri" w:eastAsia="Calibri" w:hAnsi="Calibri"/>
          <w:b/>
          <w:bCs/>
          <w:sz w:val="26"/>
          <w:szCs w:val="26"/>
        </w:rPr>
        <w:t xml:space="preserve">6. Sign-on / promotion bonus — $25,000 paid on COO appointment</w:t>
      </w:r>
    </w:p>
    <w:p>
      <w:pPr>
        <w:spacing w:after="80" w:before="80" w:line="300"/>
      </w:pPr>
      <w:r>
        <w:rPr>
          <w:rFonts w:ascii="Calibri" w:cs="Calibri" w:eastAsia="Calibri" w:hAnsi="Calibri"/>
          <w:sz w:val="22"/>
          <w:szCs w:val="22"/>
        </w:rPr>
        <w:t xml:space="preserve">Rationale:</w:t>
      </w:r>
    </w:p>
    <w:p>
      <w:pPr>
        <w:pStyle w:val="ListParagraph"/>
        <w:numPr>
          <w:ilvl w:val="0"/>
          <w:numId w:val="2"/>
        </w:numPr>
        <w:spacing w:after="40" w:before="40" w:line="300"/>
      </w:pPr>
      <w:r>
        <w:rPr>
          <w:rFonts w:ascii="Calibri" w:cs="Calibri" w:eastAsia="Calibri" w:hAnsi="Calibri"/>
          <w:sz w:val="22"/>
          <w:szCs w:val="22"/>
        </w:rPr>
        <w:t xml:space="preserve">Bridges the cash flow gap created when the variable structure shifted from quarterly to annual.</w:t>
      </w:r>
    </w:p>
    <w:p>
      <w:pPr>
        <w:pStyle w:val="ListParagraph"/>
        <w:numPr>
          <w:ilvl w:val="0"/>
          <w:numId w:val="2"/>
        </w:numPr>
        <w:spacing w:after="40" w:before="40" w:line="300"/>
      </w:pPr>
      <w:r>
        <w:rPr>
          <w:rFonts w:ascii="Calibri" w:cs="Calibri" w:eastAsia="Calibri" w:hAnsi="Calibri"/>
          <w:sz w:val="22"/>
          <w:szCs w:val="22"/>
        </w:rPr>
        <w:t xml:space="preserve">Recognizes the COO step-up event as distinct from the ongoing variable bonus structure.</w:t>
      </w:r>
    </w:p>
    <w:p>
      <w:pPr>
        <w:pStyle w:val="ListParagraph"/>
        <w:numPr>
          <w:ilvl w:val="0"/>
          <w:numId w:val="2"/>
        </w:numPr>
        <w:spacing w:after="40" w:before="40" w:line="300"/>
      </w:pPr>
      <w:r>
        <w:rPr>
          <w:rFonts w:ascii="Calibri" w:cs="Calibri" w:eastAsia="Calibri" w:hAnsi="Calibri"/>
          <w:sz w:val="22"/>
          <w:szCs w:val="22"/>
        </w:rPr>
        <w:t xml:space="preserve">Subject to forfeiture only if Russell voluntarily resigns within 12 months for reasons other than Good Reason. Not subject to repayment in any involuntary termination scenario.</w:t>
      </w:r>
    </w:p>
    <w:p>
      <w:pPr>
        <w:pStyle w:val="Heading2"/>
        <w:spacing w:after="140" w:before="280"/>
      </w:pPr>
      <w:r>
        <w:rPr>
          <w:rFonts w:ascii="Calibri" w:cs="Calibri" w:eastAsia="Calibri" w:hAnsi="Calibri"/>
          <w:b/>
          <w:bCs/>
          <w:sz w:val="26"/>
          <w:szCs w:val="26"/>
        </w:rPr>
        <w:t xml:space="preserve">7. Performance milestone bonus — $50,000</w:t>
      </w:r>
    </w:p>
    <w:p>
      <w:pPr>
        <w:spacing w:after="80" w:before="80" w:line="300"/>
      </w:pPr>
      <w:r>
        <w:rPr>
          <w:rFonts w:ascii="Calibri" w:cs="Calibri" w:eastAsia="Calibri" w:hAnsi="Calibri"/>
          <w:sz w:val="22"/>
          <w:szCs w:val="22"/>
        </w:rPr>
        <w:t xml:space="preserve">Trigger: Class achieves two consecutive fiscal quarters of (i) EBITDA positive AND (ii) operating cash flow positive.</w:t>
      </w:r>
    </w:p>
    <w:p>
      <w:pPr>
        <w:spacing w:after="80" w:before="80" w:line="300"/>
      </w:pPr>
      <w:r>
        <w:rPr>
          <w:rFonts w:ascii="Calibri" w:cs="Calibri" w:eastAsia="Calibri" w:hAnsi="Calibri"/>
          <w:sz w:val="22"/>
          <w:szCs w:val="22"/>
        </w:rPr>
        <w:t xml:space="preserve">Rationale:</w:t>
      </w:r>
    </w:p>
    <w:p>
      <w:pPr>
        <w:pStyle w:val="ListParagraph"/>
        <w:numPr>
          <w:ilvl w:val="0"/>
          <w:numId w:val="2"/>
        </w:numPr>
        <w:spacing w:after="40" w:before="40" w:line="300"/>
      </w:pPr>
      <w:r>
        <w:rPr>
          <w:rFonts w:ascii="Calibri" w:cs="Calibri" w:eastAsia="Calibri" w:hAnsi="Calibri"/>
          <w:sz w:val="22"/>
          <w:szCs w:val="22"/>
        </w:rPr>
        <w:t xml:space="preserve">Single-payment, milestone-based bonus tied directly to the COO mission of restoring Class to financial sustainability.</w:t>
      </w:r>
    </w:p>
    <w:p>
      <w:pPr>
        <w:pStyle w:val="ListParagraph"/>
        <w:numPr>
          <w:ilvl w:val="0"/>
          <w:numId w:val="2"/>
        </w:numPr>
        <w:spacing w:after="40" w:before="40" w:line="300"/>
      </w:pPr>
      <w:r>
        <w:rPr>
          <w:rFonts w:ascii="Calibri" w:cs="Calibri" w:eastAsia="Calibri" w:hAnsi="Calibri"/>
          <w:sz w:val="22"/>
          <w:szCs w:val="22"/>
        </w:rPr>
        <w:t xml:space="preserve">Both metrics are required (not "or") so the bonus pays only on genuine financial recovery, not on accounting timing effects that can move EBITDA without underlying cash improvement.</w:t>
      </w:r>
    </w:p>
    <w:p>
      <w:pPr>
        <w:pStyle w:val="ListParagraph"/>
        <w:numPr>
          <w:ilvl w:val="0"/>
          <w:numId w:val="2"/>
        </w:numPr>
        <w:spacing w:after="40" w:before="40" w:line="300"/>
      </w:pPr>
      <w:r>
        <w:rPr>
          <w:rFonts w:ascii="Calibri" w:cs="Calibri" w:eastAsia="Calibri" w:hAnsi="Calibri"/>
          <w:sz w:val="22"/>
          <w:szCs w:val="22"/>
        </w:rPr>
        <w:t xml:space="preserve">Paid as a one-time lump sum upon achievement of the trigger condition.</w:t>
      </w:r>
    </w:p>
    <w:p>
      <w:pPr>
        <w:pStyle w:val="Heading2"/>
        <w:spacing w:after="140" w:before="280"/>
      </w:pPr>
      <w:r>
        <w:rPr>
          <w:rFonts w:ascii="Calibri" w:cs="Calibri" w:eastAsia="Calibri" w:hAnsi="Calibri"/>
          <w:b/>
          <w:bCs/>
          <w:sz w:val="26"/>
          <w:szCs w:val="26"/>
        </w:rPr>
        <w:t xml:space="preserve">8. Severance — length: 5 months base + variable share</w:t>
      </w:r>
    </w:p>
    <w:p>
      <w:pPr>
        <w:spacing w:after="80" w:before="80" w:line="300"/>
      </w:pPr>
      <w:r>
        <w:rPr>
          <w:rFonts w:ascii="Calibri" w:cs="Calibri" w:eastAsia="Calibri" w:hAnsi="Calibri"/>
          <w:sz w:val="22"/>
          <w:szCs w:val="22"/>
        </w:rPr>
        <w:t xml:space="preserve">Rationale:</w:t>
      </w:r>
    </w:p>
    <w:p>
      <w:pPr>
        <w:pStyle w:val="ListParagraph"/>
        <w:numPr>
          <w:ilvl w:val="0"/>
          <w:numId w:val="2"/>
        </w:numPr>
        <w:spacing w:after="40" w:before="40" w:line="300"/>
      </w:pPr>
      <w:r>
        <w:rPr>
          <w:rFonts w:ascii="Calibri" w:cs="Calibri" w:eastAsia="Calibri" w:hAnsi="Calibri"/>
          <w:sz w:val="22"/>
          <w:szCs w:val="22"/>
        </w:rPr>
        <w:t xml:space="preserve">Increased from the current 4-month commitment to 5 months, reflecting the increased seniority of the COO role.</w:t>
      </w:r>
    </w:p>
    <w:p>
      <w:pPr>
        <w:pStyle w:val="ListParagraph"/>
        <w:numPr>
          <w:ilvl w:val="0"/>
          <w:numId w:val="2"/>
        </w:numPr>
        <w:spacing w:after="40" w:before="40" w:line="300"/>
      </w:pPr>
      <w:r>
        <w:rPr>
          <w:rFonts w:ascii="Calibri" w:cs="Calibri" w:eastAsia="Calibri" w:hAnsi="Calibri"/>
          <w:sz w:val="22"/>
          <w:szCs w:val="22"/>
        </w:rPr>
        <w:t xml:space="preserve">"Variable share" means the pro-rata portion of the variable target bonus across the 5-month period (= 5/12 × $100,000 = $41,667).</w:t>
      </w:r>
    </w:p>
    <w:p>
      <w:pPr>
        <w:pStyle w:val="ListParagraph"/>
        <w:numPr>
          <w:ilvl w:val="0"/>
          <w:numId w:val="2"/>
        </w:numPr>
        <w:spacing w:after="40" w:before="40" w:line="300"/>
      </w:pPr>
      <w:r>
        <w:rPr>
          <w:rFonts w:ascii="Calibri" w:cs="Calibri" w:eastAsia="Calibri" w:hAnsi="Calibri"/>
          <w:sz w:val="22"/>
          <w:szCs w:val="22"/>
        </w:rPr>
        <w:t xml:space="preserve">Total cash severance at 5 months = $116,667 base + $41,667 variable = $158,333.</w:t>
      </w:r>
    </w:p>
    <w:p>
      <w:pPr>
        <w:pStyle w:val="Heading2"/>
        <w:spacing w:after="140" w:before="280"/>
      </w:pPr>
      <w:r>
        <w:rPr>
          <w:rFonts w:ascii="Calibri" w:cs="Calibri" w:eastAsia="Calibri" w:hAnsi="Calibri"/>
          <w:b/>
          <w:bCs/>
          <w:sz w:val="26"/>
          <w:szCs w:val="26"/>
        </w:rPr>
        <w:t xml:space="preserve">9. Severance — payment timing: full lump within 14 days of termination</w:t>
      </w:r>
    </w:p>
    <w:p>
      <w:pPr>
        <w:spacing w:after="80" w:before="80" w:line="300"/>
      </w:pPr>
      <w:r>
        <w:rPr>
          <w:rFonts w:ascii="Calibri" w:cs="Calibri" w:eastAsia="Calibri" w:hAnsi="Calibri"/>
          <w:sz w:val="22"/>
          <w:szCs w:val="22"/>
        </w:rPr>
        <w:t xml:space="preserve">Rationale:</w:t>
      </w:r>
    </w:p>
    <w:p>
      <w:pPr>
        <w:pStyle w:val="ListParagraph"/>
        <w:numPr>
          <w:ilvl w:val="0"/>
          <w:numId w:val="2"/>
        </w:numPr>
        <w:spacing w:after="40" w:before="40" w:line="300"/>
      </w:pPr>
      <w:r>
        <w:rPr>
          <w:rFonts w:ascii="Calibri" w:cs="Calibri" w:eastAsia="Calibri" w:hAnsi="Calibri"/>
          <w:sz w:val="22"/>
          <w:szCs w:val="22"/>
        </w:rPr>
        <w:t xml:space="preserve">Severance is paid as a single lump-sum wire transfer within 14 days of the termination date, rather than as monthly installments over 5 months.</w:t>
      </w:r>
    </w:p>
    <w:p>
      <w:pPr>
        <w:pStyle w:val="ListParagraph"/>
        <w:numPr>
          <w:ilvl w:val="0"/>
          <w:numId w:val="2"/>
        </w:numPr>
        <w:spacing w:after="40" w:before="40" w:line="300"/>
      </w:pPr>
      <w:r>
        <w:rPr>
          <w:rFonts w:ascii="Calibri" w:cs="Calibri" w:eastAsia="Calibri" w:hAnsi="Calibri"/>
          <w:sz w:val="22"/>
          <w:szCs w:val="22"/>
        </w:rPr>
        <w:t xml:space="preserve">Same total amount as the installment payment structure; only the timing changes.</w:t>
      </w:r>
    </w:p>
    <w:p>
      <w:pPr>
        <w:pStyle w:val="ListParagraph"/>
        <w:numPr>
          <w:ilvl w:val="0"/>
          <w:numId w:val="2"/>
        </w:numPr>
        <w:spacing w:after="40" w:before="40" w:line="300"/>
      </w:pPr>
      <w:r>
        <w:rPr>
          <w:rFonts w:ascii="Calibri" w:cs="Calibri" w:eastAsia="Calibri" w:hAnsi="Calibri"/>
          <w:sz w:val="22"/>
          <w:szCs w:val="22"/>
        </w:rPr>
        <w:t xml:space="preserve">Protects against the scenario in which the company's financial position deteriorates after termination but before all installment payments have been made.</w:t>
      </w:r>
    </w:p>
    <w:p>
      <w:pPr>
        <w:pStyle w:val="Heading2"/>
        <w:spacing w:after="140" w:before="280"/>
      </w:pPr>
      <w:r>
        <w:rPr>
          <w:rFonts w:ascii="Calibri" w:cs="Calibri" w:eastAsia="Calibri" w:hAnsi="Calibri"/>
          <w:b/>
          <w:bCs/>
          <w:sz w:val="26"/>
          <w:szCs w:val="26"/>
        </w:rPr>
        <w:t xml:space="preserve">10. Severance — deemed termination triggers</w:t>
      </w:r>
    </w:p>
    <w:p>
      <w:pPr>
        <w:spacing w:after="80" w:before="80" w:line="300"/>
      </w:pPr>
      <w:r>
        <w:rPr>
          <w:rFonts w:ascii="Calibri" w:cs="Calibri" w:eastAsia="Calibri" w:hAnsi="Calibri"/>
          <w:sz w:val="22"/>
          <w:szCs w:val="22"/>
        </w:rPr>
        <w:t xml:space="preserve">If any of the following three events occur during Russell's employment, Russell shall be deemed to have been terminated by the Company without Cause as of the date of the event, and the full severance described in Sections 8 and 9 shall become immediately payable:</w:t>
      </w:r>
    </w:p>
    <w:p>
      <w:pPr>
        <w:pStyle w:val="Heading3"/>
        <w:spacing w:after="100" w:before="220"/>
      </w:pPr>
      <w:r>
        <w:rPr>
          <w:rFonts w:ascii="Calibri" w:cs="Calibri" w:eastAsia="Calibri" w:hAnsi="Calibri"/>
          <w:b/>
          <w:bCs/>
          <w:sz w:val="23"/>
          <w:szCs w:val="23"/>
        </w:rPr>
        <w:t xml:space="preserve">(a) Missed payroll for more than 7 days</w:t>
      </w:r>
    </w:p>
    <w:p>
      <w:pPr>
        <w:spacing w:after="80" w:before="80" w:line="300"/>
      </w:pPr>
      <w:r>
        <w:rPr>
          <w:rFonts w:ascii="Calibri" w:cs="Calibri" w:eastAsia="Calibri" w:hAnsi="Calibri"/>
          <w:sz w:val="22"/>
          <w:szCs w:val="22"/>
        </w:rPr>
        <w:t xml:space="preserve">If the Company fails to make a scheduled payroll payment to its employees within 7 days of the scheduled payroll date, this trigger fires.</w:t>
      </w:r>
    </w:p>
    <w:p>
      <w:pPr>
        <w:spacing w:after="80" w:before="80" w:line="300"/>
      </w:pPr>
      <w:r>
        <w:rPr>
          <w:rFonts w:ascii="Calibri" w:cs="Calibri" w:eastAsia="Calibri" w:hAnsi="Calibri"/>
          <w:sz w:val="22"/>
          <w:szCs w:val="22"/>
        </w:rPr>
        <w:t xml:space="preserve">Rationale: Missed payroll is the earliest objective indicator that the company cannot meet current obligations. Including this as a deemed termination trigger ensures severance becomes payable before remaining cash is exhausted or restricted by creditor action.</w:t>
      </w:r>
    </w:p>
    <w:p>
      <w:pPr>
        <w:pStyle w:val="Heading3"/>
        <w:spacing w:after="100" w:before="220"/>
      </w:pPr>
      <w:r>
        <w:rPr>
          <w:rFonts w:ascii="Calibri" w:cs="Calibri" w:eastAsia="Calibri" w:hAnsi="Calibri"/>
          <w:b/>
          <w:bCs/>
          <w:sz w:val="23"/>
          <w:szCs w:val="23"/>
        </w:rPr>
        <w:t xml:space="preserve">(b) Bankruptcy filing</w:t>
      </w:r>
    </w:p>
    <w:p>
      <w:pPr>
        <w:spacing w:after="80" w:before="80" w:line="300"/>
      </w:pPr>
      <w:r>
        <w:rPr>
          <w:rFonts w:ascii="Calibri" w:cs="Calibri" w:eastAsia="Calibri" w:hAnsi="Calibri"/>
          <w:sz w:val="22"/>
          <w:szCs w:val="22"/>
        </w:rPr>
        <w:t xml:space="preserve">If the Company files for protection under Chapter 7 or Chapter 11 of the U.S. Bankruptcy Code, this trigger fires.</w:t>
      </w:r>
    </w:p>
    <w:p>
      <w:pPr>
        <w:spacing w:after="80" w:before="80" w:line="300"/>
      </w:pPr>
      <w:r>
        <w:rPr>
          <w:rFonts w:ascii="Calibri" w:cs="Calibri" w:eastAsia="Calibri" w:hAnsi="Calibri"/>
          <w:sz w:val="22"/>
          <w:szCs w:val="22"/>
        </w:rPr>
        <w:t xml:space="preserve">Rationale: Once a bankruptcy filing is made, post-petition severance for insiders is subject to Section 503(c) restrictions of the Bankruptcy Code, and pre-petition severance claims are subject to the §507(a)(4) wage-priority cap. A pre-filing deemed termination trigger converts the obligation into one that is payable before the petition is filed.</w:t>
      </w:r>
    </w:p>
    <w:p>
      <w:pPr>
        <w:pStyle w:val="Heading3"/>
        <w:spacing w:after="100" w:before="220"/>
      </w:pPr>
      <w:r>
        <w:rPr>
          <w:rFonts w:ascii="Calibri" w:cs="Calibri" w:eastAsia="Calibri" w:hAnsi="Calibri"/>
          <w:b/>
          <w:bCs/>
          <w:sz w:val="23"/>
          <w:szCs w:val="23"/>
        </w:rPr>
        <w:t xml:space="preserve">(c) Formal wind-down announcement</w:t>
      </w:r>
    </w:p>
    <w:p>
      <w:pPr>
        <w:spacing w:after="80" w:before="80" w:line="300"/>
      </w:pPr>
      <w:r>
        <w:rPr>
          <w:rFonts w:ascii="Calibri" w:cs="Calibri" w:eastAsia="Calibri" w:hAnsi="Calibri"/>
          <w:sz w:val="22"/>
          <w:szCs w:val="22"/>
        </w:rPr>
        <w:t xml:space="preserve">If the Board formally announces a wind-down, dissolution, or cessation of operations of the Company, this trigger fires.</w:t>
      </w:r>
    </w:p>
    <w:p>
      <w:pPr>
        <w:spacing w:after="80" w:before="80" w:line="300"/>
      </w:pPr>
      <w:r>
        <w:rPr>
          <w:rFonts w:ascii="Calibri" w:cs="Calibri" w:eastAsia="Calibri" w:hAnsi="Calibri"/>
          <w:sz w:val="22"/>
          <w:szCs w:val="22"/>
        </w:rPr>
        <w:t xml:space="preserve">Rationale: Covers the orderly-shutdown scenario in which the Board decides to wind the company down rather than file for bankruptcy. Ensures severance is treated as part of the wind-down obligations.</w:t>
      </w:r>
    </w:p>
    <w:p>
      <w:pPr>
        <w:pStyle w:val="Heading1"/>
        <w:spacing w:after="180" w:before="360"/>
      </w:pPr>
      <w:r>
        <w:rPr>
          <w:rFonts w:ascii="Calibri" w:cs="Calibri" w:eastAsia="Calibri" w:hAnsi="Calibri"/>
          <w:b/>
          <w:bCs/>
          <w:sz w:val="32"/>
          <w:szCs w:val="32"/>
        </w:rPr>
        <w:t xml:space="preserve">Equity and MIP — No Change Proposed</w:t>
      </w:r>
    </w:p>
    <w:p>
      <w:pPr>
        <w:spacing w:after="80" w:before="80" w:line="300"/>
      </w:pPr>
      <w:r>
        <w:rPr>
          <w:rFonts w:ascii="Calibri" w:cs="Calibri" w:eastAsia="Calibri" w:hAnsi="Calibri"/>
          <w:sz w:val="22"/>
          <w:szCs w:val="22"/>
        </w:rPr>
        <w:t xml:space="preserve">The 180 Class E Common Units and 2.25% MIP Designated Percentage granted under the October 8, 2025 Class Parent Holdco agreements remain unchanged. No modification to vesting schedule, payout trigger (Deemed Liquidation Event), or any other term of those agreements is proposed as part of this package.</w:t>
      </w:r>
    </w:p>
    <w:p>
      <w:pPr>
        <w:pStyle w:val="Heading1"/>
        <w:spacing w:after="180" w:before="360"/>
      </w:pPr>
      <w:r>
        <w:rPr>
          <w:rFonts w:ascii="Calibri" w:cs="Calibri" w:eastAsia="Calibri" w:hAnsi="Calibri"/>
          <w:b/>
          <w:bCs/>
          <w:sz w:val="32"/>
          <w:szCs w:val="32"/>
        </w:rPr>
        <w:t xml:space="preserve">Year 1 Cash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EE6EF" w:val="clear"/>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Scenario</w:t>
            </w:r>
          </w:p>
        </w:tc>
        <w:tc>
          <w:tcPr>
            <w:tcW w:type="dxa" w:w="4680"/>
            <w:tcBorders>
              <w:top w:val="single" w:color="BFBFBF" w:sz="4"/>
              <w:left w:val="single" w:color="BFBFBF" w:sz="4"/>
              <w:bottom w:val="single" w:color="BFBFBF" w:sz="4"/>
              <w:right w:val="single" w:color="BFBFBF" w:sz="4"/>
            </w:tcBorders>
            <w:shd w:fill="DEE6EF" w:val="clear"/>
            <w:tcMar>
              <w:top w:type="dxa" w:w="100"/>
              <w:left w:type="dxa" w:w="140"/>
              <w:bottom w:type="dxa" w:w="100"/>
              <w:right w:type="dxa" w:w="140"/>
            </w:tcMar>
          </w:tcPr>
          <w:p>
            <w:pPr>
              <w:spacing w:after="40" w:before="40" w:line="280"/>
            </w:pPr>
            <w:r>
              <w:rPr>
                <w:rFonts w:ascii="Calibri" w:cs="Calibri" w:eastAsia="Calibri" w:hAnsi="Calibri"/>
                <w:b/>
                <w:bCs/>
                <w:sz w:val="21"/>
                <w:szCs w:val="21"/>
              </w:rPr>
              <w:t xml:space="preserve">Y1 Cash to Russell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Full year, no milestone hit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$355,000 (base $280K + variable floor $50K + sign-on $25K)</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Full year, milestone hit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$405,000 (adds $50K performance bonus)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Terminated month 13 by deemed-termination trigger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$513,333 ($355K Y1 + $158,333 severance lump)</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Full year, variable target fully paid (above floor)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pPr>
            <w:r>
              <w:rPr>
                <w:rFonts w:ascii="Calibri" w:cs="Calibri" w:eastAsia="Calibri" w:hAnsi="Calibri"/>
                <w:b w:val="false"/>
                <w:bCs w:val="false"/>
                <w:sz w:val="21"/>
                <w:szCs w:val="21"/>
              </w:rPr>
              <w:t xml:space="preserve">$430,000 (base $280K + variable $100K + sign-on $25K + mid-yr milestone)</w:t>
            </w:r>
          </w:p>
        </w:tc>
      </w:tr>
    </w:tbl>
    <w:p>
      <w:pPr>
        <w:pStyle w:val="Heading1"/>
        <w:spacing w:after="180" w:before="360"/>
      </w:pPr>
      <w:r>
        <w:rPr>
          <w:rFonts w:ascii="Calibri" w:cs="Calibri" w:eastAsia="Calibri" w:hAnsi="Calibri"/>
          <w:b/>
          <w:bCs/>
          <w:sz w:val="32"/>
          <w:szCs w:val="32"/>
        </w:rPr>
        <w:t xml:space="preserve">Summary of What Changes vs. What Does Not</w:t>
      </w:r>
    </w:p>
    <w:p>
      <w:pPr>
        <w:pStyle w:val="Heading2"/>
        <w:spacing w:after="140" w:before="280"/>
      </w:pPr>
      <w:r>
        <w:rPr>
          <w:rFonts w:ascii="Calibri" w:cs="Calibri" w:eastAsia="Calibri" w:hAnsi="Calibri"/>
          <w:b/>
          <w:bCs/>
          <w:sz w:val="26"/>
          <w:szCs w:val="26"/>
        </w:rPr>
        <w:t xml:space="preserve">Does not change</w:t>
      </w:r>
    </w:p>
    <w:p>
      <w:pPr>
        <w:pStyle w:val="ListParagraph"/>
        <w:numPr>
          <w:ilvl w:val="0"/>
          <w:numId w:val="2"/>
        </w:numPr>
        <w:spacing w:after="40" w:before="40" w:line="300"/>
      </w:pPr>
      <w:r>
        <w:rPr>
          <w:rFonts w:ascii="Calibri" w:cs="Calibri" w:eastAsia="Calibri" w:hAnsi="Calibri"/>
          <w:sz w:val="22"/>
          <w:szCs w:val="22"/>
        </w:rPr>
        <w:t xml:space="preserve">Existing Class E Common Unit grant (180 units)</w:t>
      </w:r>
    </w:p>
    <w:p>
      <w:pPr>
        <w:pStyle w:val="ListParagraph"/>
        <w:numPr>
          <w:ilvl w:val="0"/>
          <w:numId w:val="2"/>
        </w:numPr>
        <w:spacing w:after="40" w:before="40" w:line="300"/>
      </w:pPr>
      <w:r>
        <w:rPr>
          <w:rFonts w:ascii="Calibri" w:cs="Calibri" w:eastAsia="Calibri" w:hAnsi="Calibri"/>
          <w:sz w:val="22"/>
          <w:szCs w:val="22"/>
        </w:rPr>
        <w:t xml:space="preserve">Existing MIP Designated Percentage (2.25%)</w:t>
      </w:r>
    </w:p>
    <w:p>
      <w:pPr>
        <w:pStyle w:val="ListParagraph"/>
        <w:numPr>
          <w:ilvl w:val="0"/>
          <w:numId w:val="2"/>
        </w:numPr>
        <w:spacing w:after="40" w:before="40" w:line="300"/>
      </w:pPr>
      <w:r>
        <w:rPr>
          <w:rFonts w:ascii="Calibri" w:cs="Calibri" w:eastAsia="Calibri" w:hAnsi="Calibri"/>
          <w:sz w:val="22"/>
          <w:szCs w:val="22"/>
        </w:rPr>
        <w:t xml:space="preserve">Any provisions of the October 8, 2025 Class Parent Holdco agreements</w:t>
      </w:r>
    </w:p>
    <w:p>
      <w:pPr>
        <w:pStyle w:val="ListParagraph"/>
        <w:numPr>
          <w:ilvl w:val="0"/>
          <w:numId w:val="2"/>
        </w:numPr>
        <w:spacing w:after="40" w:before="40" w:line="300"/>
      </w:pPr>
      <w:r>
        <w:rPr>
          <w:rFonts w:ascii="Calibri" w:cs="Calibri" w:eastAsia="Calibri" w:hAnsi="Calibri"/>
          <w:sz w:val="22"/>
          <w:szCs w:val="22"/>
        </w:rPr>
        <w:t xml:space="preserve">Vesting schedules on existing equity</w:t>
      </w:r>
    </w:p>
    <w:p>
      <w:pPr>
        <w:pStyle w:val="Heading2"/>
        <w:spacing w:after="140" w:before="280"/>
      </w:pPr>
      <w:r>
        <w:rPr>
          <w:rFonts w:ascii="Calibri" w:cs="Calibri" w:eastAsia="Calibri" w:hAnsi="Calibri"/>
          <w:b/>
          <w:bCs/>
          <w:sz w:val="26"/>
          <w:szCs w:val="26"/>
        </w:rPr>
        <w:t xml:space="preserve">Does change</w:t>
      </w:r>
    </w:p>
    <w:p>
      <w:pPr>
        <w:pStyle w:val="ListParagraph"/>
        <w:numPr>
          <w:ilvl w:val="0"/>
          <w:numId w:val="2"/>
        </w:numPr>
        <w:spacing w:after="40" w:before="40" w:line="300"/>
      </w:pPr>
      <w:r>
        <w:rPr>
          <w:rFonts w:ascii="Calibri" w:cs="Calibri" w:eastAsia="Calibri" w:hAnsi="Calibri"/>
          <w:sz w:val="22"/>
          <w:szCs w:val="22"/>
        </w:rPr>
        <w:t xml:space="preserve">Cash compensation structure (base, variable floor, variable payment timing)</w:t>
      </w:r>
    </w:p>
    <w:p>
      <w:pPr>
        <w:pStyle w:val="ListParagraph"/>
        <w:numPr>
          <w:ilvl w:val="0"/>
          <w:numId w:val="2"/>
        </w:numPr>
        <w:spacing w:after="40" w:before="40" w:line="300"/>
      </w:pPr>
      <w:r>
        <w:rPr>
          <w:rFonts w:ascii="Calibri" w:cs="Calibri" w:eastAsia="Calibri" w:hAnsi="Calibri"/>
          <w:sz w:val="22"/>
          <w:szCs w:val="22"/>
        </w:rPr>
        <w:t xml:space="preserve">Bonus structure (adds sign-on, adds performance milestone)</w:t>
      </w:r>
    </w:p>
    <w:p>
      <w:pPr>
        <w:pStyle w:val="ListParagraph"/>
        <w:numPr>
          <w:ilvl w:val="0"/>
          <w:numId w:val="2"/>
        </w:numPr>
        <w:spacing w:after="40" w:before="40" w:line="300"/>
      </w:pPr>
      <w:r>
        <w:rPr>
          <w:rFonts w:ascii="Calibri" w:cs="Calibri" w:eastAsia="Calibri" w:hAnsi="Calibri"/>
          <w:sz w:val="22"/>
          <w:szCs w:val="22"/>
        </w:rPr>
        <w:t xml:space="preserve">Severance structure (length, payment timing, deemed-termination triggers)</w:t>
      </w:r>
    </w:p>
    <w:p>
      <w:pPr>
        <w:pStyle w:val="ListParagraph"/>
        <w:numPr>
          <w:ilvl w:val="0"/>
          <w:numId w:val="2"/>
        </w:numPr>
        <w:spacing w:after="40" w:before="40" w:line="300"/>
      </w:pPr>
      <w:r>
        <w:rPr>
          <w:rFonts w:ascii="Calibri" w:cs="Calibri" w:eastAsia="Calibri" w:hAnsi="Calibri"/>
          <w:sz w:val="22"/>
          <w:szCs w:val="22"/>
        </w:rPr>
        <w:t xml:space="preserve">Title and reporting 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2026-05-21T21:29:35.946Z</dcterms:created>
  <dcterms:modified xsi:type="dcterms:W3CDTF">2026-05-21T21:29:35.947Z</dcterms:modified>
</cp:coreProperties>
</file>

<file path=docProps/custom.xml><?xml version="1.0" encoding="utf-8"?>
<Properties xmlns="http://schemas.openxmlformats.org/officeDocument/2006/custom-properties" xmlns:vt="http://schemas.openxmlformats.org/officeDocument/2006/docPropsVTypes"/>
</file>