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sz w:val="36"/>
          <w:szCs w:val="36"/>
        </w:rPr>
        <w:t xml:space="preserve">COO Compensation Proposal</w:t>
      </w:r>
    </w:p>
    <w:p>
      <w:pPr>
        <w:pBdr>
          <w:bottom w:val="single" w:color="1F3864" w:sz="8" w:space="4"/>
        </w:pBdr>
        <w:spacing w:after="60" w:before="0"/>
        <w:jc w:val="left"/>
      </w:pPr>
      <w:r>
        <w:rPr>
          <w:rFonts w:ascii="Calibri" w:cs="Calibri" w:eastAsia="Calibri" w:hAnsi="Calibri"/>
          <w:color w:val="666666"/>
          <w:sz w:val="22"/>
          <w:szCs w:val="22"/>
        </w:rPr>
        <w:t xml:space="preserve">Russell Teter   |   May 22, 2026</w:t>
      </w:r>
    </w:p>
    <w:p>
      <w:pPr>
        <w:pStyle w:val="Heading2"/>
        <w:spacing w:after="100" w:before="320"/>
      </w:pPr>
      <w:r>
        <w:rPr>
          <w:rFonts w:ascii="Calibri" w:cs="Calibri" w:eastAsia="Calibri" w:hAnsi="Calibri"/>
          <w:b/>
          <w:bCs/>
          <w:color w:val="1F3864"/>
          <w:sz w:val="26"/>
          <w:szCs w:val="26"/>
        </w:rPr>
        <w:t xml:space="preserve">Summary</w:t>
      </w:r>
    </w:p>
    <w:p>
      <w:pPr>
        <w:spacing w:after="80" w:before="80" w:line="320"/>
      </w:pPr>
      <w:r>
        <w:rPr>
          <w:rFonts w:ascii="Calibri" w:cs="Calibri" w:eastAsia="Calibri" w:hAnsi="Calibri"/>
          <w:sz w:val="22"/>
          <w:szCs w:val="22"/>
        </w:rPr>
        <w:t xml:space="preserve">This document lays out the compensation package required for me to step into the role of Chief Operating Officer at Class Technologies. The terms below either supersede or augment the existing January 16, 2025 Employee Change Form where they conflict. The October 8, 2025 Class Parent Holdco equity and MIP grants are </w:t>
      </w:r>
      <w:r>
        <w:rPr>
          <w:rFonts w:ascii="Calibri" w:cs="Calibri" w:eastAsia="Calibri" w:hAnsi="Calibri"/>
          <w:b/>
          <w:bCs/>
          <w:sz w:val="22"/>
          <w:szCs w:val="22"/>
        </w:rPr>
        <w:t xml:space="preserve">not</w:t>
      </w:r>
      <w:r>
        <w:rPr>
          <w:rFonts w:ascii="Calibri" w:cs="Calibri" w:eastAsia="Calibri" w:hAnsi="Calibri"/>
          <w:sz w:val="22"/>
          <w:szCs w:val="22"/>
        </w:rPr>
        <w:t xml:space="preserve"> modified by this proposal.</w:t>
      </w:r>
    </w:p>
    <w:p>
      <w:pPr>
        <w:pStyle w:val="Heading2"/>
        <w:spacing w:after="100" w:before="320"/>
      </w:pPr>
      <w:r>
        <w:rPr>
          <w:rFonts w:ascii="Calibri" w:cs="Calibri" w:eastAsia="Calibri" w:hAnsi="Calibri"/>
          <w:b/>
          <w:bCs/>
          <w:color w:val="1F3864"/>
          <w:sz w:val="26"/>
          <w:szCs w:val="26"/>
        </w:rPr>
        <w:t xml:space="preserve">1. Role</w:t>
      </w:r>
    </w:p>
    <w:p>
      <w:pPr>
        <w:spacing w:after="80" w:before="80" w:line="320"/>
      </w:pPr>
      <w:r>
        <w:rPr>
          <w:rFonts w:ascii="Calibri" w:cs="Calibri" w:eastAsia="Calibri" w:hAnsi="Calibri"/>
          <w:sz w:val="22"/>
          <w:szCs w:val="22"/>
        </w:rPr>
        <w:t xml:space="preserve">Title: </w:t>
      </w:r>
      <w:r>
        <w:rPr>
          <w:rFonts w:ascii="Calibri" w:cs="Calibri" w:eastAsia="Calibri" w:hAnsi="Calibri"/>
          <w:b/>
          <w:bCs/>
          <w:sz w:val="22"/>
          <w:szCs w:val="22"/>
        </w:rPr>
        <w:t xml:space="preserve">Chief Operating Officer</w:t>
      </w:r>
      <w:r>
        <w:rPr>
          <w:rFonts w:ascii="Calibri" w:cs="Calibri" w:eastAsia="Calibri" w:hAnsi="Calibri"/>
          <w:sz w:val="22"/>
          <w:szCs w:val="22"/>
        </w:rPr>
        <w:t xml:space="preserve">. Reporting to the Chief Executive Officer and the Board.</w:t>
      </w:r>
    </w:p>
    <w:p>
      <w:pPr>
        <w:pStyle w:val="Heading2"/>
        <w:spacing w:after="100" w:before="320"/>
      </w:pPr>
      <w:r>
        <w:rPr>
          <w:rFonts w:ascii="Calibri" w:cs="Calibri" w:eastAsia="Calibri" w:hAnsi="Calibri"/>
          <w:b/>
          <w:bCs/>
          <w:color w:val="1F3864"/>
          <w:sz w:val="26"/>
          <w:szCs w:val="26"/>
        </w:rPr>
        <w:t xml:space="preserve">2. Base Salary</w:t>
      </w:r>
    </w:p>
    <w:p>
      <w:pPr>
        <w:spacing w:after="80" w:before="80" w:line="320"/>
      </w:pPr>
      <w:r>
        <w:rPr>
          <w:rFonts w:ascii="Calibri" w:cs="Calibri" w:eastAsia="Calibri" w:hAnsi="Calibri"/>
          <w:sz w:val="22"/>
          <w:szCs w:val="22"/>
        </w:rPr>
        <w:t xml:space="preserve">Base salary moves from the current $225,000 to </w:t>
      </w:r>
      <w:r>
        <w:rPr>
          <w:rFonts w:ascii="Calibri" w:cs="Calibri" w:eastAsia="Calibri" w:hAnsi="Calibri"/>
          <w:b/>
          <w:bCs/>
          <w:sz w:val="22"/>
          <w:szCs w:val="22"/>
        </w:rPr>
        <w:t xml:space="preserve">$280,000</w:t>
      </w:r>
      <w:r>
        <w:rPr>
          <w:rFonts w:ascii="Calibri" w:cs="Calibri" w:eastAsia="Calibri" w:hAnsi="Calibri"/>
          <w:sz w:val="22"/>
          <w:szCs w:val="22"/>
        </w:rPr>
        <w:t xml:space="preserve"> annually, recognizing the increased scope and accountability of the COO role, including direct ownership of cost reduction, operational execution, and the cash runway extension plan.</w:t>
      </w:r>
    </w:p>
    <w:p>
      <w:pPr>
        <w:pStyle w:val="Heading2"/>
        <w:spacing w:after="100" w:before="320"/>
      </w:pPr>
      <w:r>
        <w:rPr>
          <w:rFonts w:ascii="Calibri" w:cs="Calibri" w:eastAsia="Calibri" w:hAnsi="Calibri"/>
          <w:b/>
          <w:bCs/>
          <w:color w:val="1F3864"/>
          <w:sz w:val="26"/>
          <w:szCs w:val="26"/>
        </w:rPr>
        <w:t xml:space="preserve">3. Annual Bonus</w:t>
      </w:r>
    </w:p>
    <w:p>
      <w:pPr>
        <w:spacing w:after="80" w:before="80" w:line="320"/>
      </w:pPr>
      <w:r>
        <w:rPr>
          <w:rFonts w:ascii="Calibri" w:cs="Calibri" w:eastAsia="Calibri" w:hAnsi="Calibri"/>
          <w:sz w:val="22"/>
          <w:szCs w:val="22"/>
        </w:rPr>
        <w:t xml:space="preserve">The annual bonus target remains at </w:t>
      </w:r>
      <w:r>
        <w:rPr>
          <w:rFonts w:ascii="Calibri" w:cs="Calibri" w:eastAsia="Calibri" w:hAnsi="Calibri"/>
          <w:b/>
          <w:bCs/>
          <w:sz w:val="22"/>
          <w:szCs w:val="22"/>
        </w:rPr>
        <w:t xml:space="preserve">$100,000</w:t>
      </w:r>
      <w:r>
        <w:rPr>
          <w:rFonts w:ascii="Calibri" w:cs="Calibri" w:eastAsia="Calibri" w:hAnsi="Calibri"/>
          <w:sz w:val="22"/>
          <w:szCs w:val="22"/>
        </w:rPr>
        <w:t xml:space="preserve">, unchanged. Two modifications to the bonus structure: (i) a </w:t>
      </w:r>
      <w:r>
        <w:rPr>
          <w:rFonts w:ascii="Calibri" w:cs="Calibri" w:eastAsia="Calibri" w:hAnsi="Calibri"/>
          <w:b/>
          <w:bCs/>
          <w:sz w:val="22"/>
          <w:szCs w:val="22"/>
        </w:rPr>
        <w:t xml:space="preserve">50% guaranteed minimum</w:t>
      </w:r>
      <w:r>
        <w:rPr>
          <w:rFonts w:ascii="Calibri" w:cs="Calibri" w:eastAsia="Calibri" w:hAnsi="Calibri"/>
          <w:sz w:val="22"/>
          <w:szCs w:val="22"/>
        </w:rPr>
        <w:t xml:space="preserve"> — meaning at least $50,000 of the target is paid each year regardless of company-level performance attainment, with the remaining 50% performance-contingent; and (ii) the payment cadence shifts to </w:t>
      </w:r>
      <w:r>
        <w:rPr>
          <w:rFonts w:ascii="Calibri" w:cs="Calibri" w:eastAsia="Calibri" w:hAnsi="Calibri"/>
          <w:b/>
          <w:bCs/>
          <w:sz w:val="22"/>
          <w:szCs w:val="22"/>
        </w:rPr>
        <w:t xml:space="preserve">semi-annual</w:t>
      </w:r>
      <w:r>
        <w:rPr>
          <w:rFonts w:ascii="Calibri" w:cs="Calibri" w:eastAsia="Calibri" w:hAnsi="Calibri"/>
          <w:sz w:val="22"/>
          <w:szCs w:val="22"/>
        </w:rPr>
        <w:t xml:space="preserve"> (1H and 2H of each calendar year), restoring a portion of the prior quarterly cadence that existed through Q4 2025.</w:t>
      </w:r>
    </w:p>
    <w:p>
      <w:pPr>
        <w:pStyle w:val="Heading2"/>
        <w:spacing w:after="100" w:before="320"/>
      </w:pPr>
      <w:r>
        <w:rPr>
          <w:rFonts w:ascii="Calibri" w:cs="Calibri" w:eastAsia="Calibri" w:hAnsi="Calibri"/>
          <w:b/>
          <w:bCs/>
          <w:color w:val="1F3864"/>
          <w:sz w:val="26"/>
          <w:szCs w:val="26"/>
        </w:rPr>
        <w:t xml:space="preserve">4. Stay-On Bonus</w:t>
      </w:r>
    </w:p>
    <w:p>
      <w:pPr>
        <w:spacing w:after="80" w:before="80" w:line="320"/>
      </w:pPr>
      <w:r>
        <w:rPr>
          <w:rFonts w:ascii="Calibri" w:cs="Calibri" w:eastAsia="Calibri" w:hAnsi="Calibri"/>
          <w:sz w:val="22"/>
          <w:szCs w:val="22"/>
        </w:rPr>
        <w:t xml:space="preserve">A one-time cash payment of </w:t>
      </w:r>
      <w:r>
        <w:rPr>
          <w:rFonts w:ascii="Calibri" w:cs="Calibri" w:eastAsia="Calibri" w:hAnsi="Calibri"/>
          <w:b/>
          <w:bCs/>
          <w:sz w:val="22"/>
          <w:szCs w:val="22"/>
        </w:rPr>
        <w:t xml:space="preserve">$25,000</w:t>
      </w:r>
      <w:r>
        <w:rPr>
          <w:rFonts w:ascii="Calibri" w:cs="Calibri" w:eastAsia="Calibri" w:hAnsi="Calibri"/>
          <w:sz w:val="22"/>
          <w:szCs w:val="22"/>
        </w:rPr>
        <w:t xml:space="preserve"> paid on the formal start date of the COO role.</w:t>
      </w:r>
    </w:p>
    <w:p>
      <w:pPr>
        <w:spacing w:after="80" w:before="80" w:line="320"/>
      </w:pPr>
      <w:r>
        <w:rPr>
          <w:rFonts w:ascii="Calibri" w:cs="Calibri" w:eastAsia="Calibri" w:hAnsi="Calibri"/>
          <w:i/>
          <w:iCs/>
          <w:sz w:val="22"/>
          <w:szCs w:val="22"/>
        </w:rPr>
        <w:t xml:space="preserve">Note: The 50% Annual Bonus Minimum (Section 3) and the Stay-On Bonus (this section) are alternative protections — one of the two, not both. Either resolves the same concern: the cash-flow gap created when the variable bonus structure shifted from quarterly payment to a single annual payment in Feb/March 2027.</w:t>
      </w:r>
    </w:p>
    <w:p>
      <w:pPr>
        <w:pStyle w:val="Heading2"/>
        <w:spacing w:after="100" w:before="320"/>
      </w:pPr>
      <w:r>
        <w:rPr>
          <w:rFonts w:ascii="Calibri" w:cs="Calibri" w:eastAsia="Calibri" w:hAnsi="Calibri"/>
          <w:b/>
          <w:bCs/>
          <w:color w:val="1F3864"/>
          <w:sz w:val="26"/>
          <w:szCs w:val="26"/>
        </w:rPr>
        <w:t xml:space="preserve">5. Company Performance Bonus</w:t>
      </w:r>
    </w:p>
    <w:p>
      <w:pPr>
        <w:spacing w:after="80" w:before="80" w:line="320"/>
      </w:pPr>
      <w:r>
        <w:rPr>
          <w:rFonts w:ascii="Calibri" w:cs="Calibri" w:eastAsia="Calibri" w:hAnsi="Calibri"/>
          <w:sz w:val="22"/>
          <w:szCs w:val="22"/>
        </w:rPr>
        <w:t xml:space="preserve">A one-time cash payment of </w:t>
      </w:r>
      <w:r>
        <w:rPr>
          <w:rFonts w:ascii="Calibri" w:cs="Calibri" w:eastAsia="Calibri" w:hAnsi="Calibri"/>
          <w:b/>
          <w:bCs/>
          <w:sz w:val="22"/>
          <w:szCs w:val="22"/>
        </w:rPr>
        <w:t xml:space="preserve">$50,000</w:t>
      </w:r>
      <w:r>
        <w:rPr>
          <w:rFonts w:ascii="Calibri" w:cs="Calibri" w:eastAsia="Calibri" w:hAnsi="Calibri"/>
          <w:sz w:val="22"/>
          <w:szCs w:val="22"/>
        </w:rPr>
        <w:t xml:space="preserve"> paid the first time Class achieves </w:t>
      </w:r>
      <w:r>
        <w:rPr>
          <w:rFonts w:ascii="Calibri" w:cs="Calibri" w:eastAsia="Calibri" w:hAnsi="Calibri"/>
          <w:b/>
          <w:bCs/>
          <w:sz w:val="22"/>
          <w:szCs w:val="22"/>
        </w:rPr>
        <w:t xml:space="preserve">two consecutive fiscal quarters of EBITDA positive AND operating cash flow positive</w:t>
      </w:r>
      <w:r>
        <w:rPr>
          <w:rFonts w:ascii="Calibri" w:cs="Calibri" w:eastAsia="Calibri" w:hAnsi="Calibri"/>
          <w:sz w:val="22"/>
          <w:szCs w:val="22"/>
        </w:rPr>
        <w:t xml:space="preserve">. Both metrics are required to ensure the bonus pays only on genuine financial recovery, not on accounting timing effects that can move one metric without the other.</w:t>
      </w:r>
    </w:p>
    <w:p>
      <w:pPr>
        <w:pStyle w:val="Heading2"/>
        <w:spacing w:after="100" w:before="320"/>
      </w:pPr>
      <w:r>
        <w:rPr>
          <w:rFonts w:ascii="Calibri" w:cs="Calibri" w:eastAsia="Calibri" w:hAnsi="Calibri"/>
          <w:b/>
          <w:bCs/>
          <w:color w:val="1F3864"/>
          <w:sz w:val="26"/>
          <w:szCs w:val="26"/>
        </w:rPr>
        <w:t xml:space="preserve">6. Severance — Amount and Payment Timing</w:t>
      </w:r>
    </w:p>
    <w:p>
      <w:pPr>
        <w:spacing w:after="80" w:before="80" w:line="320"/>
      </w:pPr>
      <w:r>
        <w:rPr>
          <w:rFonts w:ascii="Calibri" w:cs="Calibri" w:eastAsia="Calibri" w:hAnsi="Calibri"/>
          <w:sz w:val="22"/>
          <w:szCs w:val="22"/>
        </w:rPr>
        <w:t xml:space="preserve">Severance length moves from the current 4-month commitment to </w:t>
      </w:r>
      <w:r>
        <w:rPr>
          <w:rFonts w:ascii="Calibri" w:cs="Calibri" w:eastAsia="Calibri" w:hAnsi="Calibri"/>
          <w:b/>
          <w:bCs/>
          <w:sz w:val="22"/>
          <w:szCs w:val="22"/>
        </w:rPr>
        <w:t xml:space="preserve">5 months</w:t>
      </w:r>
      <w:r>
        <w:rPr>
          <w:rFonts w:ascii="Calibri" w:cs="Calibri" w:eastAsia="Calibri" w:hAnsi="Calibri"/>
          <w:sz w:val="22"/>
          <w:szCs w:val="22"/>
        </w:rPr>
        <w:t xml:space="preserve"> of base salary plus the </w:t>
      </w:r>
      <w:r>
        <w:rPr>
          <w:rFonts w:ascii="Calibri" w:cs="Calibri" w:eastAsia="Calibri" w:hAnsi="Calibri"/>
          <w:b/>
          <w:bCs/>
          <w:sz w:val="22"/>
          <w:szCs w:val="22"/>
        </w:rPr>
        <w:t xml:space="preserve">pro-rata share of annual variable</w:t>
      </w:r>
      <w:r>
        <w:rPr>
          <w:rFonts w:ascii="Calibri" w:cs="Calibri" w:eastAsia="Calibri" w:hAnsi="Calibri"/>
          <w:sz w:val="22"/>
          <w:szCs w:val="22"/>
        </w:rPr>
        <w:t xml:space="preserve"> (i.e., 5/12 of target = $41,667). Total severance: $158,333.</w:t>
      </w:r>
    </w:p>
    <w:p>
      <w:pPr>
        <w:spacing w:after="80" w:before="80" w:line="320"/>
      </w:pPr>
      <w:r>
        <w:rPr>
          <w:rFonts w:ascii="Calibri" w:cs="Calibri" w:eastAsia="Calibri" w:hAnsi="Calibri"/>
          <w:sz w:val="22"/>
          <w:szCs w:val="22"/>
        </w:rPr>
        <w:t xml:space="preserve">Severance is paid as a </w:t>
      </w:r>
      <w:r>
        <w:rPr>
          <w:rFonts w:ascii="Calibri" w:cs="Calibri" w:eastAsia="Calibri" w:hAnsi="Calibri"/>
          <w:b/>
          <w:bCs/>
          <w:sz w:val="22"/>
          <w:szCs w:val="22"/>
        </w:rPr>
        <w:t xml:space="preserve">single lump sum within 14 days</w:t>
      </w:r>
      <w:r>
        <w:rPr>
          <w:rFonts w:ascii="Calibri" w:cs="Calibri" w:eastAsia="Calibri" w:hAnsi="Calibri"/>
          <w:sz w:val="22"/>
          <w:szCs w:val="22"/>
        </w:rPr>
        <w:t xml:space="preserve"> of the termination date, rather than as monthly installments. Same total amount; only the timing changes.</w:t>
      </w:r>
    </w:p>
    <w:p>
      <w:pPr>
        <w:pStyle w:val="Heading2"/>
        <w:spacing w:after="100" w:before="320"/>
      </w:pPr>
      <w:r>
        <w:rPr>
          <w:rFonts w:ascii="Calibri" w:cs="Calibri" w:eastAsia="Calibri" w:hAnsi="Calibri"/>
          <w:b/>
          <w:bCs/>
          <w:color w:val="1F3864"/>
          <w:sz w:val="26"/>
          <w:szCs w:val="26"/>
        </w:rPr>
        <w:t xml:space="preserve">7. Severance Protections</w:t>
      </w:r>
    </w:p>
    <w:p>
      <w:pPr>
        <w:spacing w:after="80" w:before="80" w:line="320"/>
      </w:pPr>
      <w:r>
        <w:rPr>
          <w:rFonts w:ascii="Calibri" w:cs="Calibri" w:eastAsia="Calibri" w:hAnsi="Calibri"/>
          <w:sz w:val="22"/>
          <w:szCs w:val="22"/>
        </w:rPr>
        <w:t xml:space="preserve">Severance becomes immediately payable upon the occurrence of any of three named events:</w:t>
      </w:r>
    </w:p>
    <w:p>
      <w:pPr>
        <w:spacing w:after="80" w:before="80" w:line="320"/>
      </w:pPr>
      <w:r>
        <w:rPr>
          <w:rFonts w:ascii="Calibri" w:cs="Calibri" w:eastAsia="Calibri" w:hAnsi="Calibri"/>
          <w:sz w:val="22"/>
          <w:szCs w:val="22"/>
        </w:rPr>
        <w:t xml:space="preserve">   (1) Class announces a formal wind-down, dissolution, or cessation of operations;</w:t>
      </w:r>
    </w:p>
    <w:p>
      <w:pPr>
        <w:spacing w:after="80" w:before="80" w:line="320"/>
      </w:pPr>
      <w:r>
        <w:rPr>
          <w:rFonts w:ascii="Calibri" w:cs="Calibri" w:eastAsia="Calibri" w:hAnsi="Calibri"/>
          <w:sz w:val="22"/>
          <w:szCs w:val="22"/>
        </w:rPr>
        <w:t xml:space="preserve">   (2) Class files for protection under Chapter 7 or Chapter 11 of the U.S. Bankruptcy Code; or</w:t>
      </w:r>
    </w:p>
    <w:p>
      <w:pPr>
        <w:spacing w:after="80" w:before="80" w:line="320"/>
      </w:pPr>
      <w:r>
        <w:rPr>
          <w:rFonts w:ascii="Calibri" w:cs="Calibri" w:eastAsia="Calibri" w:hAnsi="Calibri"/>
          <w:sz w:val="22"/>
          <w:szCs w:val="22"/>
        </w:rPr>
        <w:t xml:space="preserve">   (3) Class fails to make a scheduled payroll payment.</w:t>
      </w:r>
    </w:p>
    <w:p>
      <w:pPr>
        <w:spacing w:after="80" w:before="80" w:line="320"/>
      </w:pPr>
      <w:r>
        <w:rPr>
          <w:rFonts w:ascii="Calibri" w:cs="Calibri" w:eastAsia="Calibri" w:hAnsi="Calibri"/>
          <w:sz w:val="22"/>
          <w:szCs w:val="22"/>
        </w:rPr>
        <w:t xml:space="preserve">These Protections </w:t>
      </w:r>
      <w:r>
        <w:rPr>
          <w:rFonts w:ascii="Calibri" w:cs="Calibri" w:eastAsia="Calibri" w:hAnsi="Calibri"/>
          <w:b/>
          <w:bCs/>
          <w:sz w:val="22"/>
          <w:szCs w:val="22"/>
        </w:rPr>
        <w:t xml:space="preserve">cost the Company nothing during normal operations</w:t>
      </w:r>
      <w:r>
        <w:rPr>
          <w:rFonts w:ascii="Calibri" w:cs="Calibri" w:eastAsia="Calibri" w:hAnsi="Calibri"/>
          <w:sz w:val="22"/>
          <w:szCs w:val="22"/>
        </w:rPr>
        <w:t xml:space="preserve">. They are dormant unless and until one of the three events occurs. Without them, contractual severance in a failed-company scenario is functionally limited by §507(a)(4) and §503(c) of the U.S. Bankruptcy Code, and recovery is materially below the contractual amount.</w:t>
      </w:r>
    </w:p>
    <w:p>
      <w:pPr>
        <w:pStyle w:val="Heading2"/>
        <w:spacing w:after="100" w:before="320"/>
      </w:pPr>
      <w:r>
        <w:rPr>
          <w:rFonts w:ascii="Calibri" w:cs="Calibri" w:eastAsia="Calibri" w:hAnsi="Calibri"/>
          <w:b/>
          <w:bCs/>
          <w:color w:val="1F3864"/>
          <w:sz w:val="26"/>
          <w:szCs w:val="26"/>
        </w:rPr>
        <w:t xml:space="preserve">8. Equity and MIP — No Change</w:t>
      </w:r>
    </w:p>
    <w:p>
      <w:pPr>
        <w:spacing w:after="80" w:before="80" w:line="320"/>
      </w:pPr>
      <w:r>
        <w:rPr>
          <w:rFonts w:ascii="Calibri" w:cs="Calibri" w:eastAsia="Calibri" w:hAnsi="Calibri"/>
          <w:sz w:val="22"/>
          <w:szCs w:val="22"/>
        </w:rPr>
        <w:t xml:space="preserve">The 180 Class E Common Units and 2.25% MIP Designated Percentage granted under the October 8, 2025 Class Parent Holdco agreements remain in force exactly as written. No modification to vesting schedule, payout trigger (Deemed Liquidation Event), or any other term of those agreements is proposed.</w:t>
      </w:r>
    </w:p>
    <w:p>
      <w:pPr>
        <w:pStyle w:val="Heading2"/>
        <w:spacing w:after="100" w:before="320"/>
      </w:pPr>
      <w:r>
        <w:rPr>
          <w:rFonts w:ascii="Calibri" w:cs="Calibri" w:eastAsia="Calibri" w:hAnsi="Calibri"/>
          <w:b/>
          <w:bCs/>
          <w:color w:val="1F3864"/>
          <w:sz w:val="26"/>
          <w:szCs w:val="26"/>
        </w:rPr>
        <w:t xml:space="preserve">9. Summary of What Changes vs. What Does Not</w:t>
      </w:r>
    </w:p>
    <w:p>
      <w:pPr>
        <w:spacing w:after="80" w:before="80" w:line="320"/>
      </w:pPr>
      <w:r>
        <w:rPr>
          <w:rFonts w:ascii="Calibri" w:cs="Calibri" w:eastAsia="Calibri" w:hAnsi="Calibri"/>
          <w:b/>
          <w:bCs/>
          <w:sz w:val="22"/>
          <w:szCs w:val="22"/>
        </w:rPr>
        <w:t xml:space="preserve">Does not change: </w:t>
      </w:r>
      <w:r>
        <w:rPr>
          <w:rFonts w:ascii="Calibri" w:cs="Calibri" w:eastAsia="Calibri" w:hAnsi="Calibri"/>
          <w:sz w:val="22"/>
          <w:szCs w:val="22"/>
        </w:rPr>
        <w:t xml:space="preserve">the existing Class E Common Unit grant, the existing MIP Designated Percentage, the provisions of the October 8, 2025 Class Parent Holdco agreements, and the vesting schedules on existing equity.</w:t>
      </w:r>
    </w:p>
    <w:p>
      <w:pPr>
        <w:spacing w:after="80" w:before="80" w:line="320"/>
      </w:pPr>
      <w:r>
        <w:rPr>
          <w:rFonts w:ascii="Calibri" w:cs="Calibri" w:eastAsia="Calibri" w:hAnsi="Calibri"/>
          <w:b/>
          <w:bCs/>
          <w:sz w:val="22"/>
          <w:szCs w:val="22"/>
        </w:rPr>
        <w:t xml:space="preserve">Does change: </w:t>
      </w:r>
      <w:r>
        <w:rPr>
          <w:rFonts w:ascii="Calibri" w:cs="Calibri" w:eastAsia="Calibri" w:hAnsi="Calibri"/>
          <w:sz w:val="22"/>
          <w:szCs w:val="22"/>
        </w:rPr>
        <w:t xml:space="preserve">title and reporting line; base salary; annual bonus structure (adds 50% minimum or Stay-On Bonus, shifts to semi-annual payment); adds Company Performance Bonus; severance structure (length, payment timing, and three Protections).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2026-05-22T20:03:41.906Z</dcterms:created>
  <dcterms:modified xsi:type="dcterms:W3CDTF">2026-05-22T20:03:41.908Z</dcterms:modified>
</cp:coreProperties>
</file>

<file path=docProps/custom.xml><?xml version="1.0" encoding="utf-8"?>
<Properties xmlns="http://schemas.openxmlformats.org/officeDocument/2006/custom-properties" xmlns:vt="http://schemas.openxmlformats.org/officeDocument/2006/docPropsVTypes"/>
</file>