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40"/>
          <w:szCs w:val="40"/>
        </w:rPr>
        <w:t xml:space="preserve">COO Compensation Proposal</w:t>
      </w:r>
    </w:p>
    <w:p>
      <w:pPr>
        <w:spacing w:after="60" w:before="0"/>
        <w:jc w:val="center"/>
      </w:pPr>
      <w:r>
        <w:rPr>
          <w:rFonts w:ascii="Calibri" w:cs="Calibri" w:eastAsia="Calibri" w:hAnsi="Calibri"/>
          <w:b/>
          <w:bCs/>
          <w:color w:val="9C2D2D"/>
          <w:sz w:val="28"/>
          <w:szCs w:val="28"/>
        </w:rPr>
        <w:t xml:space="preserve">Russell Teter — Internal Reference Copy</w:t>
      </w:r>
    </w:p>
    <w:p>
      <w:pPr>
        <w:spacing w:after="240" w:before="0"/>
        <w:jc w:val="center"/>
      </w:pPr>
      <w:r>
        <w:rPr>
          <w:rFonts w:ascii="Calibri" w:cs="Calibri" w:eastAsia="Calibri" w:hAnsi="Calibri"/>
          <w:i/>
          <w:iCs/>
          <w:color w:val="666666"/>
          <w:sz w:val="22"/>
          <w:szCs w:val="22"/>
        </w:rPr>
        <w:t xml:space="preserve">Prepared May 21, 2026</w:t>
      </w:r>
    </w:p>
    <w:p>
      <w:pPr>
        <w:spacing w:after="360" w:before="0"/>
        <w:jc w:val="center"/>
      </w:pPr>
      <w:r>
        <w:rPr>
          <w:rFonts w:ascii="Calibri" w:cs="Calibri" w:eastAsia="Calibri" w:hAnsi="Calibri"/>
          <w:b/>
          <w:bCs/>
          <w:color w:val="9C2D2D"/>
          <w:sz w:val="22"/>
          <w:szCs w:val="22"/>
        </w:rPr>
        <w:t xml:space="preserve">FOR RUSSELL'S USE ONLY — NOT FOR DISTRIBUTION</w:t>
      </w:r>
    </w:p>
    <w:p>
      <w:pPr>
        <w:pStyle w:val="Heading1"/>
        <w:spacing w:after="180" w:before="360"/>
      </w:pPr>
      <w:r>
        <w:rPr>
          <w:rFonts w:ascii="Calibri" w:cs="Calibri" w:eastAsia="Calibri" w:hAnsi="Calibri"/>
          <w:b/>
          <w:bCs/>
          <w:sz w:val="32"/>
          <w:szCs w:val="32"/>
        </w:rPr>
        <w:t xml:space="preserve">Internal Context — Leverage, Walk-Aways, and How to Use This Document</w:t>
      </w:r>
    </w:p>
    <w:p>
      <w:pPr>
        <w:spacing w:after="80" w:before="80" w:line="300"/>
      </w:pPr>
      <w:r>
        <w:rPr>
          <w:rFonts w:ascii="Calibri" w:cs="Calibri" w:eastAsia="Calibri" w:hAnsi="Calibri"/>
          <w:sz w:val="22"/>
          <w:szCs w:val="22"/>
        </w:rPr>
        <w:t xml:space="preserve">This is the full-rationale internal version of the proposal. The Chasen-facing version contains the same asks but excludes the leverage, walk-away, and tactical sections below.</w:t>
      </w:r>
    </w:p>
    <w:p>
      <w:pPr>
        <w:pStyle w:val="Heading2"/>
        <w:spacing w:after="140" w:before="280"/>
      </w:pPr>
      <w:r>
        <w:rPr>
          <w:rFonts w:ascii="Calibri" w:cs="Calibri" w:eastAsia="Calibri" w:hAnsi="Calibri"/>
          <w:b/>
          <w:bCs/>
          <w:sz w:val="26"/>
          <w:szCs w:val="26"/>
        </w:rPr>
        <w:t xml:space="preserve">Your true negotiation leverage</w:t>
      </w:r>
    </w:p>
    <w:p>
      <w:pPr>
        <w:spacing w:after="80" w:before="80" w:line="300"/>
      </w:pPr>
      <w:r>
        <w:rPr>
          <w:rFonts w:ascii="Calibri" w:cs="Calibri" w:eastAsia="Calibri" w:hAnsi="Calibri"/>
          <w:sz w:val="22"/>
          <w:szCs w:val="22"/>
        </w:rPr>
        <w:t xml:space="preserve">Your alternative is leaving Class entirely, not staying as SVP. That changes the calculus:</w:t>
      </w:r>
    </w:p>
    <w:p>
      <w:pPr>
        <w:pStyle w:val="ListParagraph"/>
        <w:numPr>
          <w:ilvl w:val="0"/>
          <w:numId w:val="2"/>
        </w:numPr>
        <w:spacing w:after="40" w:before="40" w:line="300"/>
      </w:pPr>
      <w:r>
        <w:rPr>
          <w:rFonts w:ascii="Calibri" w:cs="Calibri" w:eastAsia="Calibri" w:hAnsi="Calibri"/>
          <w:sz w:val="22"/>
          <w:szCs w:val="22"/>
        </w:rPr>
        <w:t xml:space="preserve">Chasen's true alternative if you walk: he loses his last senior operational leader. Tomas Novotny and Sharae Long have already exited. He has no replacement COO candidate. He would have to either recruit externally (3–6 months) or run the company himself while continuing as CEO. Either path materially increases the probability Class fails before the runway ends.</w:t>
      </w:r>
    </w:p>
    <w:p>
      <w:pPr>
        <w:pStyle w:val="ListParagraph"/>
        <w:numPr>
          <w:ilvl w:val="0"/>
          <w:numId w:val="2"/>
        </w:numPr>
        <w:spacing w:after="40" w:before="40" w:line="300"/>
      </w:pPr>
      <w:r>
        <w:rPr>
          <w:rFonts w:ascii="Calibri" w:cs="Calibri" w:eastAsia="Calibri" w:hAnsi="Calibri"/>
          <w:sz w:val="22"/>
          <w:szCs w:val="22"/>
        </w:rPr>
        <w:t xml:space="preserve">Your true alternative if Chasen lowballs: take an SVP or Chief X Officer role at a healthier B2B SaaS company. Realistic external comp: $300K–$400K total comp, sign-on bonus, standard 6–12 month severance from a company that can actually pay it.</w:t>
      </w:r>
    </w:p>
    <w:p>
      <w:pPr>
        <w:pStyle w:val="Heading2"/>
        <w:spacing w:after="140" w:before="280"/>
      </w:pPr>
      <w:r>
        <w:rPr>
          <w:rFonts w:ascii="Calibri" w:cs="Calibri" w:eastAsia="Calibri" w:hAnsi="Calibri"/>
          <w:b/>
          <w:bCs/>
          <w:sz w:val="26"/>
          <w:szCs w:val="26"/>
        </w:rPr>
        <w:t xml:space="preserve">The single most important tactical rule</w:t>
      </w:r>
    </w:p>
    <w:p>
      <w:pPr>
        <w:spacing w:after="80" w:before="80" w:line="300"/>
      </w:pPr>
      <w:r>
        <w:rPr>
          <w:rFonts w:ascii="Calibri" w:cs="Calibri" w:eastAsia="Calibri" w:hAnsi="Calibri"/>
          <w:b/>
          <w:bCs/>
          <w:sz w:val="22"/>
          <w:szCs w:val="22"/>
        </w:rPr>
        <w:t xml:space="preserve">The leverage works only if you never speak it.</w:t>
      </w:r>
    </w:p>
    <w:p>
      <w:pPr>
        <w:pStyle w:val="ListParagraph"/>
        <w:numPr>
          <w:ilvl w:val="0"/>
          <w:numId w:val="2"/>
        </w:numPr>
        <w:spacing w:after="40" w:before="40" w:line="300"/>
      </w:pPr>
      <w:r>
        <w:rPr>
          <w:rFonts w:ascii="Calibri" w:cs="Calibri" w:eastAsia="Calibri" w:hAnsi="Calibri"/>
          <w:sz w:val="22"/>
          <w:szCs w:val="22"/>
        </w:rPr>
        <w:t xml:space="preserve">Do not say "or I will leave." Do not reference outside offers as specific things.</w:t>
      </w:r>
    </w:p>
    <w:p>
      <w:pPr>
        <w:pStyle w:val="ListParagraph"/>
        <w:numPr>
          <w:ilvl w:val="0"/>
          <w:numId w:val="2"/>
        </w:numPr>
        <w:spacing w:after="40" w:before="40" w:line="300"/>
      </w:pPr>
      <w:r>
        <w:rPr>
          <w:rFonts w:ascii="Calibri" w:cs="Calibri" w:eastAsia="Calibri" w:hAnsi="Calibri"/>
          <w:sz w:val="22"/>
          <w:szCs w:val="22"/>
        </w:rPr>
        <w:t xml:space="preserve">Open with commitment, not threat: "Michael, I have spent serious time thinking about whether I can step into this role given where we are. I want to. But for me to do this well, here is what I need."</w:t>
      </w:r>
    </w:p>
    <w:p>
      <w:pPr>
        <w:pStyle w:val="ListParagraph"/>
        <w:numPr>
          <w:ilvl w:val="0"/>
          <w:numId w:val="2"/>
        </w:numPr>
        <w:spacing w:after="40" w:before="40" w:line="300"/>
      </w:pPr>
      <w:r>
        <w:rPr>
          <w:rFonts w:ascii="Calibri" w:cs="Calibri" w:eastAsia="Calibri" w:hAnsi="Calibri"/>
          <w:sz w:val="22"/>
          <w:szCs w:val="22"/>
        </w:rPr>
        <w:t xml:space="preserve">Show up calm, prepared, with the numbers on paper. The implication does the work.</w:t>
      </w:r>
    </w:p>
    <w:p>
      <w:pPr>
        <w:pStyle w:val="ListParagraph"/>
        <w:numPr>
          <w:ilvl w:val="0"/>
          <w:numId w:val="2"/>
        </w:numPr>
        <w:spacing w:after="40" w:before="40" w:line="300"/>
      </w:pPr>
      <w:r>
        <w:rPr>
          <w:rFonts w:ascii="Calibri" w:cs="Calibri" w:eastAsia="Calibri" w:hAnsi="Calibri"/>
          <w:sz w:val="22"/>
          <w:szCs w:val="22"/>
        </w:rPr>
        <w:t xml:space="preserve">When pushed back, pause. Don't immediately concede. "Let me think about how to make that work" and come back next session if needed.</w:t>
      </w:r>
    </w:p>
    <w:p>
      <w:pPr>
        <w:pStyle w:val="ListParagraph"/>
        <w:numPr>
          <w:ilvl w:val="0"/>
          <w:numId w:val="2"/>
        </w:numPr>
        <w:spacing w:after="40" w:before="40" w:line="300"/>
      </w:pPr>
      <w:r>
        <w:rPr>
          <w:rFonts w:ascii="Calibri" w:cs="Calibri" w:eastAsia="Calibri" w:hAnsi="Calibri"/>
          <w:sz w:val="22"/>
          <w:szCs w:val="22"/>
        </w:rPr>
        <w:t xml:space="preserve">Do not negotiate component-by-component in real time on a phone call. Take time between rounds.</w:t>
      </w:r>
    </w:p>
    <w:p>
      <w:pPr>
        <w:pStyle w:val="Heading2"/>
        <w:spacing w:after="140" w:before="280"/>
      </w:pPr>
      <w:r>
        <w:rPr>
          <w:rFonts w:ascii="Calibri" w:cs="Calibri" w:eastAsia="Calibri" w:hAnsi="Calibri"/>
          <w:b/>
          <w:bCs/>
          <w:sz w:val="26"/>
          <w:szCs w:val="26"/>
        </w:rPr>
        <w:t xml:space="preserve">What to do when Chasen says "we just cannot do that — you know where we are"</w:t>
      </w:r>
    </w:p>
    <w:p>
      <w:pPr>
        <w:spacing w:after="80" w:before="80" w:line="300"/>
      </w:pPr>
      <w:r>
        <w:rPr>
          <w:rFonts w:ascii="Calibri" w:cs="Calibri" w:eastAsia="Calibri" w:hAnsi="Calibri"/>
          <w:sz w:val="22"/>
          <w:szCs w:val="22"/>
        </w:rPr>
        <w:t xml:space="preserve">Acknowledge the constraint and redirect: "I do know where we are. That is exactly why I am asking for these specific things — I need to be able to focus on saving the company without worrying about whether I will be financially exposed if it does not work."</w:t>
      </w:r>
    </w:p>
    <w:p>
      <w:r>
        <w:br w:type="page"/>
      </w:r>
    </w:p>
    <w:p>
      <w:pPr>
        <w:pStyle w:val="Heading1"/>
        <w:spacing w:after="180" w:before="360"/>
      </w:pPr>
      <w:r>
        <w:rPr>
          <w:rFonts w:ascii="Calibri" w:cs="Calibri" w:eastAsia="Calibri" w:hAnsi="Calibri"/>
          <w:b/>
          <w:bCs/>
          <w:sz w:val="32"/>
          <w:szCs w:val="32"/>
        </w:rPr>
        <w:t xml:space="preserve">Current Comp vs. Proposed COO Comp</w:t>
      </w:r>
    </w:p>
    <w:p>
      <w:pPr>
        <w:spacing w:after="80" w:before="80" w:line="300"/>
      </w:pPr>
      <w:r>
        <w:rPr>
          <w:rFonts w:ascii="Calibri" w:cs="Calibri" w:eastAsia="Calibri" w:hAnsi="Calibri"/>
          <w:sz w:val="22"/>
          <w:szCs w:val="22"/>
        </w:rPr>
        <w:t xml:space="preserve">The table below summarizes the proposed package against your current SVP-level compensation in effect as of the January 16, 2025 employee change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Role &amp; Comp</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4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9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Title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SVP, Operations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Chief Operating Officer</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Base Salary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$225,000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$280,000</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18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Bonuses</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4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9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$100,000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$100,000</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 Minimum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50%</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 Payment Timing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Annual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Semi-annual</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1H and 2H</w:t>
            </w:r>
          </w:p>
        </w:tc>
      </w:tr>
      <w:tr>
        <w:tc>
          <w:tcPr>
            <w:tcW w:type="dxa" w:w="18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One-Time Bonuses</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4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9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Stay-On Bonus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$25,000</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Upon formal 'start date'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Company Performance Bonus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$50,000</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Earned the first time the company has 2 consecutive quarters of EBITDA positivity AND is operating cash flow positive</w:t>
            </w:r>
          </w:p>
        </w:tc>
      </w:tr>
      <w:tr>
        <w:tc>
          <w:tcPr>
            <w:tcW w:type="dxa" w:w="18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Severance</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4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9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Amount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4 months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5 months, base + pro-rata variable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Payment Timing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Not specified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Paid-out in full within 14 days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Protections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Immediately payable upon named events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1 — Company announces formal wind-down
2 — Company files for bankruptcy
3 — Company misses payroll</w:t>
            </w:r>
          </w:p>
        </w:tc>
      </w:tr>
    </w:tbl>
    <w:p>
      <w:r>
        <w:br w:type="page"/>
      </w:r>
    </w:p>
    <w:p>
      <w:pPr>
        <w:pStyle w:val="Heading1"/>
        <w:spacing w:after="180" w:before="360"/>
      </w:pPr>
      <w:r>
        <w:rPr>
          <w:rFonts w:ascii="Calibri" w:cs="Calibri" w:eastAsia="Calibri" w:hAnsi="Calibri"/>
          <w:b/>
          <w:bCs/>
          <w:sz w:val="32"/>
          <w:szCs w:val="32"/>
        </w:rPr>
        <w:t xml:space="preserve">Line-by-Line Breakdown — Full Rationale</w:t>
      </w:r>
    </w:p>
    <w:p>
      <w:pPr>
        <w:pStyle w:val="Heading2"/>
        <w:spacing w:after="140" w:before="280"/>
      </w:pPr>
      <w:r>
        <w:rPr>
          <w:rFonts w:ascii="Calibri" w:cs="Calibri" w:eastAsia="Calibri" w:hAnsi="Calibri"/>
          <w:b/>
          <w:bCs/>
          <w:sz w:val="26"/>
          <w:szCs w:val="26"/>
        </w:rPr>
        <w:t xml:space="preserve">1. Title — Chief Operating Officer</w:t>
      </w:r>
    </w:p>
    <w:p>
      <w:pPr>
        <w:spacing w:after="80" w:before="80" w:line="300"/>
      </w:pPr>
      <w:r>
        <w:rPr>
          <w:rFonts w:ascii="Calibri" w:cs="Calibri" w:eastAsia="Calibri" w:hAnsi="Calibri"/>
          <w:sz w:val="22"/>
          <w:szCs w:val="22"/>
        </w:rPr>
        <w:t xml:space="preserve">Full title, not "Acting" or "Interim." Reporting to the CEO and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Title is non-negotiable. "Acting" or "Interim" COO is structurally worse than SVP — you carry the interim label forever, and recruiters check title at last day of employment. If Chasen offers Acting COO, walk.</w:t>
            </w:r>
          </w:p>
        </w:tc>
      </w:tr>
    </w:tbl>
    <w:p>
      <w:pPr>
        <w:pStyle w:val="Heading2"/>
        <w:spacing w:after="140" w:before="280"/>
      </w:pPr>
      <w:r>
        <w:rPr>
          <w:rFonts w:ascii="Calibri" w:cs="Calibri" w:eastAsia="Calibri" w:hAnsi="Calibri"/>
          <w:b/>
          <w:bCs/>
          <w:sz w:val="26"/>
          <w:szCs w:val="26"/>
        </w:rPr>
        <w:t xml:space="preserve">2. Base Salary — $280,000</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Current base ($225,000) was set for the SVP, Operations role.</w:t>
      </w:r>
    </w:p>
    <w:p>
      <w:pPr>
        <w:pStyle w:val="ListParagraph"/>
        <w:numPr>
          <w:ilvl w:val="0"/>
          <w:numId w:val="2"/>
        </w:numPr>
        <w:spacing w:after="40" w:before="40" w:line="300"/>
      </w:pPr>
      <w:r>
        <w:rPr>
          <w:rFonts w:ascii="Calibri" w:cs="Calibri" w:eastAsia="Calibri" w:hAnsi="Calibri"/>
          <w:sz w:val="22"/>
          <w:szCs w:val="22"/>
        </w:rPr>
        <w:t xml:space="preserve">COO carries materially greater accountability.</w:t>
      </w:r>
    </w:p>
    <w:p>
      <w:pPr>
        <w:pStyle w:val="ListParagraph"/>
        <w:numPr>
          <w:ilvl w:val="0"/>
          <w:numId w:val="2"/>
        </w:numPr>
        <w:spacing w:after="40" w:before="40" w:line="300"/>
      </w:pPr>
      <w:r>
        <w:rPr>
          <w:rFonts w:ascii="Calibri" w:cs="Calibri" w:eastAsia="Calibri" w:hAnsi="Calibri"/>
          <w:sz w:val="22"/>
          <w:szCs w:val="22"/>
        </w:rPr>
        <w:t xml:space="preserve">Published 2026 market data places median base for a privately-held SaaS COO in the $275,000–$370,000 range.</w:t>
      </w:r>
    </w:p>
    <w:p>
      <w:pPr>
        <w:pStyle w:val="ListParagraph"/>
        <w:numPr>
          <w:ilvl w:val="0"/>
          <w:numId w:val="2"/>
        </w:numPr>
        <w:spacing w:after="40" w:before="40" w:line="300"/>
      </w:pPr>
      <w:r>
        <w:rPr>
          <w:rFonts w:ascii="Calibri" w:cs="Calibri" w:eastAsia="Calibri" w:hAnsi="Calibri"/>
          <w:sz w:val="22"/>
          <w:szCs w:val="22"/>
        </w:rPr>
        <w:t xml:space="preserve">Most COO packages include meaningful equity that offsets lower-than-market cash. Existing Class E units + 2.25% MIP only pay on a Deemed Liquidation Event under the Oct 8, 2025 Newco agreements — so equity does not effectively offset cash.</w:t>
      </w:r>
    </w:p>
    <w:p>
      <w:pPr>
        <w:pStyle w:val="ListParagraph"/>
        <w:numPr>
          <w:ilvl w:val="0"/>
          <w:numId w:val="2"/>
        </w:numPr>
        <w:spacing w:after="40" w:before="40" w:line="300"/>
      </w:pPr>
      <w:r>
        <w:rPr>
          <w:rFonts w:ascii="Calibri" w:cs="Calibri" w:eastAsia="Calibri" w:hAnsi="Calibri"/>
          <w:sz w:val="22"/>
          <w:szCs w:val="22"/>
        </w:rPr>
        <w:t xml:space="preserve">Higher base is the mechanism to deliver a market-comparable COO package without modifying existing equity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Chasen will push for $260K. Your absolute floor is $265K. You can hold $275K with calm confidence given the leverage. If he insists on $260K, ask for a $20K bump to the Stay-On Bonus to make it whole.</w:t>
            </w:r>
          </w:p>
          <w:p>
            <w:pPr>
              <w:spacing w:after="20" w:before="20" w:line="280"/>
            </w:pPr>
            <w:r>
              <w:rPr>
                <w:rFonts w:ascii="Calibri" w:cs="Calibri" w:eastAsia="Calibri" w:hAnsi="Calibri"/>
                <w:sz w:val="21"/>
                <w:szCs w:val="21"/>
              </w:rPr>
              <w:t xml:space="preserve">The "equity offset" rationale is your strongest argument — your equity is materially worth less than a healthy-company COO grant because the Deemed Liquidation Event trigger is unlikely to fire. Lean on it.</w:t>
            </w:r>
          </w:p>
        </w:tc>
      </w:tr>
    </w:tbl>
    <w:p>
      <w:pPr>
        <w:pStyle w:val="Heading2"/>
        <w:spacing w:after="140" w:before="280"/>
      </w:pPr>
      <w:r>
        <w:rPr>
          <w:rFonts w:ascii="Calibri" w:cs="Calibri" w:eastAsia="Calibri" w:hAnsi="Calibri"/>
          <w:b/>
          <w:bCs/>
          <w:sz w:val="26"/>
          <w:szCs w:val="26"/>
        </w:rPr>
        <w:t xml:space="preserve">3. Annual Bonus — $100,000 target</w:t>
      </w:r>
    </w:p>
    <w:p>
      <w:pPr>
        <w:spacing w:after="80" w:before="80" w:line="300"/>
      </w:pPr>
      <w:r>
        <w:rPr>
          <w:rFonts w:ascii="Calibri" w:cs="Calibri" w:eastAsia="Calibri" w:hAnsi="Calibri"/>
          <w:sz w:val="22"/>
          <w:szCs w:val="22"/>
        </w:rPr>
        <w:t xml:space="preserve">Held at current level. No change in target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No fight here. The fight is on the minimum (next item) and payment cadence.</w:t>
            </w:r>
          </w:p>
        </w:tc>
      </w:tr>
    </w:tbl>
    <w:p>
      <w:pPr>
        <w:pStyle w:val="Heading2"/>
        <w:spacing w:after="140" w:before="280"/>
      </w:pPr>
      <w:r>
        <w:rPr>
          <w:rFonts w:ascii="Calibri" w:cs="Calibri" w:eastAsia="Calibri" w:hAnsi="Calibri"/>
          <w:b/>
          <w:bCs/>
          <w:sz w:val="26"/>
          <w:szCs w:val="26"/>
        </w:rPr>
        <w:t xml:space="preserve">4. Annual Bonus Minimum — 50% guaranteed ($50,000)</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Guarantees $50,000 of Year-1 variable regardless of company performance.</w:t>
      </w:r>
    </w:p>
    <w:p>
      <w:pPr>
        <w:pStyle w:val="ListParagraph"/>
        <w:numPr>
          <w:ilvl w:val="0"/>
          <w:numId w:val="2"/>
        </w:numPr>
        <w:spacing w:after="40" w:before="40" w:line="300"/>
      </w:pPr>
      <w:r>
        <w:rPr>
          <w:rFonts w:ascii="Calibri" w:cs="Calibri" w:eastAsia="Calibri" w:hAnsi="Calibri"/>
          <w:sz w:val="22"/>
          <w:szCs w:val="22"/>
        </w:rPr>
        <w:t xml:space="preserve">Standard in turnaround / cash-crisis executive packages where company-level performance carries substantial execution risk.</w:t>
      </w:r>
    </w:p>
    <w:p>
      <w:pPr>
        <w:pStyle w:val="ListParagraph"/>
        <w:numPr>
          <w:ilvl w:val="0"/>
          <w:numId w:val="2"/>
        </w:numPr>
        <w:spacing w:after="40" w:before="40" w:line="300"/>
      </w:pPr>
      <w:r>
        <w:rPr>
          <w:rFonts w:ascii="Calibri" w:cs="Calibri" w:eastAsia="Calibri" w:hAnsi="Calibri"/>
          <w:sz w:val="22"/>
          <w:szCs w:val="22"/>
        </w:rPr>
        <w:t xml:space="preserve">The remaining 50% of the target ($50,000) remains performance-contingent, preserving alignment with company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This is the protective bedrock of the cash package. CFOs typically object on principle to guaranteed bonus minimums. Brian (your current manager) may push back hardest here.</w:t>
            </w:r>
          </w:p>
          <w:p>
            <w:pPr>
              <w:spacing w:after="20" w:before="20" w:line="280"/>
            </w:pPr>
            <w:r>
              <w:rPr>
                <w:rFonts w:ascii="Calibri" w:cs="Calibri" w:eastAsia="Calibri" w:hAnsi="Calibri"/>
                <w:sz w:val="21"/>
                <w:szCs w:val="21"/>
              </w:rPr>
              <w:t xml:space="preserve">Fallback: 50% is already a compromise position. If pushed below 50%, trade for a bigger Stay-On Bonus or push severance from 5 to 6 months.</w:t>
            </w:r>
          </w:p>
          <w:p>
            <w:pPr>
              <w:spacing w:after="20" w:before="20" w:line="280"/>
            </w:pPr>
            <w:r>
              <w:rPr>
                <w:rFonts w:ascii="Calibri" w:cs="Calibri" w:eastAsia="Calibri" w:hAnsi="Calibri"/>
                <w:sz w:val="21"/>
                <w:szCs w:val="21"/>
              </w:rPr>
              <w:t xml:space="preserve">If Chasen insists this be Y1-only, that is acceptable.</w:t>
            </w:r>
          </w:p>
        </w:tc>
      </w:tr>
    </w:tbl>
    <w:p>
      <w:pPr>
        <w:pStyle w:val="Heading2"/>
        <w:spacing w:after="140" w:before="280"/>
      </w:pPr>
      <w:r>
        <w:rPr>
          <w:rFonts w:ascii="Calibri" w:cs="Calibri" w:eastAsia="Calibri" w:hAnsi="Calibri"/>
          <w:b/>
          <w:bCs/>
          <w:sz w:val="26"/>
          <w:szCs w:val="26"/>
        </w:rPr>
        <w:t xml:space="preserve">5. Annual Bonus Payment Timing — Semi-annual (1H and 2H)</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Through Q4 2025, the variable bonus was paid quarterly.</w:t>
      </w:r>
    </w:p>
    <w:p>
      <w:pPr>
        <w:pStyle w:val="ListParagraph"/>
        <w:numPr>
          <w:ilvl w:val="0"/>
          <w:numId w:val="2"/>
        </w:numPr>
        <w:spacing w:after="40" w:before="40" w:line="300"/>
      </w:pPr>
      <w:r>
        <w:rPr>
          <w:rFonts w:ascii="Calibri" w:cs="Calibri" w:eastAsia="Calibri" w:hAnsi="Calibri"/>
          <w:sz w:val="22"/>
          <w:szCs w:val="22"/>
        </w:rPr>
        <w:t xml:space="preserve">Effective Q1 2026, the structure shifted to an annual payout scheduled for Feb/March 2027 — a 14+ month gap between payments.</w:t>
      </w:r>
    </w:p>
    <w:p>
      <w:pPr>
        <w:pStyle w:val="ListParagraph"/>
        <w:numPr>
          <w:ilvl w:val="0"/>
          <w:numId w:val="2"/>
        </w:numPr>
        <w:spacing w:after="40" w:before="40" w:line="300"/>
      </w:pPr>
      <w:r>
        <w:rPr>
          <w:rFonts w:ascii="Calibri" w:cs="Calibri" w:eastAsia="Calibri" w:hAnsi="Calibri"/>
          <w:sz w:val="22"/>
          <w:szCs w:val="22"/>
        </w:rPr>
        <w:t xml:space="preserve">Semi-annual payment (1H and 2H) restores a portion of the prior cadence without going all the way back to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This is a sympathetic ask. The shift from quarterly to annual happened TO you, not because of you. Chasen and Brian both know this. Frame it as restoration of cadence, not a new demand.</w:t>
            </w:r>
          </w:p>
          <w:p>
            <w:pPr>
              <w:spacing w:after="20" w:before="20" w:line="280"/>
            </w:pPr>
            <w:r>
              <w:rPr>
                <w:rFonts w:ascii="Calibri" w:cs="Calibri" w:eastAsia="Calibri" w:hAnsi="Calibri"/>
                <w:sz w:val="21"/>
                <w:szCs w:val="21"/>
              </w:rPr>
              <w:t xml:space="preserve">Fallback: if Chasen pushes back, accept annual but bump Stay-On to $50K to compensate for the cash-flow gap.</w:t>
            </w:r>
          </w:p>
        </w:tc>
      </w:tr>
    </w:tbl>
    <w:p>
      <w:pPr>
        <w:pStyle w:val="Heading2"/>
        <w:spacing w:after="140" w:before="280"/>
      </w:pPr>
      <w:r>
        <w:rPr>
          <w:rFonts w:ascii="Calibri" w:cs="Calibri" w:eastAsia="Calibri" w:hAnsi="Calibri"/>
          <w:b/>
          <w:bCs/>
          <w:sz w:val="26"/>
          <w:szCs w:val="26"/>
        </w:rPr>
        <w:t xml:space="preserve">6. Stay-On Bonus — $25,000 paid on formal start date</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Bridges the cash flow gap created when the variable structure shifted from quarterly to annual.</w:t>
      </w:r>
    </w:p>
    <w:p>
      <w:pPr>
        <w:pStyle w:val="ListParagraph"/>
        <w:numPr>
          <w:ilvl w:val="0"/>
          <w:numId w:val="2"/>
        </w:numPr>
        <w:spacing w:after="40" w:before="40" w:line="300"/>
      </w:pPr>
      <w:r>
        <w:rPr>
          <w:rFonts w:ascii="Calibri" w:cs="Calibri" w:eastAsia="Calibri" w:hAnsi="Calibri"/>
          <w:sz w:val="22"/>
          <w:szCs w:val="22"/>
        </w:rPr>
        <w:t xml:space="preserve">Recognizes the COO step-up event as distinct from the ongoing variable bonus structure.</w:t>
      </w:r>
    </w:p>
    <w:p>
      <w:pPr>
        <w:pStyle w:val="ListParagraph"/>
        <w:numPr>
          <w:ilvl w:val="0"/>
          <w:numId w:val="2"/>
        </w:numPr>
        <w:spacing w:after="40" w:before="40" w:line="300"/>
      </w:pPr>
      <w:r>
        <w:rPr>
          <w:rFonts w:ascii="Calibri" w:cs="Calibri" w:eastAsia="Calibri" w:hAnsi="Calibri"/>
          <w:sz w:val="22"/>
          <w:szCs w:val="22"/>
        </w:rPr>
        <w:t xml:space="preserve">Subject to forfeiture only if Russell voluntarily resigns within 12 months for reasons other than Good Reason. Not subject to repayment in any involuntary termination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Framing matters: this is NOT a "promotion bonus" (which sounds like extraction). It is restoration of the bonus-cadence cash flow you lost when the structure changed.</w:t>
            </w:r>
          </w:p>
          <w:p>
            <w:pPr>
              <w:spacing w:after="20" w:before="20" w:line="280"/>
            </w:pPr>
            <w:r>
              <w:rPr>
                <w:rFonts w:ascii="Calibri" w:cs="Calibri" w:eastAsia="Calibri" w:hAnsi="Calibri"/>
                <w:sz w:val="21"/>
                <w:szCs w:val="21"/>
              </w:rPr>
              <w:t xml:space="preserve">If Chasen says "no cash for bonuses right now," offer to split into two tranches: $15K on start date + $10K at 90 days.</w:t>
            </w:r>
          </w:p>
          <w:p>
            <w:pPr>
              <w:spacing w:after="20" w:before="20" w:line="280"/>
            </w:pPr>
            <w:r>
              <w:rPr>
                <w:rFonts w:ascii="Calibri" w:cs="Calibri" w:eastAsia="Calibri" w:hAnsi="Calibri"/>
                <w:sz w:val="21"/>
                <w:szCs w:val="21"/>
              </w:rPr>
              <w:t xml:space="preserve">The contractual repayment obligation is real but rarely enforced in practice. If you take this and leave in month 4 for another job, you would likely get a demand letter and settle for a fraction. You hold the leverage once the cash is in your account.</w:t>
            </w:r>
          </w:p>
        </w:tc>
      </w:tr>
    </w:tbl>
    <w:p>
      <w:pPr>
        <w:pStyle w:val="Heading2"/>
        <w:spacing w:after="140" w:before="280"/>
      </w:pPr>
      <w:r>
        <w:rPr>
          <w:rFonts w:ascii="Calibri" w:cs="Calibri" w:eastAsia="Calibri" w:hAnsi="Calibri"/>
          <w:b/>
          <w:bCs/>
          <w:sz w:val="26"/>
          <w:szCs w:val="26"/>
        </w:rPr>
        <w:t xml:space="preserve">7. Company Performance Bonus — $50,000</w:t>
      </w:r>
    </w:p>
    <w:p>
      <w:pPr>
        <w:spacing w:after="80" w:before="80" w:line="300"/>
      </w:pPr>
      <w:r>
        <w:rPr>
          <w:rFonts w:ascii="Calibri" w:cs="Calibri" w:eastAsia="Calibri" w:hAnsi="Calibri"/>
          <w:sz w:val="22"/>
          <w:szCs w:val="22"/>
        </w:rPr>
        <w:t xml:space="preserve">Trigger: the first time Class achieves 2 consecutive fiscal quarters of (i) EBITDA positive AND (ii) operating cash flow positive.</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Single-payment, milestone-based bonus tied directly to the COO mission: restoring Class to genuine financial sustainability.</w:t>
      </w:r>
    </w:p>
    <w:p>
      <w:pPr>
        <w:pStyle w:val="ListParagraph"/>
        <w:numPr>
          <w:ilvl w:val="0"/>
          <w:numId w:val="2"/>
        </w:numPr>
        <w:spacing w:after="40" w:before="40" w:line="300"/>
      </w:pPr>
      <w:r>
        <w:rPr>
          <w:rFonts w:ascii="Calibri" w:cs="Calibri" w:eastAsia="Calibri" w:hAnsi="Calibri"/>
          <w:sz w:val="22"/>
          <w:szCs w:val="22"/>
        </w:rPr>
        <w:t xml:space="preserve">Both metrics required (not "or") so the bonus pays only on genuine financial recovery, not on accounting timing effects that can move EBITDA without underlying cash improvement.</w:t>
      </w:r>
    </w:p>
    <w:p>
      <w:pPr>
        <w:pStyle w:val="ListParagraph"/>
        <w:numPr>
          <w:ilvl w:val="0"/>
          <w:numId w:val="2"/>
        </w:numPr>
        <w:spacing w:after="40" w:before="40" w:line="300"/>
      </w:pPr>
      <w:r>
        <w:rPr>
          <w:rFonts w:ascii="Calibri" w:cs="Calibri" w:eastAsia="Calibri" w:hAnsi="Calibri"/>
          <w:sz w:val="22"/>
          <w:szCs w:val="22"/>
        </w:rPr>
        <w:t xml:space="preserve">Paid as a one-time lump sum upon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Easiest item for Chasen to approve. Small, milestone-based, aligned to mission. Expect him to say yes.</w:t>
            </w:r>
          </w:p>
          <w:p>
            <w:pPr>
              <w:spacing w:after="20" w:before="20" w:line="280"/>
            </w:pPr>
            <w:r>
              <w:rPr>
                <w:rFonts w:ascii="Calibri" w:cs="Calibri" w:eastAsia="Calibri" w:hAnsi="Calibri"/>
                <w:sz w:val="21"/>
                <w:szCs w:val="21"/>
              </w:rPr>
              <w:t xml:space="preserve">We picked the harder metric pair (EBITDA AND cash flow) deliberately. Asking for EBITDA-only would have looked like you were gaming the easier metric. Asking for both signals you take the mission seriously.</w:t>
            </w:r>
          </w:p>
          <w:p>
            <w:pPr>
              <w:spacing w:after="20" w:before="20" w:line="280"/>
            </w:pPr>
            <w:r>
              <w:rPr>
                <w:rFonts w:ascii="Calibri" w:cs="Calibri" w:eastAsia="Calibri" w:hAnsi="Calibri"/>
                <w:sz w:val="21"/>
                <w:szCs w:val="21"/>
              </w:rPr>
              <w:t xml:space="preserve">Operating cash flow positive in isolation can be hit via working capital tricks (AR acceleration, AP deferral). EBITDA positive in isolation can be hit while cash is still draining. Requiring both eliminates both gaming risks.</w:t>
            </w:r>
          </w:p>
          <w:p>
            <w:pPr>
              <w:spacing w:after="20" w:before="20" w:line="280"/>
            </w:pPr>
            <w:r>
              <w:rPr>
                <w:rFonts w:ascii="Calibri" w:cs="Calibri" w:eastAsia="Calibri" w:hAnsi="Calibri"/>
                <w:sz w:val="21"/>
                <w:szCs w:val="21"/>
              </w:rPr>
              <w:t xml:space="preserve">Define "operating cash flow" in the agreement as: "Cash from Operating Activities as reported on the GAAP Statement of Cash Flows, excluding financing and investing activities." Prevents future arguments about what counts.</w:t>
            </w:r>
          </w:p>
        </w:tc>
      </w:tr>
    </w:tbl>
    <w:p>
      <w:pPr>
        <w:pStyle w:val="Heading2"/>
        <w:spacing w:after="140" w:before="280"/>
      </w:pPr>
      <w:r>
        <w:rPr>
          <w:rFonts w:ascii="Calibri" w:cs="Calibri" w:eastAsia="Calibri" w:hAnsi="Calibri"/>
          <w:b/>
          <w:bCs/>
          <w:sz w:val="26"/>
          <w:szCs w:val="26"/>
        </w:rPr>
        <w:t xml:space="preserve">8. Severance Amount — 5 months base + pro-rata variable</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Increased from current 4-month commitment to 5 months, reflecting the increased seniority of the COO role.</w:t>
      </w:r>
    </w:p>
    <w:p>
      <w:pPr>
        <w:pStyle w:val="ListParagraph"/>
        <w:numPr>
          <w:ilvl w:val="0"/>
          <w:numId w:val="2"/>
        </w:numPr>
        <w:spacing w:after="40" w:before="40" w:line="300"/>
      </w:pPr>
      <w:r>
        <w:rPr>
          <w:rFonts w:ascii="Calibri" w:cs="Calibri" w:eastAsia="Calibri" w:hAnsi="Calibri"/>
          <w:sz w:val="22"/>
          <w:szCs w:val="22"/>
        </w:rPr>
        <w:t xml:space="preserve">"Pro-rata variable" means the prorated portion of the variable target across the 5-month period (= 5/12 × $100,000 = $41,667).</w:t>
      </w:r>
    </w:p>
    <w:p>
      <w:pPr>
        <w:pStyle w:val="ListParagraph"/>
        <w:numPr>
          <w:ilvl w:val="0"/>
          <w:numId w:val="2"/>
        </w:numPr>
        <w:spacing w:after="40" w:before="40" w:line="300"/>
      </w:pPr>
      <w:r>
        <w:rPr>
          <w:rFonts w:ascii="Calibri" w:cs="Calibri" w:eastAsia="Calibri" w:hAnsi="Calibri"/>
          <w:sz w:val="22"/>
          <w:szCs w:val="22"/>
        </w:rPr>
        <w:t xml:space="preserve">Total cash severance at 5 months = $116,667 base + $41,667 variable = $158,333.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Variable share in severance is normal and expected at COO level. Base-only severance would be below market. Hold the ask.</w:t>
            </w:r>
          </w:p>
          <w:p>
            <w:pPr>
              <w:spacing w:after="20" w:before="20" w:line="280"/>
            </w:pPr>
            <w:r>
              <w:rPr>
                <w:rFonts w:ascii="Calibri" w:cs="Calibri" w:eastAsia="Calibri" w:hAnsi="Calibri"/>
                <w:sz w:val="21"/>
                <w:szCs w:val="21"/>
              </w:rPr>
              <w:t xml:space="preserve">Chasen may counter "4 months — that's what's in your current change form." Hold the 5-month line — it is a modest bump tied to the role change.</w:t>
            </w:r>
          </w:p>
          <w:p>
            <w:pPr>
              <w:spacing w:after="20" w:before="20" w:line="280"/>
            </w:pPr>
            <w:r>
              <w:rPr>
                <w:rFonts w:ascii="Calibri" w:cs="Calibri" w:eastAsia="Calibri" w:hAnsi="Calibri"/>
                <w:sz w:val="21"/>
                <w:szCs w:val="21"/>
              </w:rPr>
              <w:t xml:space="preserve">If Chasen absolutely refuses 5 months, accept 4 months ONLY if the Payment Timing (14-day lump) and Protections (3 triggers) are intact. The structure of severance matters more than the months.</w:t>
            </w:r>
          </w:p>
        </w:tc>
      </w:tr>
    </w:tbl>
    <w:p>
      <w:pPr>
        <w:pStyle w:val="Heading2"/>
        <w:spacing w:after="140" w:before="280"/>
      </w:pPr>
      <w:r>
        <w:rPr>
          <w:rFonts w:ascii="Calibri" w:cs="Calibri" w:eastAsia="Calibri" w:hAnsi="Calibri"/>
          <w:b/>
          <w:bCs/>
          <w:sz w:val="26"/>
          <w:szCs w:val="26"/>
        </w:rPr>
        <w:t xml:space="preserve">9. Severance Payment Timing — Paid out in full within 14 days</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Severance is paid as a single lump-sum wire transfer within 14 days of the termination date, rather than as monthly installments over 5 months.</w:t>
      </w:r>
    </w:p>
    <w:p>
      <w:pPr>
        <w:pStyle w:val="ListParagraph"/>
        <w:numPr>
          <w:ilvl w:val="0"/>
          <w:numId w:val="2"/>
        </w:numPr>
        <w:spacing w:after="40" w:before="40" w:line="300"/>
      </w:pPr>
      <w:r>
        <w:rPr>
          <w:rFonts w:ascii="Calibri" w:cs="Calibri" w:eastAsia="Calibri" w:hAnsi="Calibri"/>
          <w:sz w:val="22"/>
          <w:szCs w:val="22"/>
        </w:rPr>
        <w:t xml:space="preserve">Same total amount as installment payments; only the timing changes.</w:t>
      </w:r>
    </w:p>
    <w:p>
      <w:pPr>
        <w:pStyle w:val="ListParagraph"/>
        <w:numPr>
          <w:ilvl w:val="0"/>
          <w:numId w:val="2"/>
        </w:numPr>
        <w:spacing w:after="40" w:before="40" w:line="300"/>
      </w:pPr>
      <w:r>
        <w:rPr>
          <w:rFonts w:ascii="Calibri" w:cs="Calibri" w:eastAsia="Calibri" w:hAnsi="Calibri"/>
          <w:sz w:val="22"/>
          <w:szCs w:val="22"/>
        </w:rPr>
        <w:t xml:space="preserve">Protects against the scenario in which the company's financial position deteriorates after termination but before all installments are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w:t>
            </w:r>
          </w:p>
          <w:p>
            <w:pPr>
              <w:spacing w:after="20" w:before="20" w:line="280"/>
            </w:pPr>
            <w:r>
              <w:rPr>
                <w:rFonts w:ascii="Calibri" w:cs="Calibri" w:eastAsia="Calibri" w:hAnsi="Calibri"/>
                <w:sz w:val="21"/>
                <w:szCs w:val="21"/>
              </w:rPr>
              <w:t xml:space="preserve">One of the two most important protective asks (the other is the Protections triggers in Section 10). 14 days gets the cash out before any subsequent insolvency event can derail payment.</w:t>
            </w:r>
          </w:p>
          <w:p>
            <w:pPr>
              <w:spacing w:after="20" w:before="20" w:line="280"/>
            </w:pPr>
            <w:r>
              <w:rPr>
                <w:rFonts w:ascii="Calibri" w:cs="Calibri" w:eastAsia="Calibri" w:hAnsi="Calibri"/>
                <w:sz w:val="21"/>
                <w:szCs w:val="21"/>
              </w:rPr>
              <w:t xml:space="preserve">If Chasen pushes to 30 days for operational reasons, 30 days is still acceptable. "Standard installments over 5 months" is NOT acceptable.</w:t>
            </w:r>
          </w:p>
          <w:p>
            <w:pPr>
              <w:spacing w:after="20" w:before="20" w:line="280"/>
            </w:pPr>
            <w:r>
              <w:rPr>
                <w:rFonts w:ascii="Calibri" w:cs="Calibri" w:eastAsia="Calibri" w:hAnsi="Calibri"/>
                <w:sz w:val="21"/>
                <w:szCs w:val="21"/>
              </w:rPr>
              <w:t xml:space="preserve">Fallback: if absolutely refused, ask for first 3 months as lump within 14 days and remainder in installments. Gets ~60% of the protection with less friction.</w:t>
            </w:r>
          </w:p>
        </w:tc>
      </w:tr>
    </w:tbl>
    <w:p>
      <w:pPr>
        <w:pStyle w:val="Heading2"/>
        <w:spacing w:after="140" w:before="280"/>
      </w:pPr>
      <w:r>
        <w:rPr>
          <w:rFonts w:ascii="Calibri" w:cs="Calibri" w:eastAsia="Calibri" w:hAnsi="Calibri"/>
          <w:b/>
          <w:bCs/>
          <w:sz w:val="26"/>
          <w:szCs w:val="26"/>
        </w:rPr>
        <w:t xml:space="preserve">10. Severance Protections — Immediately payable upon named events</w:t>
      </w:r>
    </w:p>
    <w:p>
      <w:pPr>
        <w:spacing w:after="80" w:before="80" w:line="300"/>
      </w:pPr>
      <w:r>
        <w:rPr>
          <w:rFonts w:ascii="Calibri" w:cs="Calibri" w:eastAsia="Calibri" w:hAnsi="Calibri"/>
          <w:sz w:val="22"/>
          <w:szCs w:val="22"/>
        </w:rPr>
        <w:t xml:space="preserve">If any of the following three events occur during your employment, you are deemed terminated by the Company without Cause as of the date of the event, and the full severance (Sections 8 and 9) becomes immediately payable:</w:t>
      </w:r>
    </w:p>
    <w:p>
      <w:pPr>
        <w:pStyle w:val="ListParagraph"/>
        <w:numPr>
          <w:ilvl w:val="0"/>
          <w:numId w:val="2"/>
        </w:numPr>
        <w:spacing w:after="40" w:before="40" w:line="300"/>
      </w:pPr>
      <w:r>
        <w:rPr>
          <w:rFonts w:ascii="Calibri" w:cs="Calibri" w:eastAsia="Calibri" w:hAnsi="Calibri"/>
          <w:sz w:val="22"/>
          <w:szCs w:val="22"/>
        </w:rPr>
        <w:t xml:space="preserve">Company announces formal wind-down</w:t>
      </w:r>
    </w:p>
    <w:p>
      <w:pPr>
        <w:pStyle w:val="ListParagraph"/>
        <w:numPr>
          <w:ilvl w:val="0"/>
          <w:numId w:val="2"/>
        </w:numPr>
        <w:spacing w:after="40" w:before="40" w:line="300"/>
      </w:pPr>
      <w:r>
        <w:rPr>
          <w:rFonts w:ascii="Calibri" w:cs="Calibri" w:eastAsia="Calibri" w:hAnsi="Calibri"/>
          <w:sz w:val="22"/>
          <w:szCs w:val="22"/>
        </w:rPr>
        <w:t xml:space="preserve">Company files for bankruptcy (Chapter 7 or Chapter 11)</w:t>
      </w:r>
    </w:p>
    <w:p>
      <w:pPr>
        <w:pStyle w:val="ListParagraph"/>
        <w:numPr>
          <w:ilvl w:val="0"/>
          <w:numId w:val="2"/>
        </w:numPr>
        <w:spacing w:after="40" w:before="40" w:line="300"/>
      </w:pPr>
      <w:r>
        <w:rPr>
          <w:rFonts w:ascii="Calibri" w:cs="Calibri" w:eastAsia="Calibri" w:hAnsi="Calibri"/>
          <w:sz w:val="22"/>
          <w:szCs w:val="22"/>
        </w:rPr>
        <w:t xml:space="preserve">Company misses payroll</w:t>
      </w:r>
    </w:p>
    <w:p>
      <w:pPr>
        <w:spacing w:after="80" w:before="80" w:line="300"/>
      </w:pPr>
      <w:r>
        <w:rPr>
          <w:rFonts w:ascii="Calibri" w:cs="Calibri" w:eastAsia="Calibri" w:hAnsi="Calibri"/>
          <w:sz w:val="22"/>
          <w:szCs w:val="22"/>
        </w:rPr>
        <w:t xml:space="preserve">Rationale (for Chasen-facing doc):</w:t>
      </w:r>
    </w:p>
    <w:p>
      <w:pPr>
        <w:pStyle w:val="ListParagraph"/>
        <w:numPr>
          <w:ilvl w:val="0"/>
          <w:numId w:val="2"/>
        </w:numPr>
        <w:spacing w:after="40" w:before="40" w:line="300"/>
      </w:pPr>
      <w:r>
        <w:rPr>
          <w:rFonts w:ascii="Calibri" w:cs="Calibri" w:eastAsia="Calibri" w:hAnsi="Calibri"/>
          <w:sz w:val="22"/>
          <w:szCs w:val="22"/>
        </w:rPr>
        <w:t xml:space="preserve">Each of these events is the objective indicator that the company cannot meet its current obligations. Including them as triggers ensures severance becomes payable BEFORE remaining cash is exhausted or restricted by creditor action.</w:t>
      </w:r>
    </w:p>
    <w:p>
      <w:pPr>
        <w:pStyle w:val="ListParagraph"/>
        <w:numPr>
          <w:ilvl w:val="0"/>
          <w:numId w:val="2"/>
        </w:numPr>
        <w:spacing w:after="40" w:before="40" w:line="300"/>
      </w:pPr>
      <w:r>
        <w:rPr>
          <w:rFonts w:ascii="Calibri" w:cs="Calibri" w:eastAsia="Calibri" w:hAnsi="Calibri"/>
          <w:sz w:val="22"/>
          <w:szCs w:val="22"/>
        </w:rPr>
        <w:t xml:space="preserve">Without these protections, contractual severance in a failed-company scenario typically becomes either (a) a pre-petition unsecured claim subject to the §507(a)(4) wage-priority cap (~$15K), or (b) post-petition severance for insiders restricted under §503(c) of the Bankruptcy Code. Recovery in either case is materially below the contractual amount.</w:t>
      </w:r>
    </w:p>
    <w:p>
      <w:pPr>
        <w:pStyle w:val="ListParagraph"/>
        <w:numPr>
          <w:ilvl w:val="0"/>
          <w:numId w:val="2"/>
        </w:numPr>
        <w:spacing w:after="40" w:before="40" w:line="300"/>
      </w:pPr>
      <w:r>
        <w:rPr>
          <w:rFonts w:ascii="Calibri" w:cs="Calibri" w:eastAsia="Calibri" w:hAnsi="Calibri"/>
          <w:sz w:val="22"/>
          <w:szCs w:val="22"/>
        </w:rPr>
        <w:t xml:space="preserve">These triggers cost the company nothing during normal operations. They fire only on failure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 — Why this is the most important section</w:t>
            </w:r>
          </w:p>
          <w:p>
            <w:pPr>
              <w:spacing w:after="20" w:before="20" w:line="280"/>
            </w:pPr>
            <w:r>
              <w:rPr>
                <w:rFonts w:ascii="Calibri" w:cs="Calibri" w:eastAsia="Calibri" w:hAnsi="Calibri"/>
                <w:sz w:val="21"/>
                <w:szCs w:val="21"/>
              </w:rPr>
              <w:t xml:space="preserve">Your current 4-month severance commitment is worth approximately $0 in the failure scenario. With these protections, your $158K severance becomes payable before the failure event consumes the cash. Net value of these triggers in the failure scenario: ~$158K.</w:t>
            </w:r>
          </w:p>
          <w:p>
            <w:pPr>
              <w:spacing w:after="20" w:before="20" w:line="280"/>
            </w:pPr>
            <w:r>
              <w:rPr>
                <w:rFonts w:ascii="Calibri" w:cs="Calibri" w:eastAsia="Calibri" w:hAnsi="Calibri"/>
                <w:sz w:val="21"/>
                <w:szCs w:val="21"/>
              </w:rPr>
              <w:t xml:space="preserve">Hold all three triggers. If Chasen pushes to drop one, give up "formal wind-down" first — it's the least-likely event to actually fire.</w:t>
            </w:r>
          </w:p>
          <w:p>
            <w:pPr>
              <w:spacing w:after="20" w:before="20" w:line="280"/>
            </w:pPr>
            <w:r>
              <w:rPr>
                <w:rFonts w:ascii="Calibri" w:cs="Calibri" w:eastAsia="Calibri" w:hAnsi="Calibri"/>
                <w:sz w:val="21"/>
                <w:szCs w:val="21"/>
              </w:rPr>
              <w:t xml:space="preserve">If Chasen pushes to add a grace period on "misses payroll" (e.g., 7, 14, or 30 days), 7 or 14 days is acceptable; 30 days starts losing protective value. We dropped the explicit "&gt;7 days" qualifier from the table to give you flexibility in negotiation — he may accept it cleanly, or push to add the grace period.</w:t>
            </w:r>
          </w:p>
          <w:p>
            <w:pPr>
              <w:spacing w:after="20" w:before="20" w:line="280"/>
            </w:pPr>
            <w:r>
              <w:rPr>
                <w:rFonts w:ascii="Calibri" w:cs="Calibri" w:eastAsia="Calibri" w:hAnsi="Calibri"/>
                <w:sz w:val="21"/>
                <w:szCs w:val="21"/>
              </w:rPr>
              <w:t xml:space="preserve">We deliberately dropped a fourth trigger (Barclays default or acceleration). Three reasons: it would drag Barclays into reviewing the agreement (they are a third-party beneficiary on your existing Newco docs); Barclays could weaponize technical covenant defaults; the missed-payroll trigger gives ~95% of the practical protection without the political cost.</w:t>
            </w:r>
          </w:p>
        </w:tc>
      </w:tr>
    </w:tbl>
    <w:p>
      <w:r>
        <w:br w:type="page"/>
      </w:r>
    </w:p>
    <w:p>
      <w:pPr>
        <w:pStyle w:val="Heading1"/>
        <w:spacing w:after="180" w:before="360"/>
      </w:pPr>
      <w:r>
        <w:rPr>
          <w:rFonts w:ascii="Calibri" w:cs="Calibri" w:eastAsia="Calibri" w:hAnsi="Calibri"/>
          <w:b/>
          <w:bCs/>
          <w:sz w:val="32"/>
          <w:szCs w:val="32"/>
        </w:rPr>
        <w:t xml:space="preserve">Equity and MIP — No Change Proposed</w:t>
      </w:r>
    </w:p>
    <w:p>
      <w:pPr>
        <w:spacing w:after="80" w:before="80" w:line="300"/>
      </w:pPr>
      <w:r>
        <w:rPr>
          <w:rFonts w:ascii="Calibri" w:cs="Calibri" w:eastAsia="Calibri" w:hAnsi="Calibri"/>
          <w:sz w:val="22"/>
          <w:szCs w:val="22"/>
        </w:rPr>
        <w:t xml:space="preserve">The 180 Class E Common Units and 2.25% MIP Designated Percentage granted under the October 8, 2025 Class Parent Holdco agreements remain unchanged. No modification to vesting schedule, payout trigger (Deemed Liquidation Event), or any other term of those agreements is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676" w:sz="6"/>
              <w:left w:val="single" w:color="9C2D2D" w:sz="18"/>
              <w:bottom w:val="single" w:color="C57676" w:sz="6"/>
              <w:right w:val="single" w:color="C57676" w:sz="6"/>
            </w:tcBorders>
            <w:shd w:fill="FBF0F0" w:val="clear"/>
            <w:tcMar>
              <w:top w:type="dxa" w:w="140"/>
              <w:left w:type="dxa" w:w="180"/>
              <w:bottom w:type="dxa" w:w="140"/>
              <w:right w:type="dxa" w:w="180"/>
            </w:tcMar>
          </w:tcPr>
          <w:p>
            <w:pPr>
              <w:spacing w:after="60" w:before="40"/>
            </w:pPr>
            <w:r>
              <w:rPr>
                <w:rFonts w:ascii="Calibri" w:cs="Calibri" w:eastAsia="Calibri" w:hAnsi="Calibri"/>
                <w:b/>
                <w:bCs/>
                <w:color w:val="9C2D2D"/>
                <w:sz w:val="21"/>
                <w:szCs w:val="21"/>
              </w:rPr>
              <w:t xml:space="preserve">Internal note — Why no equity ask</w:t>
            </w:r>
          </w:p>
          <w:p>
            <w:pPr>
              <w:spacing w:after="20" w:before="20" w:line="280"/>
            </w:pPr>
            <w:r>
              <w:rPr>
                <w:rFonts w:ascii="Calibri" w:cs="Calibri" w:eastAsia="Calibri" w:hAnsi="Calibri"/>
                <w:sz w:val="21"/>
                <w:szCs w:val="21"/>
              </w:rPr>
              <w:t xml:space="preserve">Modifying the Newco docs would require Barclays consent (they are a third-party beneficiary), would be politically expensive, and would not change the expected value of the equity much. The equity is worth approximately $0 in the most likely scenario (company runs out of cash without acquisition) regardless of how much you have.</w:t>
            </w:r>
          </w:p>
          <w:p>
            <w:pPr>
              <w:spacing w:after="20" w:before="20" w:line="280"/>
            </w:pPr>
            <w:r>
              <w:rPr>
                <w:rFonts w:ascii="Calibri" w:cs="Calibri" w:eastAsia="Calibri" w:hAnsi="Calibri"/>
                <w:sz w:val="21"/>
                <w:szCs w:val="21"/>
              </w:rPr>
              <w:t xml:space="preserve">If you wanted to push, the lowest-friction equity ask would be accelerated vesting on the existing 180 units. But this still requires Barclays sign-off — not worth the political cost in Round 1.</w:t>
            </w:r>
          </w:p>
        </w:tc>
      </w:tr>
    </w:tbl>
    <w:p>
      <w:pPr>
        <w:pStyle w:val="Heading1"/>
        <w:spacing w:after="180" w:before="360"/>
      </w:pPr>
      <w:r>
        <w:rPr>
          <w:rFonts w:ascii="Calibri" w:cs="Calibri" w:eastAsia="Calibri" w:hAnsi="Calibri"/>
          <w:b/>
          <w:bCs/>
          <w:sz w:val="32"/>
          <w:szCs w:val="32"/>
        </w:rPr>
        <w:t xml:space="preserve">Year 1 Cash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BFBFBF" w:sz="4"/>
              <w:left w:val="single" w:color="BFBFBF" w:sz="4"/>
              <w:bottom w:val="single" w:color="BFBFBF" w:sz="4"/>
              <w:right w:val="single" w:color="BFBFBF" w:sz="4"/>
            </w:tcBorders>
            <w:shd w:fill="DEE6EF"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Scenario</w:t>
            </w:r>
          </w:p>
        </w:tc>
        <w:tc>
          <w:tcPr>
            <w:tcW w:type="dxa" w:w="4320"/>
            <w:tcBorders>
              <w:top w:val="single" w:color="BFBFBF" w:sz="4"/>
              <w:left w:val="single" w:color="BFBFBF" w:sz="4"/>
              <w:bottom w:val="single" w:color="BFBFBF" w:sz="4"/>
              <w:right w:val="single" w:color="BFBFBF" w:sz="4"/>
            </w:tcBorders>
            <w:shd w:fill="DEE6EF"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Y1 Cash to Russell</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Full year, variable at minimum only (50%), no milestone hit</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$355,000 (base $280K + bonus min $50K + stay-on $25K)</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Full year, variable at target (100%), no milestone hit</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$405,000 (base $280K + bonus $100K + stay-on $25K)</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Full year, variable at target, milestone hit</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$455,000 (adds $50K performance bonus)</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Terminated month 13 by protection trigger (variable at min)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$513,333 ($355K Y1 + $158,333 severance lump)</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Status quo: decline COO, stay SVP for 12 months, company fails</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~$325,000 (severance likely uncollectable)</w:t>
            </w:r>
          </w:p>
        </w:tc>
      </w:tr>
      <w:tr>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External alternative: leave Class for SVP/Chief role at healthier SaaS company</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$325,000–$400,000</w:t>
            </w:r>
          </w:p>
        </w:tc>
      </w:tr>
    </w:tbl>
    <w:p>
      <w:pPr>
        <w:pStyle w:val="Heading1"/>
        <w:spacing w:after="180" w:before="360"/>
      </w:pPr>
      <w:r>
        <w:rPr>
          <w:rFonts w:ascii="Calibri" w:cs="Calibri" w:eastAsia="Calibri" w:hAnsi="Calibri"/>
          <w:b/>
          <w:bCs/>
          <w:sz w:val="32"/>
          <w:szCs w:val="32"/>
        </w:rPr>
        <w:t xml:space="preserve">Walk-Away Thresholds</w:t>
      </w:r>
    </w:p>
    <w:p>
      <w:pPr>
        <w:spacing w:after="80" w:before="80" w:line="300"/>
      </w:pPr>
      <w:r>
        <w:rPr>
          <w:rFonts w:ascii="Calibri" w:cs="Calibri" w:eastAsia="Calibri" w:hAnsi="Calibri"/>
          <w:sz w:val="22"/>
          <w:szCs w:val="22"/>
        </w:rPr>
        <w:t xml:space="preserve">If after final negotiation ALL of the following components simultaneously land at or below their walk-away threshold, walk and take an external role rather than the COO at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FE9E9"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Component</w:t>
            </w:r>
          </w:p>
        </w:tc>
        <w:tc>
          <w:tcPr>
            <w:tcW w:type="dxa" w:w="4680"/>
            <w:tcBorders>
              <w:top w:val="single" w:color="BFBFBF" w:sz="4"/>
              <w:left w:val="single" w:color="BFBFBF" w:sz="4"/>
              <w:bottom w:val="single" w:color="BFBFBF" w:sz="4"/>
              <w:right w:val="single" w:color="BFBFBF" w:sz="4"/>
            </w:tcBorders>
            <w:shd w:fill="FFE9E9"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Walk-Away Threshold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Base Salary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Below $265,000</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 Minimum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Below 50% (= less than $50K guaranteed)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Stay-On Bonus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$0 with no offsetting bump elsewhere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Severance Amount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Less than 5 months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Severance Payment Timing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All installments, no lump within 14 days on at least first 3 months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Severance Protections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No bankruptcy filing trigger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Title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"Acting" or "Interim" COO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Total Y1 Cash Floor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Below $340,000</w:t>
            </w:r>
          </w:p>
        </w:tc>
      </w:tr>
    </w:tbl>
    <w:p>
      <w:pPr>
        <w:spacing w:after="80" w:before="80" w:line="300"/>
      </w:pPr>
      <w:r>
        <w:rPr>
          <w:rFonts w:ascii="Calibri" w:cs="Calibri" w:eastAsia="Calibri" w:hAnsi="Calibri"/>
          <w:sz w:val="22"/>
          <w:szCs w:val="22"/>
        </w:rPr>
        <w:t xml:space="preserve"/>
      </w:r>
    </w:p>
    <w:p>
      <w:pPr>
        <w:spacing w:after="80" w:before="80" w:line="300"/>
      </w:pPr>
      <w:r>
        <w:rPr>
          <w:rFonts w:ascii="Calibri" w:cs="Calibri" w:eastAsia="Calibri" w:hAnsi="Calibri"/>
          <w:b/>
          <w:bCs/>
          <w:sz w:val="22"/>
          <w:szCs w:val="22"/>
        </w:rPr>
        <w:t xml:space="preserve">Single-metric summary heuristic:</w:t>
      </w:r>
    </w:p>
    <w:p>
      <w:pPr>
        <w:spacing w:after="80" w:before="80" w:line="300"/>
      </w:pPr>
      <w:r>
        <w:rPr>
          <w:rFonts w:ascii="Calibri" w:cs="Calibri" w:eastAsia="Calibri" w:hAnsi="Calibri"/>
          <w:sz w:val="22"/>
          <w:szCs w:val="22"/>
        </w:rPr>
        <w:t xml:space="preserve">If Y1 guaranteed cash floor (Base + Annual Bonus Minimum + Stay-On) is below $340,000 AND Severance Protections do not include at least the bankruptcy filing trigger and 14-day lump payment, walk.</w:t>
      </w:r>
    </w:p>
    <w:p>
      <w:pPr>
        <w:pStyle w:val="Heading1"/>
        <w:spacing w:after="180" w:before="360"/>
      </w:pPr>
      <w:r>
        <w:rPr>
          <w:rFonts w:ascii="Calibri" w:cs="Calibri" w:eastAsia="Calibri" w:hAnsi="Calibri"/>
          <w:b/>
          <w:bCs/>
          <w:sz w:val="32"/>
          <w:szCs w:val="32"/>
        </w:rPr>
        <w:t xml:space="preserve">Trade Matrix — When Chasen Refuses X, Ask For Y</w:t>
      </w:r>
    </w:p>
    <w:p>
      <w:pPr>
        <w:spacing w:after="80" w:before="80" w:line="300"/>
      </w:pPr>
      <w:r>
        <w:rPr>
          <w:rFonts w:ascii="Calibri" w:cs="Calibri" w:eastAsia="Calibri" w:hAnsi="Calibri"/>
          <w:sz w:val="22"/>
          <w:szCs w:val="22"/>
        </w:rPr>
        <w:t xml:space="preserve">Negotiations are not a single chain — they are a swap meet. If you cannot get everything, here is what to trade for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If Chasen Refuses…</w:t>
            </w:r>
          </w:p>
        </w:tc>
        <w:tc>
          <w:tcPr>
            <w:tcW w:type="dxa" w:w="4680"/>
            <w:tcBorders>
              <w:top w:val="single" w:color="BFBFBF" w:sz="4"/>
              <w:left w:val="single" w:color="BFBFBF" w:sz="4"/>
              <w:bottom w:val="single" w:color="BFBFBF" w:sz="4"/>
              <w:right w:val="single" w:color="BFBFBF" w:sz="4"/>
            </w:tcBorders>
            <w:shd w:fill="FFF4E0"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Trade For…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Stay-On Bonus entirely killed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Extra month of severance (+1) OR Annual Bonus Minimum bumped to 75%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 Minimum killed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Bigger Stay-On ($50K) AND semi-annual payment locked in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Missed-payroll trigger softened (&gt;14 or &gt;30 days grace period)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Accept the softer trigger; do not concede the other two</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14-day severance lump killed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First 3 months lump within 14 days; remainder in installments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5-month severance refused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Hold at 4 months; ensure Protections triggers are intact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Title "Acting COO" offered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val="false"/>
                <w:iCs w:val="false"/>
                <w:sz w:val="21"/>
                <w:szCs w:val="21"/>
              </w:rPr>
              <w:t xml:space="preserve">Walk. Acting title is structurally worse than SVP for career.</w:t>
            </w:r>
          </w:p>
        </w:tc>
      </w:tr>
    </w:tbl>
    <w:p>
      <w:pPr>
        <w:pStyle w:val="Heading1"/>
        <w:spacing w:after="180" w:before="360"/>
      </w:pPr>
      <w:r>
        <w:rPr>
          <w:rFonts w:ascii="Calibri" w:cs="Calibri" w:eastAsia="Calibri" w:hAnsi="Calibri"/>
          <w:b/>
          <w:bCs/>
          <w:sz w:val="32"/>
          <w:szCs w:val="32"/>
        </w:rPr>
        <w:t xml:space="preserve">What Changes vs. What Does Not</w:t>
      </w:r>
    </w:p>
    <w:p>
      <w:pPr>
        <w:pStyle w:val="Heading2"/>
        <w:spacing w:after="140" w:before="280"/>
      </w:pPr>
      <w:r>
        <w:rPr>
          <w:rFonts w:ascii="Calibri" w:cs="Calibri" w:eastAsia="Calibri" w:hAnsi="Calibri"/>
          <w:b/>
          <w:bCs/>
          <w:sz w:val="26"/>
          <w:szCs w:val="26"/>
        </w:rPr>
        <w:t xml:space="preserve">Does not change</w:t>
      </w:r>
    </w:p>
    <w:p>
      <w:pPr>
        <w:pStyle w:val="ListParagraph"/>
        <w:numPr>
          <w:ilvl w:val="0"/>
          <w:numId w:val="2"/>
        </w:numPr>
        <w:spacing w:after="40" w:before="40" w:line="300"/>
      </w:pPr>
      <w:r>
        <w:rPr>
          <w:rFonts w:ascii="Calibri" w:cs="Calibri" w:eastAsia="Calibri" w:hAnsi="Calibri"/>
          <w:sz w:val="22"/>
          <w:szCs w:val="22"/>
        </w:rPr>
        <w:t xml:space="preserve">Existing Class E Common Unit grant (180 units, October 8, 2025)</w:t>
      </w:r>
    </w:p>
    <w:p>
      <w:pPr>
        <w:pStyle w:val="ListParagraph"/>
        <w:numPr>
          <w:ilvl w:val="0"/>
          <w:numId w:val="2"/>
        </w:numPr>
        <w:spacing w:after="40" w:before="40" w:line="300"/>
      </w:pPr>
      <w:r>
        <w:rPr>
          <w:rFonts w:ascii="Calibri" w:cs="Calibri" w:eastAsia="Calibri" w:hAnsi="Calibri"/>
          <w:sz w:val="22"/>
          <w:szCs w:val="22"/>
        </w:rPr>
        <w:t xml:space="preserve">Existing MIP Designated Percentage (2.25%, October 8, 2025)</w:t>
      </w:r>
    </w:p>
    <w:p>
      <w:pPr>
        <w:pStyle w:val="ListParagraph"/>
        <w:numPr>
          <w:ilvl w:val="0"/>
          <w:numId w:val="2"/>
        </w:numPr>
        <w:spacing w:after="40" w:before="40" w:line="300"/>
      </w:pPr>
      <w:r>
        <w:rPr>
          <w:rFonts w:ascii="Calibri" w:cs="Calibri" w:eastAsia="Calibri" w:hAnsi="Calibri"/>
          <w:sz w:val="22"/>
          <w:szCs w:val="22"/>
        </w:rPr>
        <w:t xml:space="preserve">Any provisions of the October 8, 2025 Class Parent Holdco agreements</w:t>
      </w:r>
    </w:p>
    <w:p>
      <w:pPr>
        <w:pStyle w:val="ListParagraph"/>
        <w:numPr>
          <w:ilvl w:val="0"/>
          <w:numId w:val="2"/>
        </w:numPr>
        <w:spacing w:after="40" w:before="40" w:line="300"/>
      </w:pPr>
      <w:r>
        <w:rPr>
          <w:rFonts w:ascii="Calibri" w:cs="Calibri" w:eastAsia="Calibri" w:hAnsi="Calibri"/>
          <w:sz w:val="22"/>
          <w:szCs w:val="22"/>
        </w:rPr>
        <w:t xml:space="preserve">Vesting schedules on existing equity</w:t>
      </w:r>
    </w:p>
    <w:p>
      <w:pPr>
        <w:pStyle w:val="Heading2"/>
        <w:spacing w:after="140" w:before="280"/>
      </w:pPr>
      <w:r>
        <w:rPr>
          <w:rFonts w:ascii="Calibri" w:cs="Calibri" w:eastAsia="Calibri" w:hAnsi="Calibri"/>
          <w:b/>
          <w:bCs/>
          <w:sz w:val="26"/>
          <w:szCs w:val="26"/>
        </w:rPr>
        <w:t xml:space="preserve">Does change</w:t>
      </w:r>
    </w:p>
    <w:p>
      <w:pPr>
        <w:pStyle w:val="ListParagraph"/>
        <w:numPr>
          <w:ilvl w:val="0"/>
          <w:numId w:val="2"/>
        </w:numPr>
        <w:spacing w:after="40" w:before="40" w:line="300"/>
      </w:pPr>
      <w:r>
        <w:rPr>
          <w:rFonts w:ascii="Calibri" w:cs="Calibri" w:eastAsia="Calibri" w:hAnsi="Calibri"/>
          <w:sz w:val="22"/>
          <w:szCs w:val="22"/>
        </w:rPr>
        <w:t xml:space="preserve">Title and reporting line</w:t>
      </w:r>
    </w:p>
    <w:p>
      <w:pPr>
        <w:pStyle w:val="ListParagraph"/>
        <w:numPr>
          <w:ilvl w:val="0"/>
          <w:numId w:val="2"/>
        </w:numPr>
        <w:spacing w:after="40" w:before="40" w:line="300"/>
      </w:pPr>
      <w:r>
        <w:rPr>
          <w:rFonts w:ascii="Calibri" w:cs="Calibri" w:eastAsia="Calibri" w:hAnsi="Calibri"/>
          <w:sz w:val="22"/>
          <w:szCs w:val="22"/>
        </w:rPr>
        <w:t xml:space="preserve">Base Salary</w:t>
      </w:r>
    </w:p>
    <w:p>
      <w:pPr>
        <w:pStyle w:val="ListParagraph"/>
        <w:numPr>
          <w:ilvl w:val="0"/>
          <w:numId w:val="2"/>
        </w:numPr>
        <w:spacing w:after="40" w:before="40" w:line="300"/>
      </w:pPr>
      <w:r>
        <w:rPr>
          <w:rFonts w:ascii="Calibri" w:cs="Calibri" w:eastAsia="Calibri" w:hAnsi="Calibri"/>
          <w:sz w:val="22"/>
          <w:szCs w:val="22"/>
        </w:rPr>
        <w:t xml:space="preserve">Annual Bonus structure (adds 50% Minimum, shifts to semi-annual payment)</w:t>
      </w:r>
    </w:p>
    <w:p>
      <w:pPr>
        <w:pStyle w:val="ListParagraph"/>
        <w:numPr>
          <w:ilvl w:val="0"/>
          <w:numId w:val="2"/>
        </w:numPr>
        <w:spacing w:after="40" w:before="40" w:line="300"/>
      </w:pPr>
      <w:r>
        <w:rPr>
          <w:rFonts w:ascii="Calibri" w:cs="Calibri" w:eastAsia="Calibri" w:hAnsi="Calibri"/>
          <w:sz w:val="22"/>
          <w:szCs w:val="22"/>
        </w:rPr>
        <w:t xml:space="preserve">One-time bonus structure (adds Stay-On Bonus, adds Company Performance Bonus)</w:t>
      </w:r>
    </w:p>
    <w:p>
      <w:pPr>
        <w:pStyle w:val="ListParagraph"/>
        <w:numPr>
          <w:ilvl w:val="0"/>
          <w:numId w:val="2"/>
        </w:numPr>
        <w:spacing w:after="40" w:before="40" w:line="300"/>
      </w:pPr>
      <w:r>
        <w:rPr>
          <w:rFonts w:ascii="Calibri" w:cs="Calibri" w:eastAsia="Calibri" w:hAnsi="Calibri"/>
          <w:sz w:val="22"/>
          <w:szCs w:val="22"/>
        </w:rPr>
        <w:t xml:space="preserve">Severance structure (length, payment timing, three named-event Protections)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2026-05-21T22:55:17.963Z</dcterms:created>
  <dcterms:modified xsi:type="dcterms:W3CDTF">2026-05-21T22:55:17.966Z</dcterms:modified>
</cp:coreProperties>
</file>

<file path=docProps/custom.xml><?xml version="1.0" encoding="utf-8"?>
<Properties xmlns="http://schemas.openxmlformats.org/officeDocument/2006/custom-properties" xmlns:vt="http://schemas.openxmlformats.org/officeDocument/2006/docPropsVTypes"/>
</file>