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pacing w:val="30"/>
          <w:sz w:val="32"/>
          <w:szCs w:val="32"/>
        </w:rPr>
        <w:t xml:space="preserve">COO COMPENSATION — PROPOSED TERMS</w:t>
      </w:r>
    </w:p>
    <w:p>
      <w:pPr>
        <w:spacing w:after="40" w:before="0"/>
        <w:jc w:val="center"/>
      </w:pPr>
      <w:r>
        <w:rPr>
          <w:rFonts w:ascii="Calibri" w:cs="Calibri" w:eastAsia="Calibri" w:hAnsi="Calibri"/>
          <w:b/>
          <w:bCs/>
          <w:sz w:val="24"/>
          <w:szCs w:val="24"/>
        </w:rPr>
        <w:t xml:space="preserve">Russell Teter</w:t>
      </w:r>
    </w:p>
    <w:p>
      <w:pPr>
        <w:spacing w:after="360" w:before="0"/>
        <w:jc w:val="center"/>
      </w:pPr>
      <w:r>
        <w:rPr>
          <w:rFonts w:ascii="Calibri" w:cs="Calibri" w:eastAsia="Calibri" w:hAnsi="Calibri"/>
          <w:i/>
          <w:iCs/>
          <w:color w:val="666666"/>
          <w:sz w:val="22"/>
          <w:szCs w:val="22"/>
        </w:rPr>
        <w:t xml:space="preserve">May 22, 2026</w:t>
      </w:r>
    </w:p>
    <w:p>
      <w:pPr>
        <w:spacing w:after="80" w:before="80" w:line="300"/>
      </w:pPr>
      <w:r>
        <w:rPr>
          <w:rFonts w:ascii="Calibri" w:cs="Calibri" w:eastAsia="Calibri" w:hAnsi="Calibri"/>
          <w:sz w:val="22"/>
          <w:szCs w:val="22"/>
        </w:rPr>
        <w:t xml:space="preserve">This term sheet specifies the compensation package required for me to assume the COO role at Class Technologies. Terms supersede or augment the existing 1/16/2025 Employee Change Form where they conflict. The October 8, 2025 Class Parent Holdco grants (Class E Common Units and MIP) are not modified by this proposal.</w:t>
      </w:r>
    </w:p>
    <w:p>
      <w:pPr>
        <w:pBdr>
          <w:bottom w:val="single" w:color="1F3864" w:sz="6" w:space="4"/>
        </w:pBdr>
        <w:spacing w:after="160" w:before="320" w:line="300"/>
      </w:pPr>
      <w:r>
        <w:rPr>
          <w:rFonts w:ascii="Calibri" w:cs="Calibri" w:eastAsia="Calibri" w:hAnsi="Calibri"/>
          <w:b/>
          <w:bCs/>
          <w:color w:val="1F3864"/>
          <w:spacing w:val="20"/>
          <w:sz w:val="22"/>
          <w:szCs w:val="22"/>
        </w:rPr>
        <w:t xml:space="preserve">ROLE</w:t>
      </w:r>
    </w:p>
    <w:p>
      <w:pPr>
        <w:tabs>
          <w:tab w:val="left" w:pos="3600"/>
        </w:tabs>
        <w:spacing w:after="60" w:before="60" w:line="300"/>
      </w:pPr>
      <w:r>
        <w:rPr>
          <w:rFonts w:ascii="Calibri" w:cs="Calibri" w:eastAsia="Calibri" w:hAnsi="Calibri"/>
          <w:b/>
          <w:bCs/>
          <w:sz w:val="22"/>
          <w:szCs w:val="22"/>
        </w:rPr>
        <w:t xml:space="preserve">Title</w:t>
      </w:r>
      <w:r>
        <w:t xml:space="preserve">	</w:t>
      </w:r>
      <w:r>
        <w:rPr>
          <w:rFonts w:ascii="Calibri" w:cs="Calibri" w:eastAsia="Calibri" w:hAnsi="Calibri"/>
          <w:sz w:val="22"/>
          <w:szCs w:val="22"/>
        </w:rPr>
        <w:t xml:space="preserve">Chief Operating Officer</w:t>
      </w:r>
    </w:p>
    <w:p>
      <w:pPr>
        <w:tabs>
          <w:tab w:val="left" w:pos="3600"/>
        </w:tabs>
        <w:spacing w:after="60" w:before="60" w:line="300"/>
      </w:pPr>
      <w:r>
        <w:rPr>
          <w:rFonts w:ascii="Calibri" w:cs="Calibri" w:eastAsia="Calibri" w:hAnsi="Calibri"/>
          <w:b/>
          <w:bCs/>
          <w:sz w:val="22"/>
          <w:szCs w:val="22"/>
        </w:rPr>
        <w:t xml:space="preserve">Reporting To</w:t>
      </w:r>
      <w:r>
        <w:t xml:space="preserve">	</w:t>
      </w:r>
      <w:r>
        <w:rPr>
          <w:rFonts w:ascii="Calibri" w:cs="Calibri" w:eastAsia="Calibri" w:hAnsi="Calibri"/>
          <w:sz w:val="22"/>
          <w:szCs w:val="22"/>
        </w:rPr>
        <w:t xml:space="preserve">Chief Executive Officer and Board</w:t>
      </w:r>
    </w:p>
    <w:p>
      <w:pPr>
        <w:pBdr>
          <w:bottom w:val="single" w:color="1F3864" w:sz="6" w:space="4"/>
        </w:pBdr>
        <w:spacing w:after="160" w:before="320" w:line="300"/>
      </w:pPr>
      <w:r>
        <w:rPr>
          <w:rFonts w:ascii="Calibri" w:cs="Calibri" w:eastAsia="Calibri" w:hAnsi="Calibri"/>
          <w:b/>
          <w:bCs/>
          <w:color w:val="1F3864"/>
          <w:spacing w:val="20"/>
          <w:sz w:val="22"/>
          <w:szCs w:val="22"/>
        </w:rPr>
        <w:t xml:space="preserve">CASH COMPENSATION</w:t>
      </w:r>
    </w:p>
    <w:p>
      <w:pPr>
        <w:tabs>
          <w:tab w:val="left" w:pos="3600"/>
        </w:tabs>
        <w:spacing w:after="60" w:before="60" w:line="300"/>
      </w:pPr>
      <w:r>
        <w:rPr>
          <w:rFonts w:ascii="Calibri" w:cs="Calibri" w:eastAsia="Calibri" w:hAnsi="Calibri"/>
          <w:b/>
          <w:bCs/>
          <w:sz w:val="22"/>
          <w:szCs w:val="22"/>
        </w:rPr>
        <w:t xml:space="preserve">Base Salary</w:t>
      </w:r>
      <w:r>
        <w:t xml:space="preserve">	</w:t>
      </w:r>
      <w:r>
        <w:rPr>
          <w:rFonts w:ascii="Calibri" w:cs="Calibri" w:eastAsia="Calibri" w:hAnsi="Calibri"/>
          <w:sz w:val="22"/>
          <w:szCs w:val="22"/>
        </w:rPr>
        <w:t xml:space="preserve">$280,000 annually (current: $225,000)</w:t>
      </w:r>
    </w:p>
    <w:p>
      <w:pPr>
        <w:tabs>
          <w:tab w:val="left" w:pos="3600"/>
        </w:tabs>
        <w:spacing w:after="60" w:before="60" w:line="300"/>
      </w:pPr>
      <w:r>
        <w:rPr>
          <w:rFonts w:ascii="Calibri" w:cs="Calibri" w:eastAsia="Calibri" w:hAnsi="Calibri"/>
          <w:b/>
          <w:bCs/>
          <w:sz w:val="22"/>
          <w:szCs w:val="22"/>
        </w:rPr>
        <w:t xml:space="preserve">Annual Bonus Target</w:t>
      </w:r>
      <w:r>
        <w:t xml:space="preserve">	</w:t>
      </w:r>
      <w:r>
        <w:rPr>
          <w:rFonts w:ascii="Calibri" w:cs="Calibri" w:eastAsia="Calibri" w:hAnsi="Calibri"/>
          <w:sz w:val="22"/>
          <w:szCs w:val="22"/>
        </w:rPr>
        <w:t xml:space="preserve">$100,000 (unchanged)</w:t>
      </w:r>
    </w:p>
    <w:p>
      <w:pPr>
        <w:tabs>
          <w:tab w:val="left" w:pos="3600"/>
        </w:tabs>
        <w:spacing w:after="60" w:before="60" w:line="300"/>
      </w:pPr>
      <w:r>
        <w:rPr>
          <w:rFonts w:ascii="Calibri" w:cs="Calibri" w:eastAsia="Calibri" w:hAnsi="Calibri"/>
          <w:b/>
          <w:bCs/>
          <w:sz w:val="22"/>
          <w:szCs w:val="22"/>
        </w:rPr>
        <w:t xml:space="preserve">Annual Bonus Minimum</w:t>
      </w:r>
      <w:r>
        <w:t xml:space="preserve">	</w:t>
      </w:r>
      <w:r>
        <w:rPr>
          <w:rFonts w:ascii="Calibri" w:cs="Calibri" w:eastAsia="Calibri" w:hAnsi="Calibri"/>
          <w:sz w:val="22"/>
          <w:szCs w:val="22"/>
        </w:rPr>
        <w:t xml:space="preserve">50% of target — i.e., $50,000 guaranteed*</w:t>
      </w:r>
    </w:p>
    <w:p>
      <w:pPr>
        <w:tabs>
          <w:tab w:val="left" w:pos="3600"/>
        </w:tabs>
        <w:spacing w:after="60" w:before="60" w:line="300"/>
      </w:pPr>
      <w:r>
        <w:rPr>
          <w:rFonts w:ascii="Calibri" w:cs="Calibri" w:eastAsia="Calibri" w:hAnsi="Calibri"/>
          <w:b/>
          <w:bCs/>
          <w:sz w:val="22"/>
          <w:szCs w:val="22"/>
        </w:rPr>
        <w:t xml:space="preserve">Payment Cadence</w:t>
      </w:r>
      <w:r>
        <w:t xml:space="preserve">	</w:t>
      </w:r>
      <w:r>
        <w:rPr>
          <w:rFonts w:ascii="Calibri" w:cs="Calibri" w:eastAsia="Calibri" w:hAnsi="Calibri"/>
          <w:sz w:val="22"/>
          <w:szCs w:val="22"/>
        </w:rPr>
        <w:t xml:space="preserve">Semi-annual (1H and 2H of each calendar year)</w:t>
      </w:r>
    </w:p>
    <w:p>
      <w:pPr>
        <w:pBdr>
          <w:bottom w:val="single" w:color="1F3864" w:sz="6" w:space="4"/>
        </w:pBdr>
        <w:spacing w:after="160" w:before="320" w:line="300"/>
      </w:pPr>
      <w:r>
        <w:rPr>
          <w:rFonts w:ascii="Calibri" w:cs="Calibri" w:eastAsia="Calibri" w:hAnsi="Calibri"/>
          <w:b/>
          <w:bCs/>
          <w:color w:val="1F3864"/>
          <w:spacing w:val="20"/>
          <w:sz w:val="22"/>
          <w:szCs w:val="22"/>
        </w:rPr>
        <w:t xml:space="preserve">ONE-TIME BONUSES</w:t>
      </w:r>
    </w:p>
    <w:p>
      <w:pPr>
        <w:tabs>
          <w:tab w:val="left" w:pos="3600"/>
        </w:tabs>
        <w:spacing w:after="60" w:before="60" w:line="300"/>
      </w:pPr>
      <w:r>
        <w:rPr>
          <w:rFonts w:ascii="Calibri" w:cs="Calibri" w:eastAsia="Calibri" w:hAnsi="Calibri"/>
          <w:b/>
          <w:bCs/>
          <w:sz w:val="22"/>
          <w:szCs w:val="22"/>
        </w:rPr>
        <w:t xml:space="preserve">Stay-On Bonus</w:t>
      </w:r>
      <w:r>
        <w:t xml:space="preserve">	</w:t>
      </w:r>
      <w:r>
        <w:rPr>
          <w:rFonts w:ascii="Calibri" w:cs="Calibri" w:eastAsia="Calibri" w:hAnsi="Calibri"/>
          <w:sz w:val="22"/>
          <w:szCs w:val="22"/>
        </w:rPr>
        <w:t xml:space="preserve">$25,000 paid on formal start date*</w:t>
      </w:r>
    </w:p>
    <w:p>
      <w:pPr>
        <w:tabs>
          <w:tab w:val="left" w:pos="3600"/>
        </w:tabs>
        <w:spacing w:after="0" w:before="60" w:line="300"/>
      </w:pPr>
      <w:r>
        <w:rPr>
          <w:rFonts w:ascii="Calibri" w:cs="Calibri" w:eastAsia="Calibri" w:hAnsi="Calibri"/>
          <w:b/>
          <w:bCs/>
          <w:sz w:val="22"/>
          <w:szCs w:val="22"/>
        </w:rPr>
        <w:t xml:space="preserve">Company Performance Bonus</w:t>
      </w:r>
      <w:r>
        <w:t xml:space="preserve">	</w:t>
      </w:r>
      <w:r>
        <w:rPr>
          <w:rFonts w:ascii="Calibri" w:cs="Calibri" w:eastAsia="Calibri" w:hAnsi="Calibri"/>
          <w:sz w:val="22"/>
          <w:szCs w:val="22"/>
        </w:rPr>
        <w:t xml:space="preserve">$50,000 paid the first time Class achieves</w:t>
      </w:r>
    </w:p>
    <w:p>
      <w:pPr>
        <w:tabs>
          <w:tab w:val="left" w:pos="3600"/>
        </w:tabs>
        <w:spacing w:after="0" w:before="0" w:line="300"/>
        <w:ind w:left="3600"/>
      </w:pPr>
      <w:r>
        <w:rPr>
          <w:rFonts w:ascii="Calibri" w:cs="Calibri" w:eastAsia="Calibri" w:hAnsi="Calibri"/>
          <w:sz w:val="22"/>
          <w:szCs w:val="22"/>
        </w:rPr>
        <w:t xml:space="preserve">two consecutive fiscal quarters of (i) EBITDA</w:t>
      </w:r>
    </w:p>
    <w:p>
      <w:pPr>
        <w:tabs>
          <w:tab w:val="left" w:pos="3600"/>
        </w:tabs>
        <w:spacing w:after="60" w:before="0" w:line="300"/>
        <w:ind w:left="3600"/>
      </w:pPr>
      <w:r>
        <w:rPr>
          <w:rFonts w:ascii="Calibri" w:cs="Calibri" w:eastAsia="Calibri" w:hAnsi="Calibri"/>
          <w:sz w:val="22"/>
          <w:szCs w:val="22"/>
        </w:rPr>
        <w:t xml:space="preserve">positive AND (ii) operating cash flow positive</w:t>
      </w:r>
    </w:p>
    <w:p>
      <w:pPr>
        <w:spacing w:after="60" w:before="60" w:line="280"/>
        <w:ind w:left="360"/>
      </w:pPr>
      <w:r>
        <w:rPr>
          <w:rFonts w:ascii="Calibri" w:cs="Calibri" w:eastAsia="Calibri" w:hAnsi="Calibri"/>
          <w:i/>
          <w:iCs/>
          <w:color w:val="555555"/>
          <w:sz w:val="20"/>
          <w:szCs w:val="20"/>
        </w:rPr>
        <w:t xml:space="preserve">* The Annual Bonus Minimum and the Stay-On Bonus are alternative protections. I am proposing one of the two — not both. Either resolves the same concern: the cash-flow gap created when the variable bonus structure shifted from quarterly payment to a single annual payment in February/March 2027.</w:t>
      </w:r>
    </w:p>
    <w:p>
      <w:pPr>
        <w:pBdr>
          <w:bottom w:val="single" w:color="1F3864" w:sz="6" w:space="4"/>
        </w:pBdr>
        <w:spacing w:after="160" w:before="320" w:line="300"/>
      </w:pPr>
      <w:r>
        <w:rPr>
          <w:rFonts w:ascii="Calibri" w:cs="Calibri" w:eastAsia="Calibri" w:hAnsi="Calibri"/>
          <w:b/>
          <w:bCs/>
          <w:color w:val="1F3864"/>
          <w:spacing w:val="20"/>
          <w:sz w:val="22"/>
          <w:szCs w:val="22"/>
        </w:rPr>
        <w:t xml:space="preserve">SEVERANCE</w:t>
      </w:r>
    </w:p>
    <w:p>
      <w:pPr>
        <w:tabs>
          <w:tab w:val="left" w:pos="3600"/>
        </w:tabs>
        <w:spacing w:after="60" w:before="60" w:line="300"/>
      </w:pPr>
      <w:r>
        <w:rPr>
          <w:rFonts w:ascii="Calibri" w:cs="Calibri" w:eastAsia="Calibri" w:hAnsi="Calibri"/>
          <w:b/>
          <w:bCs/>
          <w:sz w:val="22"/>
          <w:szCs w:val="22"/>
        </w:rPr>
        <w:t xml:space="preserve">Amount</w:t>
      </w:r>
      <w:r>
        <w:t xml:space="preserve">	</w:t>
      </w:r>
      <w:r>
        <w:rPr>
          <w:rFonts w:ascii="Calibri" w:cs="Calibri" w:eastAsia="Calibri" w:hAnsi="Calibri"/>
          <w:sz w:val="22"/>
          <w:szCs w:val="22"/>
        </w:rPr>
        <w:t xml:space="preserve">5 months Base Salary + pro-rata variable</w:t>
      </w:r>
    </w:p>
    <w:p>
      <w:pPr>
        <w:tabs>
          <w:tab w:val="left" w:pos="3600"/>
        </w:tabs>
        <w:spacing w:after="60" w:before="60" w:line="300"/>
      </w:pPr>
      <w:r>
        <w:rPr>
          <w:rFonts w:ascii="Calibri" w:cs="Calibri" w:eastAsia="Calibri" w:hAnsi="Calibri"/>
          <w:b/>
          <w:bCs/>
          <w:sz w:val="22"/>
          <w:szCs w:val="22"/>
        </w:rPr>
        <w:t xml:space="preserve">Payment Timing</w:t>
      </w:r>
      <w:r>
        <w:t xml:space="preserve">	</w:t>
      </w:r>
      <w:r>
        <w:rPr>
          <w:rFonts w:ascii="Calibri" w:cs="Calibri" w:eastAsia="Calibri" w:hAnsi="Calibri"/>
          <w:sz w:val="22"/>
          <w:szCs w:val="22"/>
        </w:rPr>
        <w:t xml:space="preserve">Paid in full within 14 days of termination</w:t>
      </w:r>
    </w:p>
    <w:p>
      <w:pPr>
        <w:tabs>
          <w:tab w:val="left" w:pos="3600"/>
        </w:tabs>
        <w:spacing w:after="0" w:before="60" w:line="300"/>
      </w:pPr>
      <w:r>
        <w:rPr>
          <w:rFonts w:ascii="Calibri" w:cs="Calibri" w:eastAsia="Calibri" w:hAnsi="Calibri"/>
          <w:b/>
          <w:bCs/>
          <w:sz w:val="22"/>
          <w:szCs w:val="22"/>
        </w:rPr>
        <w:t xml:space="preserve">Protections</w:t>
      </w:r>
      <w:r>
        <w:t xml:space="preserve">	</w:t>
      </w:r>
      <w:r>
        <w:rPr>
          <w:rFonts w:ascii="Calibri" w:cs="Calibri" w:eastAsia="Calibri" w:hAnsi="Calibri"/>
          <w:sz w:val="22"/>
          <w:szCs w:val="22"/>
        </w:rPr>
        <w:t xml:space="preserve">Severance becomes immediately payable upon any of:</w:t>
      </w:r>
    </w:p>
    <w:p>
      <w:pPr>
        <w:tabs>
          <w:tab w:val="left" w:pos="3600"/>
        </w:tabs>
        <w:spacing w:after="0" w:before="0" w:line="300"/>
        <w:ind w:left="3600"/>
      </w:pPr>
      <w:r>
        <w:rPr>
          <w:rFonts w:ascii="Calibri" w:cs="Calibri" w:eastAsia="Calibri" w:hAnsi="Calibri"/>
          <w:sz w:val="22"/>
          <w:szCs w:val="22"/>
        </w:rPr>
        <w:t xml:space="preserve">  (1) Class announces a formal wind-down</w:t>
      </w:r>
    </w:p>
    <w:p>
      <w:pPr>
        <w:tabs>
          <w:tab w:val="left" w:pos="3600"/>
        </w:tabs>
        <w:spacing w:after="0" w:before="0" w:line="300"/>
        <w:ind w:left="3600"/>
      </w:pPr>
      <w:r>
        <w:rPr>
          <w:rFonts w:ascii="Calibri" w:cs="Calibri" w:eastAsia="Calibri" w:hAnsi="Calibri"/>
          <w:sz w:val="22"/>
          <w:szCs w:val="22"/>
        </w:rPr>
        <w:t xml:space="preserve">  (2) Class files for Ch. 7 or Ch. 11 bankruptcy</w:t>
      </w:r>
    </w:p>
    <w:p>
      <w:pPr>
        <w:tabs>
          <w:tab w:val="left" w:pos="3600"/>
        </w:tabs>
        <w:spacing w:after="60" w:before="0" w:line="300"/>
        <w:ind w:left="3600"/>
      </w:pPr>
      <w:r>
        <w:rPr>
          <w:rFonts w:ascii="Calibri" w:cs="Calibri" w:eastAsia="Calibri" w:hAnsi="Calibri"/>
          <w:sz w:val="22"/>
          <w:szCs w:val="22"/>
        </w:rPr>
        <w:t xml:space="preserve">  (3) Class fails to make a scheduled payroll</w:t>
      </w:r>
    </w:p>
    <w:p>
      <w:pPr>
        <w:spacing w:after="60" w:before="60" w:line="280"/>
        <w:ind w:left="360"/>
      </w:pPr>
      <w:r>
        <w:rPr>
          <w:rFonts w:ascii="Calibri" w:cs="Calibri" w:eastAsia="Calibri" w:hAnsi="Calibri"/>
          <w:i/>
          <w:iCs/>
          <w:color w:val="555555"/>
          <w:sz w:val="20"/>
          <w:szCs w:val="20"/>
        </w:rPr>
        <w:t xml:space="preserve">The Protections cost the Company nothing during normal operations. They trigger only on events that would signal the Company can no longer honor its original severance commitment. Without them, contractual severance in a failed-company scenario is functionally limited by §507(a)(4) and §503(c) of the U.S. Bankruptcy Code.</w:t>
      </w:r>
    </w:p>
    <w:p>
      <w:pPr>
        <w:pBdr>
          <w:bottom w:val="single" w:color="1F3864" w:sz="6" w:space="4"/>
        </w:pBdr>
        <w:spacing w:after="160" w:before="320" w:line="300"/>
      </w:pPr>
      <w:r>
        <w:rPr>
          <w:rFonts w:ascii="Calibri" w:cs="Calibri" w:eastAsia="Calibri" w:hAnsi="Calibri"/>
          <w:b/>
          <w:bCs/>
          <w:color w:val="1F3864"/>
          <w:spacing w:val="20"/>
          <w:sz w:val="22"/>
          <w:szCs w:val="22"/>
        </w:rPr>
        <w:t xml:space="preserve">EQUITY &amp; MIP — UNCHANGED</w:t>
      </w:r>
    </w:p>
    <w:p>
      <w:pPr>
        <w:spacing w:after="80" w:before="80" w:line="300"/>
      </w:pPr>
      <w:r>
        <w:rPr>
          <w:rFonts w:ascii="Calibri" w:cs="Calibri" w:eastAsia="Calibri" w:hAnsi="Calibri"/>
          <w:sz w:val="22"/>
          <w:szCs w:val="22"/>
        </w:rPr>
        <w:t xml:space="preserve">The 180 Class E Common Units and 2.25% MIP Designated Percentage granted under the October 8, 2025 Class Parent Holdco agreements remain in force exactly as written. No modification to vesting schedule, payout trigger, or any other term of those agreements is proposed.</w:t>
      </w:r>
    </w:p>
    <w:p>
      <w:pPr>
        <w:pBdr>
          <w:bottom w:val="single" w:color="1F3864" w:sz="6" w:space="4"/>
        </w:pBdr>
        <w:spacing w:after="160" w:before="320" w:line="300"/>
      </w:pPr>
      <w:r>
        <w:rPr>
          <w:rFonts w:ascii="Calibri" w:cs="Calibri" w:eastAsia="Calibri" w:hAnsi="Calibri"/>
          <w:b/>
          <w:bCs/>
          <w:color w:val="1F3864"/>
          <w:spacing w:val="20"/>
          <w:sz w:val="22"/>
          <w:szCs w:val="22"/>
        </w:rPr>
        <w:t xml:space="preserve">SUMMARY OF CHANGE</w:t>
      </w:r>
    </w:p>
    <w:p>
      <w:pPr>
        <w:spacing w:after="60" w:before="60" w:line="300"/>
      </w:pPr>
      <w:r>
        <w:rPr>
          <w:rFonts w:ascii="Calibri" w:cs="Calibri" w:eastAsia="Calibri" w:hAnsi="Calibri"/>
          <w:b/>
          <w:bCs/>
          <w:sz w:val="22"/>
          <w:szCs w:val="22"/>
        </w:rPr>
        <w:t xml:space="preserve">Does not change:  </w:t>
      </w:r>
      <w:r>
        <w:rPr>
          <w:rFonts w:ascii="Calibri" w:cs="Calibri" w:eastAsia="Calibri" w:hAnsi="Calibri"/>
          <w:sz w:val="22"/>
          <w:szCs w:val="22"/>
        </w:rPr>
        <w:t xml:space="preserve">Class E Common Units; MIP Designated Percentage; Newco agreement terms; vesting schedules on existing equity.</w:t>
      </w:r>
    </w:p>
    <w:p>
      <w:pPr>
        <w:spacing w:after="60" w:before="60" w:line="300"/>
      </w:pPr>
      <w:r>
        <w:rPr>
          <w:rFonts w:ascii="Calibri" w:cs="Calibri" w:eastAsia="Calibri" w:hAnsi="Calibri"/>
          <w:b/>
          <w:bCs/>
          <w:sz w:val="22"/>
          <w:szCs w:val="22"/>
        </w:rPr>
        <w:t xml:space="preserve">Does change:  </w:t>
      </w:r>
      <w:r>
        <w:rPr>
          <w:rFonts w:ascii="Calibri" w:cs="Calibri" w:eastAsia="Calibri" w:hAnsi="Calibri"/>
          <w:sz w:val="22"/>
          <w:szCs w:val="22"/>
        </w:rPr>
        <w:t xml:space="preserve">Title and reporting line; base salary; annual bonus minimum and payment cadence; adds Stay-On Bonus or Annual Bonus Minimum (one of two); adds Company Performance Bonus; severance length, payment timing, and Protections.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2026-05-22T20:03:40.684Z</dcterms:created>
  <dcterms:modified xsi:type="dcterms:W3CDTF">2026-05-22T20:03:40.699Z</dcterms:modified>
</cp:coreProperties>
</file>

<file path=docProps/custom.xml><?xml version="1.0" encoding="utf-8"?>
<Properties xmlns="http://schemas.openxmlformats.org/officeDocument/2006/custom-properties" xmlns:vt="http://schemas.openxmlformats.org/officeDocument/2006/docPropsVTypes"/>
</file>