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40"/>
          <w:szCs w:val="40"/>
        </w:rPr>
        <w:t xml:space="preserve">COO Compensation Proposal</w:t>
      </w:r>
    </w:p>
    <w:p>
      <w:pPr>
        <w:spacing w:after="60" w:before="0"/>
        <w:jc w:val="center"/>
      </w:pPr>
      <w:r>
        <w:rPr>
          <w:rFonts w:ascii="Calibri" w:cs="Calibri" w:eastAsia="Calibri" w:hAnsi="Calibri"/>
          <w:b/>
          <w:bCs/>
          <w:sz w:val="28"/>
          <w:szCs w:val="28"/>
        </w:rPr>
        <w:t xml:space="preserve">Russell Teter</w:t>
      </w:r>
    </w:p>
    <w:p>
      <w:pPr>
        <w:spacing w:after="360" w:before="0"/>
        <w:jc w:val="center"/>
      </w:pPr>
      <w:r>
        <w:rPr>
          <w:rFonts w:ascii="Calibri" w:cs="Calibri" w:eastAsia="Calibri" w:hAnsi="Calibri"/>
          <w:i/>
          <w:iCs/>
          <w:color w:val="666666"/>
          <w:sz w:val="22"/>
          <w:szCs w:val="22"/>
        </w:rPr>
        <w:t xml:space="preserve">Prepared May 22, 2026</w:t>
      </w:r>
    </w:p>
    <w:p>
      <w:pPr>
        <w:spacing w:after="80" w:before="80" w:line="300"/>
      </w:pPr>
      <w:r>
        <w:rPr>
          <w:rFonts w:ascii="Calibri" w:cs="Calibri" w:eastAsia="Calibri" w:hAnsi="Calibri"/>
          <w:sz w:val="22"/>
          <w:szCs w:val="22"/>
        </w:rPr>
        <w:t xml:space="preserve">This document captures the compensation package I am proposing to step into the COO role, as we discussed. The structure is summarized in the table below, followed by clarifying notes on the items that warrant additional context.</w:t>
      </w:r>
    </w:p>
    <w:p>
      <w:pPr>
        <w:pStyle w:val="Heading1"/>
        <w:spacing w:after="160" w:before="320"/>
      </w:pPr>
      <w:r>
        <w:rPr>
          <w:rFonts w:ascii="Calibri" w:cs="Calibri" w:eastAsia="Calibri" w:hAnsi="Calibri"/>
          <w:b/>
          <w:bCs/>
          <w:sz w:val="28"/>
          <w:szCs w:val="28"/>
        </w:rPr>
        <w:t xml:space="preserve">Proposed Compensation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Role &amp; Comp</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5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6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Title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SVP, Operations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Chief Operating Officer</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Base Salary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$225,000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$280,000</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20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Bonuses</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5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6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$100,000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$100,000</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Annual Bonus Minimum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50%</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Either/or with Stay-On Bonus*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Payment Timing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Annual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Semi-annual</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1H and 2H</w:t>
            </w:r>
          </w:p>
        </w:tc>
      </w:tr>
      <w:tr>
        <w:tc>
          <w:tcPr>
            <w:tcW w:type="dxa" w:w="20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One-Time Bonuses</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5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6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Stay-On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$25,000</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Upon formal start date. Either/or with Annual Bonus Minimum*</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Company Performance Bonus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$50,000</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Earned the first time Class achieves 2 consecutive quarters of EBITDA positive AND operating cash flow positive</w:t>
            </w:r>
          </w:p>
        </w:tc>
      </w:tr>
      <w:tr>
        <w:tc>
          <w:tcPr>
            <w:tcW w:type="dxa" w:w="20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Severance</w:t>
            </w:r>
          </w:p>
        </w:tc>
        <w:tc>
          <w:tcPr>
            <w:tcW w:type="dxa" w:w="22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Current</w:t>
            </w:r>
          </w:p>
        </w:tc>
        <w:tc>
          <w:tcPr>
            <w:tcW w:type="dxa" w:w="250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New</w:t>
            </w:r>
          </w:p>
        </w:tc>
        <w:tc>
          <w:tcPr>
            <w:tcW w:type="dxa" w:w="2660"/>
            <w:tcBorders>
              <w:top w:val="single" w:color="BFBFBF" w:sz="4"/>
              <w:left w:val="single" w:color="BFBFBF" w:sz="4"/>
              <w:bottom w:val="single" w:color="BFBFBF" w:sz="4"/>
              <w:right w:val="single" w:color="BFBFBF" w:sz="4"/>
            </w:tcBorders>
            <w:shd w:fill="DCE6F2" w:val="clear"/>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Notes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Amount</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4 months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5 months, base + pro-rata variable</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Payment Timing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Not specified</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Paid in full within 14 days</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bCs/>
                <w:i w:val="false"/>
                <w:iCs w:val="false"/>
                <w:sz w:val="21"/>
                <w:szCs w:val="21"/>
              </w:rPr>
              <w:t xml:space="preserve">Protections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val="false"/>
                <w:bCs w:val="false"/>
                <w:i w:val="false"/>
                <w:iCs w:val="false"/>
                <w:sz w:val="21"/>
                <w:szCs w:val="21"/>
              </w:rPr>
              <w:t xml:space="preserve">None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center"/>
            </w:pPr>
            <w:r>
              <w:rPr>
                <w:rFonts w:ascii="Calibri" w:cs="Calibri" w:eastAsia="Calibri" w:hAnsi="Calibri"/>
                <w:b/>
                <w:bCs/>
                <w:i w:val="false"/>
                <w:iCs w:val="false"/>
                <w:sz w:val="21"/>
                <w:szCs w:val="21"/>
              </w:rPr>
              <w:t xml:space="preserve">Immediately payable upon named events</w:t>
            </w:r>
          </w:p>
        </w:tc>
        <w:tc>
          <w:tcPr>
            <w:tcW w:type="dxa" w:w="2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40" w:line="280"/>
              <w:jc w:val="left"/>
            </w:pPr>
            <w:r>
              <w:rPr>
                <w:rFonts w:ascii="Calibri" w:cs="Calibri" w:eastAsia="Calibri" w:hAnsi="Calibri"/>
                <w:b w:val="false"/>
                <w:bCs w:val="false"/>
                <w:i/>
                <w:iCs/>
                <w:sz w:val="21"/>
                <w:szCs w:val="21"/>
              </w:rPr>
              <w:t xml:space="preserve">1 — Class announces formal wind-down
2 — Class files for bankruptcy
3 — Class misses payroll</w:t>
            </w:r>
          </w:p>
        </w:tc>
      </w:tr>
    </w:tbl>
    <w:p>
      <w:pPr>
        <w:pStyle w:val="Heading2"/>
        <w:spacing w:after="120" w:before="240"/>
      </w:pPr>
      <w:r>
        <w:rPr>
          <w:rFonts w:ascii="Calibri" w:cs="Calibri" w:eastAsia="Calibri" w:hAnsi="Calibri"/>
          <w:b/>
          <w:bCs/>
          <w:sz w:val="24"/>
          <w:szCs w:val="24"/>
        </w:rPr>
        <w:t xml:space="preserve">* Either/Or: Annual Bonus Minimum or Stay-On Bonus</w:t>
      </w:r>
    </w:p>
    <w:p>
      <w:pPr>
        <w:spacing w:after="80" w:before="80" w:line="300"/>
      </w:pPr>
      <w:r>
        <w:rPr>
          <w:rFonts w:ascii="Calibri" w:cs="Calibri" w:eastAsia="Calibri" w:hAnsi="Calibri"/>
          <w:sz w:val="22"/>
          <w:szCs w:val="22"/>
        </w:rPr>
        <w:t xml:space="preserve">The 50% Annual Bonus Minimum and the $25,000 Stay-On Bonus are alternative protections — not additive. I am proposing one of the two, not both. Either resolves what I am trying to protect against, which is the cash-flow gap created when the variable bonus structure shifted from quarterly payment to annual payment scheduled for February/March 2027.</w:t>
      </w:r>
    </w:p>
    <w:p>
      <w:pPr>
        <w:pStyle w:val="Heading2"/>
        <w:spacing w:after="120" w:before="240"/>
      </w:pPr>
      <w:r>
        <w:rPr>
          <w:rFonts w:ascii="Calibri" w:cs="Calibri" w:eastAsia="Calibri" w:hAnsi="Calibri"/>
          <w:b/>
          <w:bCs/>
          <w:sz w:val="24"/>
          <w:szCs w:val="24"/>
        </w:rPr>
        <w:t xml:space="preserve">Severance Protections — Three Named Events</w:t>
      </w:r>
    </w:p>
    <w:p>
      <w:pPr>
        <w:spacing w:after="80" w:before="80" w:line="300"/>
      </w:pPr>
      <w:r>
        <w:rPr>
          <w:rFonts w:ascii="Calibri" w:cs="Calibri" w:eastAsia="Calibri" w:hAnsi="Calibri"/>
          <w:sz w:val="22"/>
          <w:szCs w:val="22"/>
        </w:rPr>
        <w:t xml:space="preserve">If any of the three named events occur during my employment, the full severance becomes immediately payable as if I had been terminated by the Company without cause:</w:t>
      </w:r>
    </w:p>
    <w:p>
      <w:pPr>
        <w:pStyle w:val="ListParagraph"/>
        <w:numPr>
          <w:ilvl w:val="0"/>
          <w:numId w:val="2"/>
        </w:numPr>
        <w:spacing w:after="40" w:before="40" w:line="300"/>
      </w:pPr>
      <w:r>
        <w:rPr>
          <w:rFonts w:ascii="Calibri" w:cs="Calibri" w:eastAsia="Calibri" w:hAnsi="Calibri"/>
          <w:sz w:val="22"/>
          <w:szCs w:val="22"/>
        </w:rPr>
        <w:t xml:space="preserve">Class announces a formal wind-down, dissolution, or cessation of operations</w:t>
      </w:r>
    </w:p>
    <w:p>
      <w:pPr>
        <w:pStyle w:val="ListParagraph"/>
        <w:numPr>
          <w:ilvl w:val="0"/>
          <w:numId w:val="2"/>
        </w:numPr>
        <w:spacing w:after="40" w:before="40" w:line="300"/>
      </w:pPr>
      <w:r>
        <w:rPr>
          <w:rFonts w:ascii="Calibri" w:cs="Calibri" w:eastAsia="Calibri" w:hAnsi="Calibri"/>
          <w:sz w:val="22"/>
          <w:szCs w:val="22"/>
        </w:rPr>
        <w:t xml:space="preserve">Class files for protection under Chapter 7 or Chapter 11 of the U.S. Bankruptcy Code</w:t>
      </w:r>
    </w:p>
    <w:p>
      <w:pPr>
        <w:pStyle w:val="ListParagraph"/>
        <w:numPr>
          <w:ilvl w:val="0"/>
          <w:numId w:val="2"/>
        </w:numPr>
        <w:spacing w:after="40" w:before="40" w:line="300"/>
      </w:pPr>
      <w:r>
        <w:rPr>
          <w:rFonts w:ascii="Calibri" w:cs="Calibri" w:eastAsia="Calibri" w:hAnsi="Calibri"/>
          <w:sz w:val="22"/>
          <w:szCs w:val="22"/>
        </w:rPr>
        <w:t xml:space="preserve">Class fails to make a scheduled payroll payment</w:t>
      </w:r>
    </w:p>
    <w:p>
      <w:pPr>
        <w:spacing w:after="80" w:before="80" w:line="300"/>
      </w:pPr>
      <w:r>
        <w:rPr>
          <w:rFonts w:ascii="Calibri" w:cs="Calibri" w:eastAsia="Calibri" w:hAnsi="Calibri"/>
          <w:sz w:val="22"/>
          <w:szCs w:val="22"/>
        </w:rPr>
        <w:t xml:space="preserve">These Protections cost the Company nothing during normal operations. They trigger only on events that would signal the Company can no longer honor its original severance commitment. Without these Protections, contractual severance in a failed-company scenario typically becomes either a pre-petition unsecured claim subject to the §507(a)(4) wage-priority cap or a post-petition insider severance subject to §503(c) restrictions — recovery in either case is materially below the contractual amount.</w:t>
      </w:r>
    </w:p>
    <w:p>
      <w:pPr>
        <w:pStyle w:val="Heading2"/>
        <w:spacing w:after="120" w:before="240"/>
      </w:pPr>
      <w:r>
        <w:rPr>
          <w:rFonts w:ascii="Calibri" w:cs="Calibri" w:eastAsia="Calibri" w:hAnsi="Calibri"/>
          <w:b/>
          <w:bCs/>
          <w:sz w:val="24"/>
          <w:szCs w:val="24"/>
        </w:rPr>
        <w:t xml:space="preserve">Equity and MIP — No Change Proposed</w:t>
      </w:r>
    </w:p>
    <w:p>
      <w:pPr>
        <w:spacing w:after="80" w:before="80" w:line="300"/>
      </w:pPr>
      <w:r>
        <w:rPr>
          <w:rFonts w:ascii="Calibri" w:cs="Calibri" w:eastAsia="Calibri" w:hAnsi="Calibri"/>
          <w:sz w:val="22"/>
          <w:szCs w:val="22"/>
        </w:rPr>
        <w:t xml:space="preserve">The 180 Class E Common Units and 2.25% MIP Designated Percentage granted under the October 8, 2025 Class Parent Holdco agreements remain unchanged. No modification to vesting schedule, payout trigger, or any other term of those agreements is included in this proposal.</w:t>
      </w:r>
    </w:p>
    <w:p>
      <w:pPr>
        <w:pStyle w:val="Heading2"/>
        <w:spacing w:after="120" w:before="240"/>
      </w:pPr>
      <w:r>
        <w:rPr>
          <w:rFonts w:ascii="Calibri" w:cs="Calibri" w:eastAsia="Calibri" w:hAnsi="Calibri"/>
          <w:b/>
          <w:bCs/>
          <w:sz w:val="24"/>
          <w:szCs w:val="24"/>
        </w:rPr>
        <w:t xml:space="preserve">Summary of What Changes vs. What Does Not</w:t>
      </w:r>
    </w:p>
    <w:p>
      <w:pPr>
        <w:spacing w:after="80" w:before="80" w:line="300"/>
      </w:pPr>
      <w:r>
        <w:rPr>
          <w:rFonts w:ascii="Calibri" w:cs="Calibri" w:eastAsia="Calibri" w:hAnsi="Calibri"/>
          <w:b/>
          <w:bCs/>
          <w:sz w:val="22"/>
          <w:szCs w:val="22"/>
        </w:rPr>
        <w:t xml:space="preserve">Does not change: </w:t>
      </w:r>
      <w:r>
        <w:rPr>
          <w:rFonts w:ascii="Calibri" w:cs="Calibri" w:eastAsia="Calibri" w:hAnsi="Calibri"/>
          <w:sz w:val="22"/>
          <w:szCs w:val="22"/>
        </w:rPr>
        <w:t xml:space="preserve">Existing Class E Common Unit grant, existing MIP Designated Percentage, any provisions of the October 8, 2025 Class Parent Holdco agreements, and vesting schedules on existing equity.</w:t>
      </w:r>
    </w:p>
    <w:p>
      <w:pPr>
        <w:spacing w:after="80" w:before="80" w:line="300"/>
      </w:pPr>
      <w:r>
        <w:rPr>
          <w:rFonts w:ascii="Calibri" w:cs="Calibri" w:eastAsia="Calibri" w:hAnsi="Calibri"/>
          <w:b/>
          <w:bCs/>
          <w:sz w:val="22"/>
          <w:szCs w:val="22"/>
        </w:rPr>
        <w:t xml:space="preserve">Does change: </w:t>
      </w:r>
      <w:r>
        <w:rPr>
          <w:rFonts w:ascii="Calibri" w:cs="Calibri" w:eastAsia="Calibri" w:hAnsi="Calibri"/>
          <w:sz w:val="22"/>
          <w:szCs w:val="22"/>
        </w:rPr>
        <w:t xml:space="preserve">Title and reporting line; base salary; annual bonus structure (adds 50% minimum OR Stay-On Bonus, shifts to semi-annual payment); adds Company Performance Bonus; severance structure (length, payment timing, three named-event Protections).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2026-05-22T19:48:13.858Z</dcterms:created>
  <dcterms:modified xsi:type="dcterms:W3CDTF">2026-05-22T19:48:13.867Z</dcterms:modified>
</cp:coreProperties>
</file>

<file path=docProps/custom.xml><?xml version="1.0" encoding="utf-8"?>
<Properties xmlns="http://schemas.openxmlformats.org/officeDocument/2006/custom-properties" xmlns:vt="http://schemas.openxmlformats.org/officeDocument/2006/docPropsVTypes"/>
</file>