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AF02D" w14:textId="2F268072" w:rsidR="00604418" w:rsidRDefault="00C70D81">
      <w:r>
        <w:t xml:space="preserve">Module 5 challenge </w:t>
      </w:r>
    </w:p>
    <w:p w14:paraId="39A99EF1" w14:textId="77777777" w:rsidR="00C70D81" w:rsidRDefault="00C70D81"/>
    <w:p w14:paraId="1FDBD41A" w14:textId="77777777" w:rsidR="00C70D81" w:rsidRDefault="00C70D81"/>
    <w:p w14:paraId="06948C7E" w14:textId="77777777" w:rsidR="00C70D81" w:rsidRDefault="00C70D81" w:rsidP="00C70D81">
      <w:pPr>
        <w:autoSpaceDE w:val="0"/>
        <w:autoSpaceDN w:val="0"/>
        <w:adjustRightInd w:val="0"/>
        <w:rPr>
          <w:rFonts w:ascii="AppleSystemUIFont" w:hAnsi="AppleSystemUIFont" w:cs="AppleSystemUIFont"/>
          <w:sz w:val="26"/>
          <w:szCs w:val="26"/>
        </w:rPr>
      </w:pPr>
    </w:p>
    <w:p w14:paraId="0BDE6F3B" w14:textId="77777777" w:rsidR="00C70D81" w:rsidRDefault="00C70D81" w:rsidP="00C70D8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Analysis</w:t>
      </w:r>
    </w:p>
    <w:p w14:paraId="6F5DD969" w14:textId="77777777" w:rsidR="00C70D81" w:rsidRDefault="00C70D81" w:rsidP="00C70D81">
      <w:pPr>
        <w:autoSpaceDE w:val="0"/>
        <w:autoSpaceDN w:val="0"/>
        <w:adjustRightInd w:val="0"/>
        <w:rPr>
          <w:rFonts w:ascii="AppleSystemUIFont" w:hAnsi="AppleSystemUIFont" w:cs="AppleSystemUIFont"/>
          <w:sz w:val="26"/>
          <w:szCs w:val="26"/>
        </w:rPr>
      </w:pPr>
    </w:p>
    <w:p w14:paraId="7E6A8D13" w14:textId="77777777" w:rsidR="00C70D81" w:rsidRDefault="00C70D81" w:rsidP="00C70D8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-Strong and positively correlated (0.84), the relationship between mouse weight and tumor volume is between the two variables. This demonstrates that when the mouse weight increases, so does the tumor volume. </w:t>
      </w:r>
      <w:proofErr w:type="spellStart"/>
      <w:r>
        <w:rPr>
          <w:rFonts w:ascii="AppleSystemUIFont" w:hAnsi="AppleSystemUIFont" w:cs="AppleSystemUIFont"/>
          <w:sz w:val="26"/>
          <w:szCs w:val="26"/>
        </w:rPr>
        <w:t>Capomulin</w:t>
      </w:r>
      <w:proofErr w:type="spellEnd"/>
      <w:r>
        <w:rPr>
          <w:rFonts w:ascii="AppleSystemUIFont" w:hAnsi="AppleSystemUIFont" w:cs="AppleSystemUIFont"/>
          <w:sz w:val="26"/>
          <w:szCs w:val="26"/>
        </w:rPr>
        <w:t xml:space="preserve"> falls into this category; other drug regimens are not examined. </w:t>
      </w:r>
    </w:p>
    <w:p w14:paraId="58B2FC86" w14:textId="77777777" w:rsidR="00C70D81" w:rsidRDefault="00C70D81" w:rsidP="00C70D81">
      <w:pPr>
        <w:autoSpaceDE w:val="0"/>
        <w:autoSpaceDN w:val="0"/>
        <w:adjustRightInd w:val="0"/>
        <w:rPr>
          <w:rFonts w:ascii="AppleSystemUIFont" w:hAnsi="AppleSystemUIFont" w:cs="AppleSystemUIFont"/>
          <w:sz w:val="26"/>
          <w:szCs w:val="26"/>
        </w:rPr>
      </w:pPr>
    </w:p>
    <w:p w14:paraId="658E8CCD" w14:textId="77777777" w:rsidR="00C70D81" w:rsidRDefault="00C70D81" w:rsidP="00C70D8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relationship between the Timepoint and Tumor Volume is depicted by the line plot for </w:t>
      </w:r>
      <w:proofErr w:type="spellStart"/>
      <w:r>
        <w:rPr>
          <w:rFonts w:ascii="AppleSystemUIFont" w:hAnsi="AppleSystemUIFont" w:cs="AppleSystemUIFont"/>
          <w:sz w:val="26"/>
          <w:szCs w:val="26"/>
        </w:rPr>
        <w:t>capomulin</w:t>
      </w:r>
      <w:proofErr w:type="spellEnd"/>
      <w:r>
        <w:rPr>
          <w:rFonts w:ascii="AppleSystemUIFont" w:hAnsi="AppleSystemUIFont" w:cs="AppleSystemUIFont"/>
          <w:sz w:val="26"/>
          <w:szCs w:val="26"/>
        </w:rPr>
        <w:t xml:space="preserve">. There is a significant negative correlation (-0.74), indicating that the tumor volume decreases as the number of days </w:t>
      </w:r>
      <w:proofErr w:type="gramStart"/>
      <w:r>
        <w:rPr>
          <w:rFonts w:ascii="AppleSystemUIFont" w:hAnsi="AppleSystemUIFont" w:cs="AppleSystemUIFont"/>
          <w:sz w:val="26"/>
          <w:szCs w:val="26"/>
        </w:rPr>
        <w:t>rises.-</w:t>
      </w:r>
      <w:proofErr w:type="gramEnd"/>
    </w:p>
    <w:p w14:paraId="28BC726F" w14:textId="77777777" w:rsidR="00C70D81" w:rsidRDefault="00C70D81" w:rsidP="00C70D81">
      <w:pPr>
        <w:autoSpaceDE w:val="0"/>
        <w:autoSpaceDN w:val="0"/>
        <w:adjustRightInd w:val="0"/>
        <w:rPr>
          <w:rFonts w:ascii="AppleSystemUIFont" w:hAnsi="AppleSystemUIFont" w:cs="AppleSystemUIFont"/>
          <w:sz w:val="26"/>
          <w:szCs w:val="26"/>
        </w:rPr>
      </w:pPr>
    </w:p>
    <w:p w14:paraId="607EDD9F" w14:textId="77777777" w:rsidR="00C70D81" w:rsidRDefault="00C70D81" w:rsidP="00C70D8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-There are 31 probable outliers for </w:t>
      </w:r>
      <w:proofErr w:type="spellStart"/>
      <w:r>
        <w:rPr>
          <w:rFonts w:ascii="AppleSystemUIFont" w:hAnsi="AppleSystemUIFont" w:cs="AppleSystemUIFont"/>
          <w:sz w:val="26"/>
          <w:szCs w:val="26"/>
        </w:rPr>
        <w:t>Infubinol</w:t>
      </w:r>
      <w:proofErr w:type="spellEnd"/>
      <w:r>
        <w:rPr>
          <w:rFonts w:ascii="AppleSystemUIFont" w:hAnsi="AppleSystemUIFont" w:cs="AppleSystemUIFont"/>
          <w:sz w:val="26"/>
          <w:szCs w:val="26"/>
        </w:rPr>
        <w:t xml:space="preserve"> across the four drug regimens provided. The outliers are placed below the First Quartile, as shown by the boxplot.</w:t>
      </w:r>
    </w:p>
    <w:p w14:paraId="7E08F9AB" w14:textId="77777777" w:rsidR="00C70D81" w:rsidRDefault="00C70D81" w:rsidP="00C70D81">
      <w:pPr>
        <w:autoSpaceDE w:val="0"/>
        <w:autoSpaceDN w:val="0"/>
        <w:adjustRightInd w:val="0"/>
        <w:rPr>
          <w:rFonts w:ascii="AppleSystemUIFont" w:hAnsi="AppleSystemUIFont" w:cs="AppleSystemUIFont"/>
          <w:sz w:val="26"/>
          <w:szCs w:val="26"/>
        </w:rPr>
      </w:pPr>
    </w:p>
    <w:p w14:paraId="395F1E51" w14:textId="77777777" w:rsidR="00C70D81" w:rsidRDefault="00C70D81" w:rsidP="00C70D81">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Capomulin</w:t>
      </w:r>
      <w:proofErr w:type="spellEnd"/>
      <w:r>
        <w:rPr>
          <w:rFonts w:ascii="AppleSystemUIFont" w:hAnsi="AppleSystemUIFont" w:cs="AppleSystemUIFont"/>
          <w:sz w:val="26"/>
          <w:szCs w:val="26"/>
        </w:rPr>
        <w:t xml:space="preserve"> has the highest and </w:t>
      </w:r>
      <w:proofErr w:type="spellStart"/>
      <w:r>
        <w:rPr>
          <w:rFonts w:ascii="AppleSystemUIFont" w:hAnsi="AppleSystemUIFont" w:cs="AppleSystemUIFont"/>
          <w:sz w:val="26"/>
          <w:szCs w:val="26"/>
        </w:rPr>
        <w:t>Propriva</w:t>
      </w:r>
      <w:proofErr w:type="spellEnd"/>
      <w:r>
        <w:rPr>
          <w:rFonts w:ascii="AppleSystemUIFont" w:hAnsi="AppleSystemUIFont" w:cs="AppleSystemUIFont"/>
          <w:sz w:val="26"/>
          <w:szCs w:val="26"/>
        </w:rPr>
        <w:t xml:space="preserve"> has the lowest number of mice, as seen by the bar graph. Over the entire data set, the proportion of male and female mice is roughly the same. </w:t>
      </w:r>
    </w:p>
    <w:p w14:paraId="62CDB0EE" w14:textId="77777777" w:rsidR="00C70D81" w:rsidRDefault="00C70D81"/>
    <w:sectPr w:rsidR="00C7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81"/>
    <w:rsid w:val="000A5DE7"/>
    <w:rsid w:val="000E68F8"/>
    <w:rsid w:val="00604418"/>
    <w:rsid w:val="00C7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E457D"/>
  <w15:chartTrackingRefBased/>
  <w15:docId w15:val="{8CBE5A5F-9DD8-7949-8158-A88D61A9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khaev</dc:creator>
  <cp:keywords/>
  <dc:description/>
  <cp:lastModifiedBy>ramazan khaev</cp:lastModifiedBy>
  <cp:revision>1</cp:revision>
  <dcterms:created xsi:type="dcterms:W3CDTF">2023-04-20T19:17:00Z</dcterms:created>
  <dcterms:modified xsi:type="dcterms:W3CDTF">2023-04-20T19:18:00Z</dcterms:modified>
</cp:coreProperties>
</file>