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2467907"/>
    <w:bookmarkEnd w:id="0"/>
    <w:p w14:paraId="499DC790" w14:textId="24F9D27F" w:rsidR="002B05BF" w:rsidRPr="00434FAD" w:rsidRDefault="002B05BF" w:rsidP="00927A8E">
      <w:pPr>
        <w:spacing w:line="360" w:lineRule="auto"/>
        <w:jc w:val="center"/>
        <w:rPr>
          <w:b/>
          <w:sz w:val="28"/>
          <w:szCs w:val="28"/>
        </w:rPr>
      </w:pPr>
      <w:r w:rsidRPr="00EE3934">
        <w:rPr>
          <w:lang w:val="es-ES"/>
        </w:rPr>
        <w:fldChar w:fldCharType="begin"/>
      </w:r>
      <w:r w:rsidRPr="00434FAD">
        <w:instrText xml:space="preserve"> SEQ CHAPTER \h \r 1</w:instrText>
      </w:r>
      <w:r w:rsidRPr="00EE3934">
        <w:rPr>
          <w:lang w:val="es-ES"/>
        </w:rPr>
        <w:fldChar w:fldCharType="end"/>
      </w:r>
      <w:r w:rsidR="00434FAD" w:rsidRPr="00434FAD">
        <w:t xml:space="preserve"> </w:t>
      </w:r>
      <w:r w:rsidR="00444151">
        <w:rPr>
          <w:b/>
          <w:bCs/>
          <w:sz w:val="28"/>
          <w:szCs w:val="28"/>
        </w:rPr>
        <w:t xml:space="preserve">Commodity Price Prediction </w:t>
      </w:r>
      <w:r w:rsidR="00A306C6">
        <w:rPr>
          <w:b/>
          <w:bCs/>
          <w:sz w:val="28"/>
          <w:szCs w:val="28"/>
        </w:rPr>
        <w:t>with</w:t>
      </w:r>
      <w:r w:rsidR="00444151">
        <w:rPr>
          <w:b/>
          <w:bCs/>
          <w:sz w:val="28"/>
          <w:szCs w:val="28"/>
        </w:rPr>
        <w:t xml:space="preserve"> LSTM Recurrent Neural Network</w:t>
      </w:r>
    </w:p>
    <w:p w14:paraId="44FDB6D4" w14:textId="77777777" w:rsidR="00236E6D" w:rsidRPr="00434FAD" w:rsidRDefault="00236E6D" w:rsidP="00927A8E">
      <w:pPr>
        <w:spacing w:line="360" w:lineRule="auto"/>
        <w:jc w:val="center"/>
        <w:rPr>
          <w:sz w:val="36"/>
          <w:szCs w:val="36"/>
        </w:rPr>
      </w:pPr>
    </w:p>
    <w:p w14:paraId="0A7D75FE" w14:textId="77777777" w:rsidR="00236E6D" w:rsidRPr="00434FAD" w:rsidRDefault="00236E6D" w:rsidP="00927A8E">
      <w:pPr>
        <w:spacing w:line="360" w:lineRule="auto"/>
        <w:jc w:val="center"/>
        <w:rPr>
          <w:sz w:val="36"/>
          <w:szCs w:val="36"/>
        </w:rPr>
      </w:pPr>
    </w:p>
    <w:p w14:paraId="0A244A4C" w14:textId="77777777" w:rsidR="00236E6D" w:rsidRPr="00434FAD" w:rsidRDefault="00236E6D" w:rsidP="00927A8E">
      <w:pPr>
        <w:spacing w:line="360" w:lineRule="auto"/>
        <w:jc w:val="center"/>
        <w:rPr>
          <w:sz w:val="36"/>
          <w:szCs w:val="36"/>
        </w:rPr>
      </w:pPr>
    </w:p>
    <w:p w14:paraId="2D4301DA" w14:textId="77777777" w:rsidR="00236E6D" w:rsidRPr="00434FAD" w:rsidRDefault="002B05BF" w:rsidP="00927A8E">
      <w:pPr>
        <w:spacing w:line="360" w:lineRule="auto"/>
        <w:jc w:val="center"/>
        <w:rPr>
          <w:sz w:val="28"/>
          <w:szCs w:val="28"/>
        </w:rPr>
      </w:pPr>
      <w:r w:rsidRPr="00434FAD">
        <w:rPr>
          <w:sz w:val="28"/>
          <w:szCs w:val="28"/>
        </w:rPr>
        <w:tab/>
      </w:r>
    </w:p>
    <w:p w14:paraId="7EAAE388" w14:textId="77777777" w:rsidR="00680095" w:rsidRPr="00434FAD" w:rsidRDefault="00680095" w:rsidP="00927A8E">
      <w:pPr>
        <w:spacing w:line="360" w:lineRule="auto"/>
        <w:jc w:val="center"/>
        <w:rPr>
          <w:sz w:val="28"/>
          <w:szCs w:val="28"/>
        </w:rPr>
      </w:pPr>
    </w:p>
    <w:p w14:paraId="7CE7C25A" w14:textId="77777777" w:rsidR="00680095" w:rsidRPr="00434FAD" w:rsidRDefault="00680095" w:rsidP="00927A8E">
      <w:pPr>
        <w:spacing w:line="360" w:lineRule="auto"/>
        <w:jc w:val="center"/>
        <w:rPr>
          <w:sz w:val="36"/>
          <w:szCs w:val="36"/>
        </w:rPr>
      </w:pPr>
    </w:p>
    <w:p w14:paraId="6217F0E7" w14:textId="77777777" w:rsidR="00236E6D" w:rsidRPr="00434FAD" w:rsidRDefault="00236E6D" w:rsidP="00927A8E">
      <w:pPr>
        <w:spacing w:line="360" w:lineRule="auto"/>
        <w:jc w:val="center"/>
        <w:rPr>
          <w:sz w:val="36"/>
          <w:szCs w:val="36"/>
        </w:rPr>
      </w:pPr>
    </w:p>
    <w:p w14:paraId="4B81B1A6" w14:textId="77777777" w:rsidR="00236E6D" w:rsidRPr="00434FAD" w:rsidRDefault="00236E6D" w:rsidP="00927A8E">
      <w:pPr>
        <w:spacing w:line="360" w:lineRule="auto"/>
        <w:jc w:val="center"/>
        <w:rPr>
          <w:sz w:val="36"/>
          <w:szCs w:val="36"/>
        </w:rPr>
      </w:pPr>
    </w:p>
    <w:p w14:paraId="4988FE14" w14:textId="77777777" w:rsidR="00236E6D" w:rsidRPr="00434FAD" w:rsidRDefault="00236E6D" w:rsidP="00927A8E">
      <w:pPr>
        <w:spacing w:line="360" w:lineRule="auto"/>
        <w:jc w:val="center"/>
        <w:rPr>
          <w:sz w:val="36"/>
          <w:szCs w:val="36"/>
        </w:rPr>
      </w:pPr>
    </w:p>
    <w:p w14:paraId="278817C3" w14:textId="77777777" w:rsidR="00236E6D" w:rsidRPr="00434FAD" w:rsidRDefault="00236E6D" w:rsidP="00927A8E">
      <w:pPr>
        <w:spacing w:line="360" w:lineRule="auto"/>
        <w:jc w:val="center"/>
        <w:rPr>
          <w:sz w:val="36"/>
          <w:szCs w:val="36"/>
        </w:rPr>
      </w:pPr>
    </w:p>
    <w:p w14:paraId="2B046D28" w14:textId="77777777" w:rsidR="00236E6D" w:rsidRPr="00434FAD" w:rsidRDefault="00236E6D" w:rsidP="00927A8E">
      <w:pPr>
        <w:spacing w:line="360" w:lineRule="auto"/>
        <w:rPr>
          <w:sz w:val="36"/>
          <w:szCs w:val="36"/>
        </w:rPr>
      </w:pPr>
    </w:p>
    <w:p w14:paraId="63DC5EC9" w14:textId="77777777" w:rsidR="00236E6D" w:rsidRPr="00434FAD" w:rsidRDefault="00236E6D" w:rsidP="00927A8E">
      <w:pPr>
        <w:spacing w:line="360" w:lineRule="auto"/>
        <w:jc w:val="center"/>
        <w:rPr>
          <w:sz w:val="36"/>
          <w:szCs w:val="36"/>
        </w:rPr>
      </w:pPr>
    </w:p>
    <w:p w14:paraId="182D3B42" w14:textId="77777777" w:rsidR="00680095" w:rsidRPr="00434FAD" w:rsidRDefault="00680095" w:rsidP="00927A8E">
      <w:pPr>
        <w:spacing w:line="360" w:lineRule="auto"/>
        <w:jc w:val="center"/>
        <w:rPr>
          <w:sz w:val="36"/>
          <w:szCs w:val="36"/>
        </w:rPr>
      </w:pPr>
    </w:p>
    <w:p w14:paraId="1A471E95" w14:textId="77777777" w:rsidR="00236E6D" w:rsidRPr="00434FAD" w:rsidRDefault="00236E6D" w:rsidP="00927A8E">
      <w:pPr>
        <w:spacing w:line="360" w:lineRule="auto"/>
        <w:jc w:val="center"/>
        <w:rPr>
          <w:sz w:val="36"/>
          <w:szCs w:val="36"/>
        </w:rPr>
      </w:pPr>
    </w:p>
    <w:p w14:paraId="356CF82C" w14:textId="77777777" w:rsidR="00236E6D" w:rsidRPr="00434FAD" w:rsidRDefault="00236E6D" w:rsidP="00927A8E">
      <w:pPr>
        <w:spacing w:line="360" w:lineRule="auto"/>
        <w:jc w:val="center"/>
        <w:rPr>
          <w:sz w:val="36"/>
          <w:szCs w:val="36"/>
        </w:rPr>
      </w:pPr>
    </w:p>
    <w:p w14:paraId="307972BF" w14:textId="77777777" w:rsidR="00236E6D" w:rsidRPr="00434FAD" w:rsidRDefault="00236E6D" w:rsidP="00927A8E">
      <w:pPr>
        <w:spacing w:line="360" w:lineRule="auto"/>
        <w:jc w:val="center"/>
        <w:rPr>
          <w:sz w:val="36"/>
          <w:szCs w:val="36"/>
        </w:rPr>
      </w:pPr>
    </w:p>
    <w:p w14:paraId="3E33DD28" w14:textId="1CF11B37" w:rsidR="002B05BF" w:rsidRPr="00EF2A15" w:rsidRDefault="004E4F4C" w:rsidP="00927A8E">
      <w:pPr>
        <w:spacing w:line="360" w:lineRule="auto"/>
        <w:jc w:val="center"/>
        <w:rPr>
          <w:sz w:val="28"/>
          <w:szCs w:val="28"/>
          <w:lang w:val="es-419"/>
        </w:rPr>
      </w:pPr>
      <w:r w:rsidRPr="00EF2A15">
        <w:rPr>
          <w:sz w:val="28"/>
          <w:szCs w:val="28"/>
          <w:lang w:val="es-419"/>
        </w:rPr>
        <w:t xml:space="preserve">Javier </w:t>
      </w:r>
      <w:proofErr w:type="spellStart"/>
      <w:r w:rsidRPr="00EF2A15">
        <w:rPr>
          <w:sz w:val="28"/>
          <w:szCs w:val="28"/>
          <w:lang w:val="es-419"/>
        </w:rPr>
        <w:t>Aymachoque</w:t>
      </w:r>
      <w:proofErr w:type="spellEnd"/>
      <w:r w:rsidR="002B05BF" w:rsidRPr="00EF2A15">
        <w:rPr>
          <w:sz w:val="28"/>
          <w:szCs w:val="28"/>
          <w:lang w:val="es-419"/>
        </w:rPr>
        <w:t xml:space="preserve"> </w:t>
      </w:r>
    </w:p>
    <w:p w14:paraId="66B82437" w14:textId="68ADD236" w:rsidR="00236E6D" w:rsidRPr="00EF2A15" w:rsidRDefault="002B05BF" w:rsidP="00927A8E">
      <w:pPr>
        <w:spacing w:line="360" w:lineRule="auto"/>
        <w:jc w:val="center"/>
        <w:rPr>
          <w:sz w:val="36"/>
          <w:szCs w:val="36"/>
          <w:lang w:val="es-419"/>
        </w:rPr>
      </w:pPr>
      <w:r w:rsidRPr="00EF2A15">
        <w:rPr>
          <w:sz w:val="28"/>
          <w:szCs w:val="28"/>
          <w:lang w:val="es-419"/>
        </w:rPr>
        <w:t xml:space="preserve">Enero </w:t>
      </w:r>
      <w:r w:rsidR="004E4F4C" w:rsidRPr="00EF2A15">
        <w:rPr>
          <w:sz w:val="28"/>
          <w:szCs w:val="28"/>
          <w:lang w:val="es-419"/>
        </w:rPr>
        <w:t>2021</w:t>
      </w:r>
      <w:r w:rsidRPr="00EF2A15">
        <w:rPr>
          <w:sz w:val="28"/>
          <w:szCs w:val="28"/>
          <w:lang w:val="es-419"/>
        </w:rPr>
        <w:t>.</w:t>
      </w:r>
    </w:p>
    <w:p w14:paraId="41524645" w14:textId="77777777" w:rsidR="00236E6D" w:rsidRPr="00EF2A15" w:rsidRDefault="00236E6D" w:rsidP="00927A8E">
      <w:pPr>
        <w:spacing w:line="360" w:lineRule="auto"/>
        <w:jc w:val="center"/>
        <w:rPr>
          <w:sz w:val="36"/>
          <w:szCs w:val="36"/>
          <w:lang w:val="es-419"/>
        </w:rPr>
      </w:pPr>
    </w:p>
    <w:p w14:paraId="0C5E9B50" w14:textId="2003BF46" w:rsidR="00236E6D" w:rsidRPr="00EF2A15" w:rsidRDefault="004E4F4C" w:rsidP="00927A8E">
      <w:pPr>
        <w:spacing w:line="360" w:lineRule="auto"/>
        <w:jc w:val="center"/>
        <w:rPr>
          <w:sz w:val="28"/>
          <w:szCs w:val="28"/>
          <w:lang w:val="es-419"/>
        </w:rPr>
      </w:pPr>
      <w:proofErr w:type="spellStart"/>
      <w:r w:rsidRPr="00EF2A15">
        <w:rPr>
          <w:sz w:val="28"/>
          <w:szCs w:val="28"/>
          <w:lang w:val="es-419"/>
        </w:rPr>
        <w:t>Minconsulting</w:t>
      </w:r>
      <w:proofErr w:type="spellEnd"/>
      <w:r w:rsidRPr="00EF2A15">
        <w:rPr>
          <w:sz w:val="28"/>
          <w:szCs w:val="28"/>
          <w:lang w:val="es-419"/>
        </w:rPr>
        <w:t xml:space="preserve"> S.A.</w:t>
      </w:r>
    </w:p>
    <w:p w14:paraId="2479022A" w14:textId="54C2D40F" w:rsidR="00680095" w:rsidRPr="00251DC7" w:rsidRDefault="00251DC7" w:rsidP="00927A8E">
      <w:pPr>
        <w:spacing w:line="360" w:lineRule="auto"/>
        <w:jc w:val="center"/>
        <w:rPr>
          <w:sz w:val="28"/>
          <w:szCs w:val="28"/>
        </w:rPr>
      </w:pPr>
      <w:r w:rsidRPr="00251DC7">
        <w:rPr>
          <w:sz w:val="28"/>
          <w:szCs w:val="28"/>
        </w:rPr>
        <w:t xml:space="preserve">Data </w:t>
      </w:r>
      <w:r>
        <w:rPr>
          <w:sz w:val="28"/>
          <w:szCs w:val="28"/>
        </w:rPr>
        <w:t>S</w:t>
      </w:r>
      <w:r w:rsidRPr="00251DC7">
        <w:rPr>
          <w:sz w:val="28"/>
          <w:szCs w:val="28"/>
        </w:rPr>
        <w:t xml:space="preserve">cience </w:t>
      </w:r>
      <w:r>
        <w:rPr>
          <w:sz w:val="28"/>
          <w:szCs w:val="28"/>
        </w:rPr>
        <w:t>D</w:t>
      </w:r>
      <w:r w:rsidRPr="00251DC7">
        <w:rPr>
          <w:sz w:val="28"/>
          <w:szCs w:val="28"/>
        </w:rPr>
        <w:t>eparture</w:t>
      </w:r>
      <w:r w:rsidR="00680095" w:rsidRPr="00251DC7">
        <w:rPr>
          <w:sz w:val="28"/>
          <w:szCs w:val="28"/>
        </w:rPr>
        <w:t xml:space="preserve">. </w:t>
      </w:r>
    </w:p>
    <w:p w14:paraId="6508AE2F" w14:textId="2E329F0E" w:rsidR="00FF13E8" w:rsidRPr="00C8308E" w:rsidRDefault="00FF13E8" w:rsidP="00C8308E">
      <w:pPr>
        <w:spacing w:line="360" w:lineRule="auto"/>
        <w:rPr>
          <w:sz w:val="36"/>
          <w:szCs w:val="36"/>
        </w:rPr>
        <w:sectPr w:rsidR="00FF13E8" w:rsidRPr="00C8308E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42B10CC1" w14:textId="77777777" w:rsidR="003C1575" w:rsidRPr="00434FAD" w:rsidRDefault="003C1575" w:rsidP="00927A8E">
      <w:pPr>
        <w:numPr>
          <w:ilvl w:val="12"/>
          <w:numId w:val="0"/>
        </w:numPr>
        <w:spacing w:line="360" w:lineRule="auto"/>
      </w:pPr>
    </w:p>
    <w:p w14:paraId="6E606FDF" w14:textId="67A2FAF2" w:rsidR="00875E12" w:rsidRPr="00434FAD" w:rsidRDefault="00216883" w:rsidP="00927A8E">
      <w:pPr>
        <w:pStyle w:val="Heading1"/>
        <w:spacing w:line="360" w:lineRule="auto"/>
      </w:pPr>
      <w:bookmarkStart w:id="1" w:name="_Toc285535799"/>
      <w:bookmarkStart w:id="2" w:name="_Toc410627893"/>
      <w:bookmarkStart w:id="3" w:name="_Toc410628920"/>
      <w:r w:rsidRPr="00434FAD">
        <w:t>Chapter</w:t>
      </w:r>
      <w:r w:rsidR="00875E12" w:rsidRPr="00434FAD">
        <w:t xml:space="preserve"> 1</w:t>
      </w:r>
      <w:r w:rsidR="00875E12" w:rsidRPr="00434FAD">
        <w:br/>
      </w:r>
      <w:bookmarkEnd w:id="1"/>
      <w:r w:rsidR="00251DC7" w:rsidRPr="00434FAD">
        <w:t>Research Interest</w:t>
      </w:r>
      <w:bookmarkEnd w:id="2"/>
      <w:bookmarkEnd w:id="3"/>
    </w:p>
    <w:p w14:paraId="04B0B8F9" w14:textId="77777777" w:rsidR="00236E6D" w:rsidRPr="00434FAD" w:rsidRDefault="00236E6D" w:rsidP="00927A8E">
      <w:pPr>
        <w:numPr>
          <w:ilvl w:val="12"/>
          <w:numId w:val="0"/>
        </w:numPr>
        <w:spacing w:line="360" w:lineRule="auto"/>
        <w:jc w:val="center"/>
      </w:pPr>
    </w:p>
    <w:p w14:paraId="0AB4DEC9" w14:textId="77777777" w:rsidR="00236E6D" w:rsidRPr="00434FAD" w:rsidRDefault="00236E6D" w:rsidP="00927A8E">
      <w:pPr>
        <w:numPr>
          <w:ilvl w:val="12"/>
          <w:numId w:val="0"/>
        </w:numPr>
        <w:spacing w:line="360" w:lineRule="auto"/>
        <w:jc w:val="center"/>
      </w:pPr>
    </w:p>
    <w:p w14:paraId="430E6E70" w14:textId="525E87E0" w:rsidR="00C361FA" w:rsidRPr="00E25C7C" w:rsidRDefault="00875E12" w:rsidP="00590B5A">
      <w:pPr>
        <w:spacing w:line="360" w:lineRule="auto"/>
      </w:pPr>
      <w:bookmarkStart w:id="4" w:name="_Toc285535801"/>
      <w:r w:rsidRPr="00434FAD">
        <w:rPr>
          <w:b/>
          <w:bCs/>
          <w:iCs/>
        </w:rPr>
        <w:tab/>
      </w:r>
      <w:bookmarkEnd w:id="4"/>
      <w:r w:rsidR="00E25C7C" w:rsidRPr="00E25C7C">
        <w:t xml:space="preserve">We are in times where the economy of countries is unstable, whether due to civil wars, economic wars, pandemics, new policies, etc. That is why there is a huge need to predict emerging and stable markets in which we can trust our investment, for this is that we seek to use </w:t>
      </w:r>
      <w:r w:rsidR="00E25C7C">
        <w:t>M</w:t>
      </w:r>
      <w:r w:rsidR="00E25C7C" w:rsidRPr="00E25C7C">
        <w:t xml:space="preserve">achine </w:t>
      </w:r>
      <w:r w:rsidR="00E25C7C">
        <w:t>L</w:t>
      </w:r>
      <w:r w:rsidR="00E25C7C" w:rsidRPr="00E25C7C">
        <w:t>earning techniques to predict the price of commodities as an investment market.</w:t>
      </w:r>
    </w:p>
    <w:p w14:paraId="46BC57FA" w14:textId="77777777" w:rsidR="00590B5A" w:rsidRPr="00E25C7C" w:rsidRDefault="00590B5A" w:rsidP="00590B5A">
      <w:pPr>
        <w:spacing w:line="360" w:lineRule="auto"/>
      </w:pPr>
      <w:bookmarkStart w:id="5" w:name="_Toc285535805"/>
      <w:bookmarkStart w:id="6" w:name="_Toc410627900"/>
      <w:bookmarkStart w:id="7" w:name="_Toc410628925"/>
    </w:p>
    <w:p w14:paraId="3368A30E" w14:textId="73EB57EE" w:rsidR="009E757D" w:rsidRDefault="00E25C7C" w:rsidP="00315D76">
      <w:pPr>
        <w:spacing w:line="360" w:lineRule="auto"/>
        <w:ind w:firstLine="720"/>
      </w:pPr>
      <w:r w:rsidRPr="00E25C7C">
        <w:t xml:space="preserve">In this work, the prediction of some commodities was performed using Long Short-Term Memory (LSTM) networks, a type of recurrent neural network </w:t>
      </w:r>
      <w:r w:rsidRPr="00BA7393">
        <w:rPr>
          <w:vertAlign w:val="superscript"/>
        </w:rPr>
        <w:t>[1]</w:t>
      </w:r>
      <w:r w:rsidRPr="00E25C7C">
        <w:t xml:space="preserve">, for this a Python </w:t>
      </w:r>
      <w:proofErr w:type="spellStart"/>
      <w:r w:rsidRPr="00E25C7C">
        <w:t>Jupyter</w:t>
      </w:r>
      <w:proofErr w:type="spellEnd"/>
      <w:r w:rsidRPr="00E25C7C">
        <w:t xml:space="preserve"> Notebook with the </w:t>
      </w:r>
      <w:proofErr w:type="spellStart"/>
      <w:r w:rsidRPr="00E25C7C">
        <w:t>Keras</w:t>
      </w:r>
      <w:proofErr w:type="spellEnd"/>
      <w:r w:rsidRPr="00E25C7C">
        <w:t xml:space="preserve"> library was used. The dataset used was Commodities Daily Price Dataset, which has daily closing price data for 17 commodities, </w:t>
      </w:r>
      <w:r>
        <w:t xml:space="preserve">where </w:t>
      </w:r>
      <w:r w:rsidRPr="00E25C7C">
        <w:t>the information was extracted from Yahoo Finance</w:t>
      </w:r>
      <w:r>
        <w:t xml:space="preserve"> webpage</w:t>
      </w:r>
      <w:r w:rsidRPr="00E25C7C">
        <w:t>.</w:t>
      </w:r>
    </w:p>
    <w:p w14:paraId="26994524" w14:textId="77777777" w:rsidR="00E25C7C" w:rsidRDefault="00E25C7C" w:rsidP="00315D76">
      <w:pPr>
        <w:spacing w:line="360" w:lineRule="auto"/>
        <w:ind w:firstLine="720"/>
      </w:pPr>
    </w:p>
    <w:p w14:paraId="3D976430" w14:textId="77777777" w:rsidR="00E25C7C" w:rsidRPr="00E25C7C" w:rsidRDefault="00E25C7C" w:rsidP="00E25C7C">
      <w:pPr>
        <w:spacing w:line="360" w:lineRule="auto"/>
        <w:ind w:firstLine="720"/>
      </w:pPr>
      <w:proofErr w:type="gramStart"/>
      <w:r w:rsidRPr="00E25C7C">
        <w:t>In order to</w:t>
      </w:r>
      <w:proofErr w:type="gramEnd"/>
      <w:r w:rsidRPr="00E25C7C">
        <w:t xml:space="preserve"> determine the causal relationship between the prices of different commodities, two machine learning analyzes were carried out: the first was a Feature Importance analysis, and the second was a Dynamic Time Warping (DTW) analysis. The result of relationship between variables will help us to define the appropriate variables to </w:t>
      </w:r>
      <w:r>
        <w:t xml:space="preserve">consider </w:t>
      </w:r>
      <w:r w:rsidRPr="00E25C7C">
        <w:t>in the price prediction</w:t>
      </w:r>
      <w:r>
        <w:t xml:space="preserve"> of a commodity</w:t>
      </w:r>
      <w:r w:rsidRPr="00E25C7C">
        <w:t xml:space="preserve"> using LSTM.</w:t>
      </w:r>
    </w:p>
    <w:p w14:paraId="35C6322F" w14:textId="77777777" w:rsidR="00E25C7C" w:rsidRPr="00E25C7C" w:rsidRDefault="00E25C7C" w:rsidP="00315D76">
      <w:pPr>
        <w:spacing w:line="360" w:lineRule="auto"/>
        <w:ind w:firstLine="720"/>
      </w:pPr>
    </w:p>
    <w:p w14:paraId="5C1FE554" w14:textId="6C0E9EA7" w:rsidR="009E757D" w:rsidRDefault="009E757D" w:rsidP="009E757D">
      <w:pPr>
        <w:spacing w:line="360" w:lineRule="auto"/>
        <w:ind w:firstLine="720"/>
      </w:pPr>
      <w:r w:rsidRPr="00590B5A">
        <w:t xml:space="preserve">Apart from the </w:t>
      </w:r>
      <w:proofErr w:type="spellStart"/>
      <w:r>
        <w:t>Keras</w:t>
      </w:r>
      <w:proofErr w:type="spellEnd"/>
      <w:r w:rsidRPr="00590B5A">
        <w:t xml:space="preserve"> library, we </w:t>
      </w:r>
      <w:r w:rsidR="00E25C7C">
        <w:t xml:space="preserve">also used </w:t>
      </w:r>
      <w:r w:rsidRPr="00590B5A">
        <w:t>the</w:t>
      </w:r>
      <w:r>
        <w:t xml:space="preserve"> python</w:t>
      </w:r>
      <w:r w:rsidRPr="00590B5A">
        <w:t xml:space="preserve"> libraries </w:t>
      </w:r>
      <w:r>
        <w:t>S</w:t>
      </w:r>
      <w:r w:rsidRPr="00590B5A">
        <w:t xml:space="preserve">eaborn, </w:t>
      </w:r>
      <w:r>
        <w:t>P</w:t>
      </w:r>
      <w:r w:rsidRPr="00590B5A">
        <w:t xml:space="preserve">andas, </w:t>
      </w:r>
      <w:r>
        <w:t>S</w:t>
      </w:r>
      <w:r w:rsidRPr="00590B5A">
        <w:t>cikit</w:t>
      </w:r>
      <w:r>
        <w:t>-L</w:t>
      </w:r>
      <w:r w:rsidRPr="00590B5A">
        <w:t>earn</w:t>
      </w:r>
      <w:r>
        <w:t>,</w:t>
      </w:r>
      <w:r w:rsidRPr="00590B5A">
        <w:t xml:space="preserve"> </w:t>
      </w:r>
      <w:r>
        <w:t>N</w:t>
      </w:r>
      <w:r w:rsidRPr="00590B5A">
        <w:t>umPy</w:t>
      </w:r>
      <w:r>
        <w:t xml:space="preserve">, and </w:t>
      </w:r>
      <w:proofErr w:type="spellStart"/>
      <w:r>
        <w:t>dtw</w:t>
      </w:r>
      <w:proofErr w:type="spellEnd"/>
      <w:r w:rsidRPr="00590B5A">
        <w:t xml:space="preserve">. In the computational aspect, a laptop with a Core I7 7700HQ processor and 16 GB of RAM </w:t>
      </w:r>
      <w:r>
        <w:t>was</w:t>
      </w:r>
      <w:r w:rsidRPr="00590B5A">
        <w:t xml:space="preserve"> used.</w:t>
      </w:r>
    </w:p>
    <w:p w14:paraId="61963FF1" w14:textId="77777777" w:rsidR="009E757D" w:rsidRPr="009E757D" w:rsidRDefault="009E757D" w:rsidP="00315D76">
      <w:pPr>
        <w:spacing w:line="360" w:lineRule="auto"/>
        <w:ind w:firstLine="720"/>
      </w:pPr>
    </w:p>
    <w:p w14:paraId="2207AA20" w14:textId="77777777" w:rsidR="00F1529F" w:rsidRDefault="00F1529F" w:rsidP="00927A8E">
      <w:pPr>
        <w:spacing w:line="360" w:lineRule="auto"/>
        <w:sectPr w:rsidR="00F1529F" w:rsidSect="00E05C2A">
          <w:headerReference w:type="default" r:id="rId10"/>
          <w:footerReference w:type="default" r:id="rId11"/>
          <w:pgSz w:w="12240" w:h="15840" w:code="1"/>
          <w:pgMar w:top="2019" w:right="1797" w:bottom="1440" w:left="1797" w:header="1440" w:footer="1440" w:gutter="0"/>
          <w:pgNumType w:start="2"/>
          <w:cols w:space="720"/>
          <w:noEndnote/>
        </w:sectPr>
      </w:pPr>
    </w:p>
    <w:p w14:paraId="69686ECE" w14:textId="77777777" w:rsidR="00FF13E8" w:rsidRDefault="00FF13E8" w:rsidP="00927A8E">
      <w:pPr>
        <w:spacing w:line="360" w:lineRule="auto"/>
      </w:pPr>
    </w:p>
    <w:p w14:paraId="0DC82A34" w14:textId="21F5C775" w:rsidR="00236E6D" w:rsidRPr="00E05C2A" w:rsidRDefault="00216883" w:rsidP="00927A8E">
      <w:pPr>
        <w:pStyle w:val="Heading1"/>
        <w:spacing w:line="360" w:lineRule="auto"/>
      </w:pPr>
      <w:r>
        <w:t>Chapter</w:t>
      </w:r>
      <w:r w:rsidR="000B7AF9" w:rsidRPr="00E05C2A">
        <w:t xml:space="preserve"> 2</w:t>
      </w:r>
      <w:r w:rsidR="00C95439" w:rsidRPr="00E05C2A">
        <w:t xml:space="preserve"> </w:t>
      </w:r>
      <w:r w:rsidR="00C95439" w:rsidRPr="00E05C2A">
        <w:br/>
      </w:r>
      <w:bookmarkEnd w:id="5"/>
      <w:bookmarkEnd w:id="6"/>
      <w:r w:rsidR="00E05C2A" w:rsidRPr="00E05C2A">
        <w:t>Data Description</w:t>
      </w:r>
      <w:bookmarkEnd w:id="7"/>
    </w:p>
    <w:p w14:paraId="754E6D4C" w14:textId="4A8DCC59" w:rsidR="00C917B6" w:rsidRPr="00ED55A1" w:rsidRDefault="00875E12" w:rsidP="00030DDF">
      <w:pPr>
        <w:spacing w:line="360" w:lineRule="auto"/>
        <w:ind w:firstLine="720"/>
        <w:rPr>
          <w:lang w:val="es-419"/>
        </w:rPr>
      </w:pPr>
      <w:bookmarkStart w:id="8" w:name="_Toc285535806"/>
      <w:r w:rsidRPr="00E05C2A">
        <w:tab/>
      </w:r>
      <w:bookmarkStart w:id="9" w:name="_Toc410627902"/>
      <w:bookmarkStart w:id="10" w:name="_Toc410628926"/>
    </w:p>
    <w:p w14:paraId="1CAF535E" w14:textId="6972F544" w:rsidR="00AC1933" w:rsidRDefault="00290941" w:rsidP="00AC1933">
      <w:pPr>
        <w:pStyle w:val="Heading2"/>
      </w:pPr>
      <w:r>
        <w:t xml:space="preserve">Commodities Daily Price Dataset </w:t>
      </w:r>
      <w:r w:rsidR="00AC1933">
        <w:t>Description</w:t>
      </w:r>
    </w:p>
    <w:p w14:paraId="1679B2C0" w14:textId="0AE4CCE1" w:rsidR="00E52DB5" w:rsidRPr="00796FF1" w:rsidRDefault="00030DDF" w:rsidP="00AC1933">
      <w:pPr>
        <w:spacing w:line="360" w:lineRule="auto"/>
        <w:ind w:firstLine="720"/>
      </w:pPr>
      <w:r w:rsidRPr="00030DDF">
        <w:t>The</w:t>
      </w:r>
      <w:r w:rsidR="009E757D" w:rsidRPr="009E757D">
        <w:t xml:space="preserve"> </w:t>
      </w:r>
      <w:r w:rsidR="009E757D" w:rsidRPr="00030DDF">
        <w:t>used</w:t>
      </w:r>
      <w:r w:rsidRPr="00030DDF">
        <w:t xml:space="preserve"> dataset was the Commodities Daily Price Dataset, </w:t>
      </w:r>
      <w:r>
        <w:t>it</w:t>
      </w:r>
      <w:r w:rsidRPr="00EC6C01">
        <w:t xml:space="preserve"> is a CSV file which tells </w:t>
      </w:r>
      <w:r>
        <w:t>us the daily closed price from seventeen commodities since 01-01-2018 to 12-31-2020</w:t>
      </w:r>
      <w:r w:rsidRPr="00EC6C01">
        <w:t>.</w:t>
      </w:r>
      <w:r w:rsidRPr="00030DDF">
        <w:t xml:space="preserve"> </w:t>
      </w:r>
      <w:r w:rsidR="00796FF1" w:rsidRPr="00796FF1">
        <w:t>Commodity closing price information comes from the Yahoo Finance website.</w:t>
      </w:r>
      <w:r w:rsidR="00E25C7C" w:rsidRPr="00BA7393">
        <w:rPr>
          <w:vertAlign w:val="superscript"/>
        </w:rPr>
        <w:t>[2]</w:t>
      </w:r>
    </w:p>
    <w:p w14:paraId="42A2716D" w14:textId="77777777" w:rsidR="00030DDF" w:rsidRPr="00796FF1" w:rsidRDefault="00030DDF" w:rsidP="00AC1933">
      <w:pPr>
        <w:spacing w:line="360" w:lineRule="auto"/>
        <w:ind w:firstLine="720"/>
      </w:pPr>
    </w:p>
    <w:p w14:paraId="6EEAA488" w14:textId="31D09724" w:rsidR="00E52DB5" w:rsidRDefault="00E52DB5" w:rsidP="00F725F5">
      <w:pPr>
        <w:spacing w:line="360" w:lineRule="auto"/>
      </w:pPr>
      <w:r>
        <w:t xml:space="preserve">The data is composed by the next </w:t>
      </w:r>
      <w:r w:rsidR="00290941">
        <w:t>18</w:t>
      </w:r>
      <w:r>
        <w:t xml:space="preserve"> columns:</w:t>
      </w:r>
    </w:p>
    <w:p w14:paraId="198387F8" w14:textId="65390817" w:rsidR="00B04BCA" w:rsidRDefault="00B04BCA" w:rsidP="003B4BA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3B4BAF">
        <w:t>Description</w:t>
      </w:r>
      <w:r>
        <w:t xml:space="preserve"> </w:t>
      </w:r>
      <w:proofErr w:type="gramStart"/>
      <w:r>
        <w:t>of  the</w:t>
      </w:r>
      <w:proofErr w:type="gramEnd"/>
      <w:r>
        <w:t xml:space="preserve"> Commodities Daily Price Dataset</w:t>
      </w:r>
    </w:p>
    <w:tbl>
      <w:tblPr>
        <w:tblW w:w="8088" w:type="dxa"/>
        <w:tblInd w:w="113" w:type="dxa"/>
        <w:tblLook w:val="04A0" w:firstRow="1" w:lastRow="0" w:firstColumn="1" w:lastColumn="0" w:noHBand="0" w:noVBand="1"/>
      </w:tblPr>
      <w:tblGrid>
        <w:gridCol w:w="974"/>
        <w:gridCol w:w="1329"/>
        <w:gridCol w:w="1329"/>
        <w:gridCol w:w="4580"/>
      </w:tblGrid>
      <w:tr w:rsidR="00ED55A1" w:rsidRPr="00796FF1" w14:paraId="3E6FE3FD" w14:textId="77777777" w:rsidTr="00030DDF">
        <w:trPr>
          <w:trHeight w:val="1110"/>
          <w:tblHeader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5F4227" w14:textId="77777777" w:rsidR="00ED55A1" w:rsidRPr="00796FF1" w:rsidRDefault="00ED55A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Column number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97B73" w14:textId="77777777" w:rsidR="00ED55A1" w:rsidRPr="00796FF1" w:rsidRDefault="00ED55A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81EE35" w14:textId="77777777" w:rsidR="00ED55A1" w:rsidRPr="00796FF1" w:rsidRDefault="00ED55A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 xml:space="preserve">Yahoo </w:t>
            </w:r>
            <w:proofErr w:type="spellStart"/>
            <w:r w:rsidRPr="00796FF1">
              <w:rPr>
                <w:b/>
                <w:bCs/>
                <w:color w:val="000000"/>
                <w:sz w:val="22"/>
                <w:szCs w:val="22"/>
              </w:rPr>
              <w:t>FInance</w:t>
            </w:r>
            <w:proofErr w:type="spellEnd"/>
            <w:r w:rsidRPr="00796FF1">
              <w:rPr>
                <w:b/>
                <w:bCs/>
                <w:color w:val="000000"/>
                <w:sz w:val="22"/>
                <w:szCs w:val="22"/>
              </w:rPr>
              <w:t xml:space="preserve"> Commodity Code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C0B72" w14:textId="77777777" w:rsidR="00ED55A1" w:rsidRPr="00796FF1" w:rsidRDefault="00ED55A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D55A1" w:rsidRPr="00796FF1" w14:paraId="10678C01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A3700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EFE4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BF18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B738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Date of the day of register</w:t>
            </w:r>
          </w:p>
        </w:tc>
      </w:tr>
      <w:tr w:rsidR="00ED55A1" w:rsidRPr="00796FF1" w14:paraId="5A0024B6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2BFBA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39B5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cocoa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A766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CC=F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DB4E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Cocoa commodity price at closed time</w:t>
            </w:r>
          </w:p>
        </w:tc>
      </w:tr>
      <w:tr w:rsidR="00ED55A1" w:rsidRPr="00796FF1" w14:paraId="590A8F41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511A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3D5F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96FF1">
              <w:rPr>
                <w:b/>
                <w:bCs/>
                <w:color w:val="000000"/>
                <w:sz w:val="22"/>
                <w:szCs w:val="22"/>
              </w:rPr>
              <w:t>crude_oil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20B6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CL=F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8644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Crude Oil commodity price at closed time</w:t>
            </w:r>
          </w:p>
        </w:tc>
      </w:tr>
      <w:tr w:rsidR="00ED55A1" w:rsidRPr="00796FF1" w14:paraId="112EE03E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6A56E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2742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cotton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CE96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CT=F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58DD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Cotton commodity price at closed time</w:t>
            </w:r>
          </w:p>
        </w:tc>
      </w:tr>
      <w:tr w:rsidR="00ED55A1" w:rsidRPr="00796FF1" w14:paraId="1F385A77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68B7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052D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gold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813E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GC=F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DE99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Gold commodity price at closed time</w:t>
            </w:r>
          </w:p>
        </w:tc>
      </w:tr>
      <w:tr w:rsidR="00ED55A1" w:rsidRPr="00796FF1" w14:paraId="734C72A8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5AA0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8C55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96FF1">
              <w:rPr>
                <w:b/>
                <w:bCs/>
                <w:color w:val="000000"/>
                <w:sz w:val="22"/>
                <w:szCs w:val="22"/>
              </w:rPr>
              <w:t>lean_hogs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7B6A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HE=F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3F83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Lean Hogs commodity price at closed time</w:t>
            </w:r>
          </w:p>
        </w:tc>
      </w:tr>
      <w:tr w:rsidR="00ED55A1" w:rsidRPr="00796FF1" w14:paraId="2906B995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90B7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95B9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copper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9A7F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HG=F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CE21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Copper commodity price at closed time</w:t>
            </w:r>
          </w:p>
        </w:tc>
      </w:tr>
      <w:tr w:rsidR="00ED55A1" w:rsidRPr="00796FF1" w14:paraId="3382C7E9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4AB2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3FAA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coffee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5505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KC=F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7FC1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Coffee commodity price at closed time</w:t>
            </w:r>
          </w:p>
        </w:tc>
      </w:tr>
      <w:tr w:rsidR="00ED55A1" w:rsidRPr="00796FF1" w14:paraId="424F8D28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0359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EAC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wheat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3EF2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KE=F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A82C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KC HRW Wheat commodity price at closed time</w:t>
            </w:r>
          </w:p>
        </w:tc>
      </w:tr>
      <w:tr w:rsidR="00ED55A1" w:rsidRPr="00796FF1" w14:paraId="7797EB6B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703F6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B255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96FF1">
              <w:rPr>
                <w:b/>
                <w:bCs/>
                <w:color w:val="000000"/>
                <w:sz w:val="22"/>
                <w:szCs w:val="22"/>
              </w:rPr>
              <w:t>live_cattle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4909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LE=F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C1A0" w14:textId="6B66EC18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 xml:space="preserve">Live </w:t>
            </w:r>
            <w:r w:rsidRPr="00796FF1">
              <w:rPr>
                <w:color w:val="000000"/>
                <w:sz w:val="22"/>
                <w:szCs w:val="22"/>
              </w:rPr>
              <w:t>Cattle commodity</w:t>
            </w:r>
            <w:r w:rsidRPr="00796FF1">
              <w:rPr>
                <w:color w:val="000000"/>
                <w:sz w:val="22"/>
                <w:szCs w:val="22"/>
              </w:rPr>
              <w:t xml:space="preserve"> price at closed time</w:t>
            </w:r>
          </w:p>
        </w:tc>
      </w:tr>
      <w:tr w:rsidR="00ED55A1" w:rsidRPr="00796FF1" w14:paraId="3B4E1699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F4EFA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7DE6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96FF1">
              <w:rPr>
                <w:b/>
                <w:bCs/>
                <w:color w:val="000000"/>
                <w:sz w:val="22"/>
                <w:szCs w:val="22"/>
              </w:rPr>
              <w:t>natural_gas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B96C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NG=F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280C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Natural Gas commodity price at closed time</w:t>
            </w:r>
          </w:p>
        </w:tc>
      </w:tr>
      <w:tr w:rsidR="00ED55A1" w:rsidRPr="00796FF1" w14:paraId="727FDAB0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B4F0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2E5B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platinum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4AB9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PL=F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8A19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Platinum commodity price at closed time</w:t>
            </w:r>
          </w:p>
        </w:tc>
      </w:tr>
      <w:tr w:rsidR="00ED55A1" w:rsidRPr="00796FF1" w14:paraId="16954965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8AA6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CDC2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sugar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61F1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SB=F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4BEA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Sugar commodity price at closed time</w:t>
            </w:r>
          </w:p>
        </w:tc>
      </w:tr>
      <w:tr w:rsidR="00ED55A1" w:rsidRPr="00796FF1" w14:paraId="4765F5C2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650E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C13A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silver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7A5A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SI=F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B5F2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Silver commodity price at closed time</w:t>
            </w:r>
          </w:p>
        </w:tc>
      </w:tr>
      <w:tr w:rsidR="00ED55A1" w:rsidRPr="00796FF1" w14:paraId="0E52D4B3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DC3C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AB95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corn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5F66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ZC=F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B7F4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Corn commodity price at closed time</w:t>
            </w:r>
          </w:p>
        </w:tc>
      </w:tr>
      <w:tr w:rsidR="00ED55A1" w:rsidRPr="00796FF1" w14:paraId="5BC030D5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8E54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E1F0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oat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A195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ZO=F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B276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Oat commodity price at closed time</w:t>
            </w:r>
          </w:p>
        </w:tc>
      </w:tr>
      <w:tr w:rsidR="00ED55A1" w:rsidRPr="00796FF1" w14:paraId="4D9149E9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3EA8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A6B8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96FF1">
              <w:rPr>
                <w:b/>
                <w:bCs/>
                <w:color w:val="000000"/>
                <w:sz w:val="22"/>
                <w:szCs w:val="22"/>
              </w:rPr>
              <w:t>rough_rice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CC11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ZR=F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7F3E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Rough Rice commodity price at closed time</w:t>
            </w:r>
          </w:p>
        </w:tc>
      </w:tr>
      <w:tr w:rsidR="00ED55A1" w:rsidRPr="00796FF1" w14:paraId="190E3500" w14:textId="77777777" w:rsidTr="00030DDF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480F" w14:textId="77777777" w:rsidR="00ED55A1" w:rsidRPr="00796FF1" w:rsidRDefault="00ED55A1">
            <w:pPr>
              <w:jc w:val="center"/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4E2D" w14:textId="77777777" w:rsidR="00ED55A1" w:rsidRPr="00796FF1" w:rsidRDefault="00ED55A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FF1">
              <w:rPr>
                <w:b/>
                <w:bCs/>
                <w:color w:val="000000"/>
                <w:sz w:val="22"/>
                <w:szCs w:val="22"/>
              </w:rPr>
              <w:t>soybean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EF4F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ZS=F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972C" w14:textId="77777777" w:rsidR="00ED55A1" w:rsidRPr="00796FF1" w:rsidRDefault="00ED55A1">
            <w:pPr>
              <w:rPr>
                <w:color w:val="000000"/>
                <w:sz w:val="22"/>
                <w:szCs w:val="22"/>
              </w:rPr>
            </w:pPr>
            <w:r w:rsidRPr="00796FF1">
              <w:rPr>
                <w:color w:val="000000"/>
                <w:sz w:val="22"/>
                <w:szCs w:val="22"/>
              </w:rPr>
              <w:t>Soybean commodity price at closed time</w:t>
            </w:r>
          </w:p>
        </w:tc>
      </w:tr>
    </w:tbl>
    <w:p w14:paraId="5724E11F" w14:textId="77777777" w:rsidR="00030DDF" w:rsidRDefault="00030DDF" w:rsidP="00F725F5">
      <w:pPr>
        <w:spacing w:line="360" w:lineRule="auto"/>
        <w:sectPr w:rsidR="00030DDF" w:rsidSect="00EF2A15">
          <w:footerReference w:type="default" r:id="rId12"/>
          <w:pgSz w:w="12240" w:h="15840" w:code="1"/>
          <w:pgMar w:top="2016" w:right="1800" w:bottom="1440" w:left="1800" w:header="1440" w:footer="1440" w:gutter="0"/>
          <w:pgNumType w:start="14"/>
          <w:cols w:space="720"/>
          <w:noEndnote/>
        </w:sectPr>
      </w:pPr>
    </w:p>
    <w:p w14:paraId="36951066" w14:textId="6B4DDC2D" w:rsidR="00F725F5" w:rsidRPr="00F725F5" w:rsidRDefault="00F725F5" w:rsidP="00F725F5">
      <w:pPr>
        <w:spacing w:line="360" w:lineRule="auto"/>
      </w:pPr>
      <w:r w:rsidRPr="00F725F5">
        <w:lastRenderedPageBreak/>
        <w:t xml:space="preserve">Below are some informative charts and tables of the </w:t>
      </w:r>
      <w:r w:rsidR="00030DDF" w:rsidRPr="00030DDF">
        <w:t>Commodities Daily Price Dataset</w:t>
      </w:r>
      <w:r>
        <w:t>:</w:t>
      </w:r>
    </w:p>
    <w:p w14:paraId="6F47D8F0" w14:textId="1842BF54" w:rsidR="003C557A" w:rsidRDefault="003C557A" w:rsidP="003B4BA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04BCA">
        <w:rPr>
          <w:noProof/>
        </w:rPr>
        <w:t>2</w:t>
      </w:r>
      <w:r>
        <w:fldChar w:fldCharType="end"/>
      </w:r>
      <w:r>
        <w:t xml:space="preserve"> </w:t>
      </w:r>
      <w:r w:rsidR="00030DDF" w:rsidRPr="00030DDF">
        <w:t>Commodities Daily Price Dataset</w:t>
      </w:r>
    </w:p>
    <w:p w14:paraId="29E91147" w14:textId="2AE446A3" w:rsidR="00AC1933" w:rsidRDefault="00030DDF" w:rsidP="00AC1933">
      <w:pPr>
        <w:spacing w:line="360" w:lineRule="auto"/>
      </w:pPr>
      <w:r w:rsidRPr="00030DDF">
        <w:drawing>
          <wp:inline distT="0" distB="0" distL="0" distR="0" wp14:anchorId="76C7BA9B" wp14:editId="18416130">
            <wp:extent cx="6701051" cy="19170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6105" cy="192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CEE" w14:textId="77777777" w:rsidR="003B4BAF" w:rsidRDefault="003B4BAF" w:rsidP="00AC1933">
      <w:pPr>
        <w:spacing w:line="360" w:lineRule="auto"/>
      </w:pPr>
    </w:p>
    <w:p w14:paraId="422BB393" w14:textId="77777777" w:rsidR="003B4BAF" w:rsidRDefault="003B4BAF" w:rsidP="00A306C6">
      <w:pPr>
        <w:keepNext/>
      </w:pPr>
      <w:r w:rsidRPr="003B4BAF">
        <w:drawing>
          <wp:inline distT="0" distB="0" distL="0" distR="0" wp14:anchorId="4C308191" wp14:editId="2CC2325F">
            <wp:extent cx="6810233" cy="22172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4215" cy="22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FBE4" w14:textId="04664445" w:rsidR="002E4921" w:rsidRPr="00796FF1" w:rsidRDefault="003B4BAF" w:rsidP="00A306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Historical price of the </w:t>
      </w:r>
      <w:r w:rsidR="00796FF1">
        <w:t>g</w:t>
      </w:r>
      <w:r>
        <w:t>old</w:t>
      </w:r>
      <w:r w:rsidR="00796FF1">
        <w:t xml:space="preserve"> commodity</w:t>
      </w:r>
      <w:r w:rsidR="00A306C6">
        <w:t xml:space="preserve"> from</w:t>
      </w:r>
      <w:r>
        <w:t xml:space="preserve"> </w:t>
      </w:r>
      <w:r w:rsidR="00A306C6">
        <w:t>01-01-</w:t>
      </w:r>
      <w:r>
        <w:t>2018</w:t>
      </w:r>
      <w:r w:rsidR="00A306C6">
        <w:t xml:space="preserve"> to 12-31-</w:t>
      </w:r>
      <w:r>
        <w:t xml:space="preserve">2020. Source: Yahoo </w:t>
      </w:r>
      <w:proofErr w:type="gramStart"/>
      <w:r>
        <w:t>Finance</w:t>
      </w:r>
      <w:bookmarkStart w:id="11" w:name="_Toc285535817"/>
      <w:bookmarkStart w:id="12" w:name="_Toc410627905"/>
      <w:bookmarkStart w:id="13" w:name="_Toc410628929"/>
      <w:bookmarkEnd w:id="8"/>
      <w:bookmarkEnd w:id="9"/>
      <w:bookmarkEnd w:id="10"/>
      <w:r w:rsidR="00A306C6" w:rsidRPr="00BA7393">
        <w:rPr>
          <w:vertAlign w:val="superscript"/>
        </w:rPr>
        <w:t>[</w:t>
      </w:r>
      <w:proofErr w:type="gramEnd"/>
      <w:r w:rsidR="00A306C6" w:rsidRPr="00BA7393">
        <w:rPr>
          <w:vertAlign w:val="superscript"/>
        </w:rPr>
        <w:t>3]</w:t>
      </w:r>
      <w:bookmarkEnd w:id="11"/>
      <w:bookmarkEnd w:id="12"/>
      <w:bookmarkEnd w:id="13"/>
    </w:p>
    <w:sectPr w:rsidR="002E4921" w:rsidRPr="00796FF1" w:rsidSect="00030DDF">
      <w:footerReference w:type="default" r:id="rId15"/>
      <w:pgSz w:w="15840" w:h="12240" w:orient="landscape" w:code="1"/>
      <w:pgMar w:top="1797" w:right="2019" w:bottom="1797" w:left="1440" w:header="1440" w:footer="1440" w:gutter="0"/>
      <w:pgNumType w:start="14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2BDF7" w14:textId="77777777" w:rsidR="007C715C" w:rsidRDefault="007C715C">
      <w:r>
        <w:separator/>
      </w:r>
    </w:p>
    <w:p w14:paraId="7A4E7BB4" w14:textId="77777777" w:rsidR="007C715C" w:rsidRDefault="007C715C"/>
  </w:endnote>
  <w:endnote w:type="continuationSeparator" w:id="0">
    <w:p w14:paraId="21E20570" w14:textId="77777777" w:rsidR="007C715C" w:rsidRDefault="007C715C">
      <w:r>
        <w:continuationSeparator/>
      </w:r>
    </w:p>
    <w:p w14:paraId="76F75EEB" w14:textId="77777777" w:rsidR="007C715C" w:rsidRDefault="007C71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40B6A" w14:textId="0FC11090" w:rsidR="00CA51D5" w:rsidRDefault="00CA51D5" w:rsidP="00BA7393">
    <w:pPr>
      <w:shd w:val="clear" w:color="auto" w:fill="FFFFFF"/>
      <w:spacing w:before="100" w:beforeAutospacing="1" w:after="24"/>
      <w:rPr>
        <w:rFonts w:ascii="Arial" w:hAnsi="Arial" w:cs="Arial"/>
        <w:color w:val="202122"/>
        <w:sz w:val="21"/>
        <w:szCs w:val="21"/>
      </w:rPr>
    </w:pPr>
    <w:r>
      <w:t>[1]</w:t>
    </w:r>
    <w:r w:rsidRPr="00CA51D5">
      <w:rPr>
        <w:rFonts w:ascii="Arial" w:hAnsi="Arial" w:cs="Arial"/>
        <w:i/>
        <w:iCs/>
        <w:color w:val="202122"/>
        <w:sz w:val="21"/>
        <w:szCs w:val="21"/>
      </w:rPr>
      <w:t xml:space="preserve"> </w:t>
    </w:r>
    <w:r w:rsidRPr="00CA51D5">
      <w:rPr>
        <w:i/>
        <w:iCs/>
        <w:color w:val="202122"/>
      </w:rPr>
      <w:t>Wikipedia, The Free Encyclopedia</w:t>
    </w:r>
    <w:r w:rsidRPr="00CA51D5">
      <w:rPr>
        <w:color w:val="202122"/>
      </w:rPr>
      <w:t xml:space="preserve">, </w:t>
    </w:r>
    <w:proofErr w:type="spellStart"/>
    <w:r w:rsidRPr="00CA51D5">
      <w:rPr>
        <w:color w:val="202122"/>
      </w:rPr>
      <w:t>s.v.</w:t>
    </w:r>
    <w:proofErr w:type="spellEnd"/>
    <w:r w:rsidRPr="00CA51D5">
      <w:rPr>
        <w:color w:val="202122"/>
      </w:rPr>
      <w:t xml:space="preserve"> "</w:t>
    </w:r>
    <w:r w:rsidRPr="00CA51D5">
      <w:rPr>
        <w:sz w:val="32"/>
        <w:szCs w:val="32"/>
      </w:rPr>
      <w:t xml:space="preserve"> </w:t>
    </w:r>
    <w:r w:rsidRPr="00CA51D5">
      <w:rPr>
        <w:color w:val="202122"/>
      </w:rPr>
      <w:t xml:space="preserve">Long short-term memory," (accessed </w:t>
    </w:r>
    <w:r w:rsidRPr="00CA51D5">
      <w:rPr>
        <w:color w:val="202122"/>
      </w:rPr>
      <w:t>January</w:t>
    </w:r>
    <w:r w:rsidRPr="00CA51D5">
      <w:rPr>
        <w:color w:val="202122"/>
      </w:rPr>
      <w:t xml:space="preserve"> </w:t>
    </w:r>
    <w:r w:rsidRPr="00CA51D5">
      <w:rPr>
        <w:color w:val="202122"/>
      </w:rPr>
      <w:t>1</w:t>
    </w:r>
    <w:r w:rsidRPr="00CA51D5">
      <w:rPr>
        <w:color w:val="202122"/>
      </w:rPr>
      <w:t xml:space="preserve">, </w:t>
    </w:r>
    <w:r w:rsidRPr="00CA51D5">
      <w:rPr>
        <w:color w:val="202122"/>
      </w:rPr>
      <w:t>2021</w:t>
    </w:r>
    <w:r w:rsidRPr="00CA51D5">
      <w:rPr>
        <w:color w:val="202122"/>
      </w:rPr>
      <w:t>)</w:t>
    </w:r>
    <w:r w:rsidRPr="00CA51D5">
      <w:rPr>
        <w:color w:val="202122"/>
      </w:rPr>
      <w:t>.</w:t>
    </w:r>
    <w:r w:rsidRPr="00CA51D5">
      <w:rPr>
        <w:color w:val="202122"/>
      </w:rPr>
      <w:t xml:space="preserve"> https://en.wikipedia.org/wiki/Long_short-term_memory</w:t>
    </w:r>
  </w:p>
  <w:p w14:paraId="4DC31A3E" w14:textId="7026AAA3" w:rsidR="00FF13E8" w:rsidRPr="00FF13E8" w:rsidRDefault="00FF13E8" w:rsidP="00FA621E">
    <w:pPr>
      <w:pStyle w:val="Footer"/>
      <w:tabs>
        <w:tab w:val="clear" w:pos="4320"/>
        <w:tab w:val="clear" w:pos="8640"/>
        <w:tab w:val="center" w:pos="4513"/>
        <w:tab w:val="right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8CFAA" w14:textId="6F5BF742" w:rsidR="00CE320B" w:rsidRPr="00CE320B" w:rsidRDefault="00CE320B" w:rsidP="00CE3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25461" w14:textId="6626C52A" w:rsidR="00CA51D5" w:rsidRPr="00BA7393" w:rsidRDefault="00CA51D5" w:rsidP="00CE320B">
    <w:pPr>
      <w:pStyle w:val="Footer"/>
    </w:pPr>
    <w:r>
      <w:t>[2]</w:t>
    </w:r>
    <w:r w:rsidRPr="00CA51D5">
      <w:t xml:space="preserve"> </w:t>
    </w:r>
    <w:r>
      <w:t>Commodities, Futures</w:t>
    </w:r>
    <w:r w:rsidRPr="00CA51D5">
      <w:t xml:space="preserve">. </w:t>
    </w:r>
    <w:r w:rsidRPr="00CA51D5">
      <w:rPr>
        <w:color w:val="202122"/>
      </w:rPr>
      <w:t xml:space="preserve">(accessed January </w:t>
    </w:r>
    <w:r w:rsidR="00A306C6">
      <w:rPr>
        <w:color w:val="202122"/>
      </w:rPr>
      <w:t>31</w:t>
    </w:r>
    <w:r w:rsidRPr="00CA51D5">
      <w:rPr>
        <w:color w:val="202122"/>
      </w:rPr>
      <w:t>, 2021).</w:t>
    </w:r>
    <w:r w:rsidRPr="00CA51D5">
      <w:t xml:space="preserve"> </w:t>
    </w:r>
    <w:hyperlink r:id="rId1" w:history="1">
      <w:r w:rsidR="00A306C6" w:rsidRPr="00BA7393">
        <w:rPr>
          <w:rStyle w:val="Hyperlink"/>
          <w:color w:val="auto"/>
          <w:u w:val="none"/>
        </w:rPr>
        <w:t>https://finance.yahoo.com/commodities/</w:t>
      </w:r>
    </w:hyperlink>
  </w:p>
  <w:p w14:paraId="49F39D18" w14:textId="5E5C3705" w:rsidR="00A306C6" w:rsidRPr="00CE320B" w:rsidRDefault="00A306C6" w:rsidP="00CE320B">
    <w:pPr>
      <w:pStyle w:val="Footer"/>
    </w:pPr>
    <w:r>
      <w:t>[3]</w:t>
    </w:r>
    <w:r>
      <w:t xml:space="preserve"> </w:t>
    </w:r>
    <w:r w:rsidRPr="00A306C6">
      <w:t>Gold Apr 21 (GC=F)</w:t>
    </w:r>
    <w:r>
      <w:t>.</w:t>
    </w:r>
    <w:r w:rsidRPr="00A306C6">
      <w:rPr>
        <w:rFonts w:ascii="Helvetica" w:hAnsi="Helvetica" w:cs="Helvetica"/>
        <w:color w:val="333333"/>
        <w:sz w:val="21"/>
        <w:szCs w:val="21"/>
        <w:shd w:val="clear" w:color="auto" w:fill="FFFFFF"/>
      </w:rPr>
      <w:t xml:space="preserve"> </w:t>
    </w:r>
    <w:r>
      <w:rPr>
        <w:rFonts w:ascii="Helvetica" w:hAnsi="Helvetica" w:cs="Helvetica"/>
        <w:color w:val="333333"/>
        <w:sz w:val="21"/>
        <w:szCs w:val="21"/>
        <w:shd w:val="clear" w:color="auto" w:fill="FFFFFF"/>
      </w:rPr>
      <w:t> [Stock quote]</w:t>
    </w:r>
    <w:r>
      <w:rPr>
        <w:rFonts w:ascii="Helvetica" w:hAnsi="Helvetica" w:cs="Helvetica"/>
        <w:color w:val="333333"/>
        <w:sz w:val="21"/>
        <w:szCs w:val="21"/>
        <w:shd w:val="clear" w:color="auto" w:fill="FFFFFF"/>
      </w:rPr>
      <w:t>.</w:t>
    </w:r>
    <w:r w:rsidRPr="00A306C6">
      <w:rPr>
        <w:color w:val="202122"/>
      </w:rPr>
      <w:t xml:space="preserve"> </w:t>
    </w:r>
    <w:r w:rsidRPr="00CA51D5">
      <w:rPr>
        <w:color w:val="202122"/>
      </w:rPr>
      <w:t xml:space="preserve">(accessed January </w:t>
    </w:r>
    <w:r>
      <w:rPr>
        <w:color w:val="202122"/>
      </w:rPr>
      <w:t>31</w:t>
    </w:r>
    <w:r w:rsidRPr="00CA51D5">
      <w:rPr>
        <w:color w:val="202122"/>
      </w:rPr>
      <w:t>, 2021)</w:t>
    </w:r>
    <w:r>
      <w:rPr>
        <w:color w:val="202122"/>
      </w:rPr>
      <w:t>.</w:t>
    </w:r>
    <w:r>
      <w:t xml:space="preserve"> </w:t>
    </w:r>
    <w:hyperlink r:id="rId2" w:history="1">
      <w:r w:rsidRPr="00BA7393">
        <w:rPr>
          <w:rStyle w:val="Hyperlink"/>
          <w:color w:val="auto"/>
          <w:u w:val="none"/>
        </w:rPr>
        <w:t>https://finance.yahoo.com/quote/GC%3DF?p=GC%3DF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107B6" w14:textId="77777777" w:rsidR="007C715C" w:rsidRDefault="007C715C">
      <w:r>
        <w:separator/>
      </w:r>
    </w:p>
    <w:p w14:paraId="43F1947A" w14:textId="77777777" w:rsidR="007C715C" w:rsidRDefault="007C715C"/>
  </w:footnote>
  <w:footnote w:type="continuationSeparator" w:id="0">
    <w:p w14:paraId="3511910A" w14:textId="77777777" w:rsidR="007C715C" w:rsidRDefault="007C715C">
      <w:r>
        <w:continuationSeparator/>
      </w:r>
    </w:p>
    <w:p w14:paraId="7DF5FD8D" w14:textId="77777777" w:rsidR="007C715C" w:rsidRDefault="007C71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A9664" w14:textId="77777777" w:rsidR="00EE3934" w:rsidRDefault="00EE3934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9881F4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BDC92" w14:textId="77777777" w:rsidR="00EE3934" w:rsidRDefault="00EE3934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2000">
      <w:rPr>
        <w:rStyle w:val="PageNumber"/>
        <w:noProof/>
      </w:rPr>
      <w:t>6</w:t>
    </w:r>
    <w:r>
      <w:rPr>
        <w:rStyle w:val="PageNumber"/>
      </w:rPr>
      <w:fldChar w:fldCharType="end"/>
    </w:r>
  </w:p>
  <w:p w14:paraId="2209B81D" w14:textId="77777777" w:rsidR="00EE3934" w:rsidRDefault="00EE3934" w:rsidP="00755F52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823EB" w14:textId="77777777" w:rsidR="00E05C2A" w:rsidRDefault="00E05C2A" w:rsidP="00D6661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6CC69BA0" w14:textId="77777777" w:rsidR="00E05C2A" w:rsidRPr="00E05C2A" w:rsidRDefault="00E05C2A" w:rsidP="00755F52">
    <w:pPr>
      <w:spacing w:line="34" w:lineRule="auto"/>
      <w:ind w:right="360"/>
      <w:jc w:val="center"/>
      <w:rPr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82550"/>
    <w:multiLevelType w:val="multilevel"/>
    <w:tmpl w:val="625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DE01F5"/>
    <w:multiLevelType w:val="hybridMultilevel"/>
    <w:tmpl w:val="98907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2115F"/>
    <w:multiLevelType w:val="hybridMultilevel"/>
    <w:tmpl w:val="2570C022"/>
    <w:lvl w:ilvl="0" w:tplc="508203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0D56"/>
    <w:multiLevelType w:val="hybridMultilevel"/>
    <w:tmpl w:val="AB960756"/>
    <w:lvl w:ilvl="0" w:tplc="ED7063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00789"/>
    <w:multiLevelType w:val="hybridMultilevel"/>
    <w:tmpl w:val="32F4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B133B"/>
    <w:multiLevelType w:val="hybridMultilevel"/>
    <w:tmpl w:val="D93A2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84D9F"/>
    <w:multiLevelType w:val="hybridMultilevel"/>
    <w:tmpl w:val="2282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5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30DDF"/>
    <w:rsid w:val="00057004"/>
    <w:rsid w:val="00064371"/>
    <w:rsid w:val="00073443"/>
    <w:rsid w:val="00076A95"/>
    <w:rsid w:val="000906B5"/>
    <w:rsid w:val="000B5C42"/>
    <w:rsid w:val="000B7AF9"/>
    <w:rsid w:val="0010217F"/>
    <w:rsid w:val="0013165A"/>
    <w:rsid w:val="00160644"/>
    <w:rsid w:val="00183544"/>
    <w:rsid w:val="001854FB"/>
    <w:rsid w:val="00193642"/>
    <w:rsid w:val="001C39F6"/>
    <w:rsid w:val="001C66FE"/>
    <w:rsid w:val="001D6904"/>
    <w:rsid w:val="00216883"/>
    <w:rsid w:val="00236E6D"/>
    <w:rsid w:val="002429E5"/>
    <w:rsid w:val="00251DC7"/>
    <w:rsid w:val="00280CEF"/>
    <w:rsid w:val="0028757A"/>
    <w:rsid w:val="00290941"/>
    <w:rsid w:val="00292EA9"/>
    <w:rsid w:val="00297132"/>
    <w:rsid w:val="002B05BF"/>
    <w:rsid w:val="002E2492"/>
    <w:rsid w:val="002E4921"/>
    <w:rsid w:val="0030468B"/>
    <w:rsid w:val="00304BD0"/>
    <w:rsid w:val="00307D77"/>
    <w:rsid w:val="00311311"/>
    <w:rsid w:val="00313E9E"/>
    <w:rsid w:val="003150D5"/>
    <w:rsid w:val="00315D76"/>
    <w:rsid w:val="00320F78"/>
    <w:rsid w:val="003231EE"/>
    <w:rsid w:val="0035768F"/>
    <w:rsid w:val="00376970"/>
    <w:rsid w:val="00381385"/>
    <w:rsid w:val="0038177C"/>
    <w:rsid w:val="00387024"/>
    <w:rsid w:val="003B4BAF"/>
    <w:rsid w:val="003C1575"/>
    <w:rsid w:val="003C557A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34FAD"/>
    <w:rsid w:val="0044196E"/>
    <w:rsid w:val="00444151"/>
    <w:rsid w:val="00451E95"/>
    <w:rsid w:val="00474210"/>
    <w:rsid w:val="00480B96"/>
    <w:rsid w:val="0048303E"/>
    <w:rsid w:val="004920F6"/>
    <w:rsid w:val="004A67E8"/>
    <w:rsid w:val="004C3D65"/>
    <w:rsid w:val="004D6472"/>
    <w:rsid w:val="004E4F4C"/>
    <w:rsid w:val="0052204A"/>
    <w:rsid w:val="005352E0"/>
    <w:rsid w:val="00546133"/>
    <w:rsid w:val="00552852"/>
    <w:rsid w:val="00561BBD"/>
    <w:rsid w:val="00590B5A"/>
    <w:rsid w:val="00597D3F"/>
    <w:rsid w:val="005A0F56"/>
    <w:rsid w:val="005B2970"/>
    <w:rsid w:val="005B79E9"/>
    <w:rsid w:val="005C717E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38F6"/>
    <w:rsid w:val="00707877"/>
    <w:rsid w:val="00711200"/>
    <w:rsid w:val="0072397F"/>
    <w:rsid w:val="007266E5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96FF1"/>
    <w:rsid w:val="007A1555"/>
    <w:rsid w:val="007C715C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16B0"/>
    <w:rsid w:val="008C633D"/>
    <w:rsid w:val="008D589C"/>
    <w:rsid w:val="008E7085"/>
    <w:rsid w:val="008F60C3"/>
    <w:rsid w:val="00910AE4"/>
    <w:rsid w:val="0091262E"/>
    <w:rsid w:val="009215BC"/>
    <w:rsid w:val="00922000"/>
    <w:rsid w:val="00927A8E"/>
    <w:rsid w:val="0093163E"/>
    <w:rsid w:val="00936436"/>
    <w:rsid w:val="0095214E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9E757D"/>
    <w:rsid w:val="00A107DA"/>
    <w:rsid w:val="00A27EC0"/>
    <w:rsid w:val="00A306C6"/>
    <w:rsid w:val="00A34F5F"/>
    <w:rsid w:val="00A46A68"/>
    <w:rsid w:val="00A50EE9"/>
    <w:rsid w:val="00A55067"/>
    <w:rsid w:val="00A86F48"/>
    <w:rsid w:val="00A911EE"/>
    <w:rsid w:val="00AC1933"/>
    <w:rsid w:val="00AD0A33"/>
    <w:rsid w:val="00B01D20"/>
    <w:rsid w:val="00B04BCA"/>
    <w:rsid w:val="00B07524"/>
    <w:rsid w:val="00B33BC6"/>
    <w:rsid w:val="00B35B7C"/>
    <w:rsid w:val="00B53C15"/>
    <w:rsid w:val="00B74679"/>
    <w:rsid w:val="00BA7393"/>
    <w:rsid w:val="00BB3B3F"/>
    <w:rsid w:val="00BC66B3"/>
    <w:rsid w:val="00BD3522"/>
    <w:rsid w:val="00BD43E6"/>
    <w:rsid w:val="00C00EF4"/>
    <w:rsid w:val="00C0799A"/>
    <w:rsid w:val="00C10875"/>
    <w:rsid w:val="00C11D0D"/>
    <w:rsid w:val="00C361FA"/>
    <w:rsid w:val="00C509C3"/>
    <w:rsid w:val="00C62680"/>
    <w:rsid w:val="00C70EAE"/>
    <w:rsid w:val="00C8308E"/>
    <w:rsid w:val="00C83B65"/>
    <w:rsid w:val="00C917B6"/>
    <w:rsid w:val="00C95439"/>
    <w:rsid w:val="00CA51D5"/>
    <w:rsid w:val="00CB1E5D"/>
    <w:rsid w:val="00CD50B5"/>
    <w:rsid w:val="00CD73A9"/>
    <w:rsid w:val="00CE320B"/>
    <w:rsid w:val="00CE4608"/>
    <w:rsid w:val="00CE4E35"/>
    <w:rsid w:val="00D067C3"/>
    <w:rsid w:val="00D06F12"/>
    <w:rsid w:val="00D21EF3"/>
    <w:rsid w:val="00D31EDE"/>
    <w:rsid w:val="00D40C0A"/>
    <w:rsid w:val="00D46790"/>
    <w:rsid w:val="00D52BEA"/>
    <w:rsid w:val="00D62420"/>
    <w:rsid w:val="00D62973"/>
    <w:rsid w:val="00D63A7E"/>
    <w:rsid w:val="00D6661F"/>
    <w:rsid w:val="00D73281"/>
    <w:rsid w:val="00D91C27"/>
    <w:rsid w:val="00DA21E8"/>
    <w:rsid w:val="00DC5925"/>
    <w:rsid w:val="00DC60FA"/>
    <w:rsid w:val="00DE23AF"/>
    <w:rsid w:val="00E05C2A"/>
    <w:rsid w:val="00E14598"/>
    <w:rsid w:val="00E17018"/>
    <w:rsid w:val="00E17598"/>
    <w:rsid w:val="00E25C7C"/>
    <w:rsid w:val="00E52DB5"/>
    <w:rsid w:val="00E603D9"/>
    <w:rsid w:val="00EA5199"/>
    <w:rsid w:val="00EB44DF"/>
    <w:rsid w:val="00ED55A1"/>
    <w:rsid w:val="00ED7A05"/>
    <w:rsid w:val="00EE334C"/>
    <w:rsid w:val="00EE3934"/>
    <w:rsid w:val="00EF2A15"/>
    <w:rsid w:val="00F02153"/>
    <w:rsid w:val="00F03F1C"/>
    <w:rsid w:val="00F1529F"/>
    <w:rsid w:val="00F15675"/>
    <w:rsid w:val="00F21250"/>
    <w:rsid w:val="00F2398D"/>
    <w:rsid w:val="00F463B6"/>
    <w:rsid w:val="00F52D23"/>
    <w:rsid w:val="00F634A3"/>
    <w:rsid w:val="00F645B4"/>
    <w:rsid w:val="00F667F6"/>
    <w:rsid w:val="00F710F9"/>
    <w:rsid w:val="00F725F5"/>
    <w:rsid w:val="00F87F40"/>
    <w:rsid w:val="00F920F6"/>
    <w:rsid w:val="00FA0AE4"/>
    <w:rsid w:val="00FA621E"/>
    <w:rsid w:val="00FB4DBA"/>
    <w:rsid w:val="00FB667E"/>
    <w:rsid w:val="00FD0BE7"/>
    <w:rsid w:val="00FE552D"/>
    <w:rsid w:val="00FE589C"/>
    <w:rsid w:val="00FF13E8"/>
    <w:rsid w:val="00FF195C"/>
    <w:rsid w:val="00F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7B9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707877"/>
    <w:pPr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sz w:val="22"/>
      <w:szCs w:val="22"/>
    </w:rPr>
  </w:style>
  <w:style w:type="paragraph" w:styleId="Subtitle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BodyTextIndent">
    <w:name w:val="Body Text Indent"/>
    <w:basedOn w:val="Normal"/>
    <w:link w:val="BodyTextIndentCh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BodyTextIndent2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BodyTextIndent3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BlockText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Caption">
    <w:name w:val="caption"/>
    <w:basedOn w:val="Normal"/>
    <w:next w:val="Normal"/>
    <w:autoRedefine/>
    <w:qFormat/>
    <w:rsid w:val="003B4BAF"/>
    <w:pPr>
      <w:keepNext/>
      <w:spacing w:before="120" w:after="120"/>
    </w:pPr>
    <w:rPr>
      <w:rFonts w:asciiTheme="minorHAnsi" w:hAnsiTheme="minorHAnsi" w:cstheme="minorHAnsi"/>
      <w:bCs/>
      <w:i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Caption"/>
    <w:autoRedefine/>
    <w:rsid w:val="000B7AF9"/>
    <w:rPr>
      <w:b/>
      <w:i w:val="0"/>
    </w:rPr>
  </w:style>
  <w:style w:type="character" w:customStyle="1" w:styleId="Heading1Char">
    <w:name w:val="Heading 1 Char"/>
    <w:link w:val="Heading1"/>
    <w:rsid w:val="008C633D"/>
    <w:rPr>
      <w:b/>
      <w:bCs/>
      <w:sz w:val="24"/>
      <w:szCs w:val="24"/>
    </w:rPr>
  </w:style>
  <w:style w:type="character" w:customStyle="1" w:styleId="Heading4Char">
    <w:name w:val="Heading 4 Char"/>
    <w:link w:val="Heading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BodyTextChar">
    <w:name w:val="Body Text Char"/>
    <w:link w:val="BodyText"/>
    <w:rsid w:val="00707877"/>
    <w:rPr>
      <w:sz w:val="22"/>
      <w:szCs w:val="22"/>
    </w:rPr>
  </w:style>
  <w:style w:type="character" w:customStyle="1" w:styleId="BodyTextIndentChar">
    <w:name w:val="Body Text Indent Char"/>
    <w:link w:val="BodyTextIndent"/>
    <w:rsid w:val="00707877"/>
    <w:rPr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Captio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ListParagraph">
    <w:name w:val="List Paragraph"/>
    <w:basedOn w:val="Normal"/>
    <w:uiPriority w:val="34"/>
    <w:qFormat/>
    <w:rsid w:val="00FF13E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F13E8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1529F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2E4921"/>
    <w:rPr>
      <w:i/>
      <w:iCs/>
    </w:rPr>
  </w:style>
  <w:style w:type="character" w:styleId="FollowedHyperlink">
    <w:name w:val="FollowedHyperlink"/>
    <w:basedOn w:val="DefaultParagraphFont"/>
    <w:semiHidden/>
    <w:unhideWhenUsed/>
    <w:rsid w:val="002E49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81993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84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2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3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41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5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6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77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4226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99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69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finance.yahoo.com/quote/GC%3DF?p=GC%3DF" TargetMode="External"/><Relationship Id="rId1" Type="http://schemas.openxmlformats.org/officeDocument/2006/relationships/hyperlink" Target="https://finance.yahoo.com/commoditi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2021-01-27T16:20:00Z</dcterms:created>
  <dcterms:modified xsi:type="dcterms:W3CDTF">2021-02-01T05:17:00Z</dcterms:modified>
</cp:coreProperties>
</file>