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239D6">
      <w:pPr>
        <w:pStyle w:val="2"/>
        <w:keepNext w:val="0"/>
        <w:keepLines w:val="0"/>
        <w:widowControl/>
        <w:suppressLineNumbers w:val="0"/>
        <w:jc w:val="center"/>
        <w:rPr>
          <w:rFonts w:hint="default" w:ascii="Times New Roman" w:hAnsi="Times New Roman" w:cs="Times New Roman"/>
          <w:sz w:val="36"/>
          <w:szCs w:val="36"/>
        </w:rPr>
      </w:pPr>
      <w:bookmarkStart w:id="0" w:name="_GoBack"/>
      <w:bookmarkEnd w:id="0"/>
      <w:r>
        <w:rPr>
          <w:rFonts w:hint="default" w:ascii="Times New Roman" w:hAnsi="Times New Roman" w:cs="Times New Roman"/>
          <w:sz w:val="36"/>
          <w:szCs w:val="36"/>
        </w:rPr>
        <w:t>Мини-отчёт по анализу ответа Perplexity</w:t>
      </w:r>
    </w:p>
    <w:p w14:paraId="731AE7EE">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 Исходная исследовательская задача</w:t>
      </w:r>
    </w:p>
    <w:p w14:paraId="1ED66B0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Изучить влияние цифровой образовательной среды (социальные сети, короткие видеоформаты, геймифицированные платформы) на развитие произвольного внимания и учебной мотивации подростков 13–16 лет на основе современных научных исследований (2015–2024 гг.).</w:t>
      </w:r>
    </w:p>
    <w:p w14:paraId="615B0FB7">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2. «Умный» запрос, отправленный в Perplexity</w:t>
      </w:r>
    </w:p>
    <w:p w14:paraId="6C0D195B">
      <w:pPr>
        <w:pStyle w:val="11"/>
        <w:keepNext w:val="0"/>
        <w:keepLines w:val="0"/>
        <w:widowControl/>
        <w:suppressLineNumbers w:val="0"/>
        <w:ind w:right="720"/>
        <w:jc w:val="left"/>
        <w:rPr>
          <w:rFonts w:hint="default" w:ascii="Times New Roman" w:hAnsi="Times New Roman" w:cs="Times New Roman"/>
          <w:i/>
          <w:iCs/>
        </w:rPr>
      </w:pPr>
      <w:r>
        <w:rPr>
          <w:rFonts w:hint="default" w:ascii="Times New Roman" w:hAnsi="Times New Roman" w:eastAsia="SimSun" w:cs="Times New Roman"/>
          <w:b/>
          <w:bCs/>
          <w:sz w:val="28"/>
          <w:szCs w:val="28"/>
          <w:lang w:val="en-US"/>
        </w:rPr>
        <w:t>“</w:t>
      </w:r>
      <w:r>
        <w:rPr>
          <w:rFonts w:hint="default" w:ascii="Times New Roman" w:hAnsi="Times New Roman" w:eastAsia="SimSun" w:cs="Times New Roman"/>
          <w:i/>
          <w:iCs/>
          <w:sz w:val="24"/>
          <w:szCs w:val="24"/>
        </w:rPr>
        <w:t>Я являюсь студентом психолого-педагогического направления и готовлю исследовательскую работу о влиянии цифровой образовательной среды на когнитивное развитие подростков.</w:t>
      </w:r>
    </w:p>
    <w:p w14:paraId="5CAE57E8">
      <w:pPr>
        <w:pStyle w:val="11"/>
        <w:keepNext w:val="0"/>
        <w:keepLines w:val="0"/>
        <w:widowControl/>
        <w:suppressLineNumbers w:val="0"/>
        <w:ind w:right="720"/>
        <w:jc w:val="left"/>
        <w:rPr>
          <w:rFonts w:hint="default" w:ascii="Times New Roman" w:hAnsi="Times New Roman" w:cs="Times New Roman"/>
          <w:i/>
          <w:iCs/>
        </w:rPr>
      </w:pPr>
      <w:r>
        <w:rPr>
          <w:rFonts w:hint="default" w:ascii="Times New Roman" w:hAnsi="Times New Roman" w:eastAsia="SimSun" w:cs="Times New Roman"/>
          <w:i/>
          <w:iCs/>
          <w:sz w:val="24"/>
          <w:szCs w:val="24"/>
        </w:rPr>
        <w:t>Мне необходим аналитический обзор современных исследований (2015–2024 гг.), посвящённых влиянию социальных сетей, коротких видеоформатов и геймифицированных образовательных платформ на развитие произвольного внимания и учебной мотивации подростков 13–16 лет.</w:t>
      </w:r>
    </w:p>
    <w:p w14:paraId="7F09C933">
      <w:pPr>
        <w:pStyle w:val="11"/>
        <w:keepNext w:val="0"/>
        <w:keepLines w:val="0"/>
        <w:widowControl/>
        <w:suppressLineNumbers w:val="0"/>
        <w:ind w:right="720"/>
        <w:jc w:val="left"/>
        <w:rPr>
          <w:rFonts w:hint="default" w:ascii="Times New Roman" w:hAnsi="Times New Roman" w:cs="Times New Roman"/>
          <w:lang w:val="en-US"/>
        </w:rPr>
      </w:pPr>
      <w:r>
        <w:rPr>
          <w:rFonts w:hint="default" w:ascii="Times New Roman" w:hAnsi="Times New Roman" w:eastAsia="SimSun" w:cs="Times New Roman"/>
          <w:i/>
          <w:iCs/>
          <w:sz w:val="24"/>
          <w:szCs w:val="24"/>
        </w:rPr>
        <w:t>Прошу:</w:t>
      </w:r>
      <w:r>
        <w:rPr>
          <w:rFonts w:hint="default" w:ascii="Times New Roman" w:hAnsi="Times New Roman" w:eastAsia="SimSun" w:cs="Times New Roman"/>
          <w:i/>
          <w:iCs/>
          <w:sz w:val="24"/>
          <w:szCs w:val="24"/>
        </w:rPr>
        <w:br w:type="textWrapping"/>
      </w:r>
      <w:r>
        <w:rPr>
          <w:rFonts w:hint="default" w:ascii="Times New Roman" w:hAnsi="Times New Roman" w:eastAsia="SimSun" w:cs="Times New Roman"/>
          <w:i/>
          <w:iCs/>
          <w:sz w:val="24"/>
          <w:szCs w:val="24"/>
        </w:rPr>
        <w:t>– выделить 5–7 ключевых научных работ с указанием авторов и года публикации;</w:t>
      </w:r>
      <w:r>
        <w:rPr>
          <w:rFonts w:hint="default" w:ascii="Times New Roman" w:hAnsi="Times New Roman" w:eastAsia="SimSun" w:cs="Times New Roman"/>
          <w:i/>
          <w:iCs/>
          <w:sz w:val="24"/>
          <w:szCs w:val="24"/>
        </w:rPr>
        <w:br w:type="textWrapping"/>
      </w:r>
      <w:r>
        <w:rPr>
          <w:rFonts w:hint="default" w:ascii="Times New Roman" w:hAnsi="Times New Roman" w:eastAsia="SimSun" w:cs="Times New Roman"/>
          <w:i/>
          <w:iCs/>
          <w:sz w:val="24"/>
          <w:szCs w:val="24"/>
        </w:rPr>
        <w:t>– кратко описать методологию исследований (выборка, методы диагностики);</w:t>
      </w:r>
      <w:r>
        <w:rPr>
          <w:rFonts w:hint="default" w:ascii="Times New Roman" w:hAnsi="Times New Roman" w:eastAsia="SimSun" w:cs="Times New Roman"/>
          <w:i/>
          <w:iCs/>
          <w:sz w:val="24"/>
          <w:szCs w:val="24"/>
        </w:rPr>
        <w:br w:type="textWrapping"/>
      </w:r>
      <w:r>
        <w:rPr>
          <w:rFonts w:hint="default" w:ascii="Times New Roman" w:hAnsi="Times New Roman" w:eastAsia="SimSun" w:cs="Times New Roman"/>
          <w:i/>
          <w:iCs/>
          <w:sz w:val="24"/>
          <w:szCs w:val="24"/>
        </w:rPr>
        <w:t>– обозначить выявленные положительные и негативные эффекты;</w:t>
      </w:r>
      <w:r>
        <w:rPr>
          <w:rFonts w:hint="default" w:ascii="Times New Roman" w:hAnsi="Times New Roman" w:eastAsia="SimSun" w:cs="Times New Roman"/>
          <w:i/>
          <w:iCs/>
          <w:sz w:val="24"/>
          <w:szCs w:val="24"/>
        </w:rPr>
        <w:br w:type="textWrapping"/>
      </w:r>
      <w:r>
        <w:rPr>
          <w:rFonts w:hint="default" w:ascii="Times New Roman" w:hAnsi="Times New Roman" w:eastAsia="SimSun" w:cs="Times New Roman"/>
          <w:i/>
          <w:iCs/>
          <w:sz w:val="24"/>
          <w:szCs w:val="24"/>
        </w:rPr>
        <w:t>– указать существующие противоречия в результатах;</w:t>
      </w:r>
      <w:r>
        <w:rPr>
          <w:rFonts w:hint="default" w:ascii="Times New Roman" w:hAnsi="Times New Roman" w:eastAsia="SimSun" w:cs="Times New Roman"/>
          <w:i/>
          <w:iCs/>
          <w:sz w:val="24"/>
          <w:szCs w:val="24"/>
        </w:rPr>
        <w:br w:type="textWrapping"/>
      </w:r>
      <w:r>
        <w:rPr>
          <w:rFonts w:hint="default" w:ascii="Times New Roman" w:hAnsi="Times New Roman" w:eastAsia="SimSun" w:cs="Times New Roman"/>
          <w:i/>
          <w:iCs/>
          <w:sz w:val="24"/>
          <w:szCs w:val="24"/>
        </w:rPr>
        <w:t>– оформить вывод в виде структурированного списка тезисов.</w:t>
      </w:r>
      <w:r>
        <w:rPr>
          <w:rFonts w:hint="default" w:ascii="Times New Roman" w:hAnsi="Times New Roman" w:eastAsia="SimSun" w:cs="Times New Roman"/>
          <w:b/>
          <w:bCs/>
          <w:sz w:val="28"/>
          <w:szCs w:val="28"/>
          <w:lang w:val="en-US"/>
        </w:rPr>
        <w:t>”</w:t>
      </w:r>
    </w:p>
    <w:p w14:paraId="66D64BDD">
      <w:pPr>
        <w:pStyle w:val="3"/>
        <w:keepNext w:val="0"/>
        <w:keepLines w:val="0"/>
        <w:widowControl/>
        <w:suppressLineNumbers w:val="0"/>
      </w:pPr>
      <w:r>
        <w:rPr>
          <w:rFonts w:hint="default" w:ascii="Times New Roman" w:hAnsi="Times New Roman" w:cs="Times New Roman"/>
          <w:sz w:val="32"/>
          <w:szCs w:val="32"/>
        </w:rPr>
        <w:t>3. Источники, указанные Perplexity</w:t>
      </w:r>
    </w:p>
    <w:p w14:paraId="220938A6">
      <w:pPr>
        <w:pStyle w:val="11"/>
        <w:keepNext w:val="0"/>
        <w:keepLines w:val="0"/>
        <w:widowControl/>
        <w:suppressLineNumbers w:val="0"/>
      </w:pPr>
      <w:r>
        <w:rPr>
          <w:rStyle w:val="10"/>
          <w:rFonts w:hint="default"/>
          <w:lang w:val="en-US"/>
        </w:rPr>
        <w:t xml:space="preserve">1) </w:t>
      </w:r>
      <w:r>
        <w:rPr>
          <w:rStyle w:val="10"/>
        </w:rPr>
        <w:t>Growing Up Wired: Social Networking Sites and Adolescent…</w:t>
      </w:r>
      <w:r>
        <w:br w:type="textWrapping"/>
      </w:r>
      <w:r>
        <w:t xml:space="preserve">URL: </w:t>
      </w:r>
      <w:r>
        <w:fldChar w:fldCharType="begin"/>
      </w:r>
      <w:r>
        <w:instrText xml:space="preserve"> HYPERLINK "https://pmc.ncbi.nlm.nih.gov/articles/PMC3795955/" </w:instrText>
      </w:r>
      <w:r>
        <w:fldChar w:fldCharType="separate"/>
      </w:r>
      <w:r>
        <w:rPr>
          <w:rStyle w:val="9"/>
        </w:rPr>
        <w:t>https://pmc.ncbi.nlm.nih.gov/articles/PMC3795955/</w:t>
      </w:r>
      <w:r>
        <w:fldChar w:fldCharType="end"/>
      </w:r>
    </w:p>
    <w:p w14:paraId="5E1635D9">
      <w:pPr>
        <w:pStyle w:val="11"/>
        <w:keepNext w:val="0"/>
        <w:keepLines w:val="0"/>
        <w:widowControl/>
        <w:suppressLineNumbers w:val="0"/>
        <w:rPr>
          <w:rFonts w:hint="default"/>
          <w:lang w:val="en-US"/>
        </w:rPr>
      </w:pPr>
      <w:r>
        <w:rPr>
          <w:rStyle w:val="10"/>
          <w:rFonts w:hint="default"/>
          <w:lang w:val="en-US"/>
        </w:rPr>
        <w:t xml:space="preserve">2) </w:t>
      </w:r>
      <w:r>
        <w:rPr>
          <w:rStyle w:val="10"/>
        </w:rPr>
        <w:t>The Influence of TikTok Short-Form Videos on Attention…</w:t>
      </w:r>
      <w:r>
        <w:br w:type="textWrapping"/>
      </w:r>
      <w:r>
        <w:t xml:space="preserve">URL: </w:t>
      </w:r>
      <w:r>
        <w:fldChar w:fldCharType="begin"/>
      </w:r>
      <w:r>
        <w:instrText xml:space="preserve"> HYPERLINK "https://ejournal.upi.edu/index.php/dutech/article/download/69229/pdf" </w:instrText>
      </w:r>
      <w:r>
        <w:fldChar w:fldCharType="separate"/>
      </w:r>
      <w:r>
        <w:rPr>
          <w:rStyle w:val="9"/>
        </w:rPr>
        <w:t>https://ejournal.upi.edu/index.php/dutech/article/download/69229/pdf</w:t>
      </w:r>
      <w:r>
        <w:fldChar w:fldCharType="end"/>
      </w:r>
    </w:p>
    <w:p w14:paraId="50B8486D">
      <w:pPr>
        <w:pStyle w:val="11"/>
        <w:keepNext w:val="0"/>
        <w:keepLines w:val="0"/>
        <w:widowControl/>
        <w:suppressLineNumbers w:val="0"/>
      </w:pPr>
      <w:r>
        <w:rPr>
          <w:rStyle w:val="10"/>
          <w:rFonts w:hint="default"/>
          <w:lang w:val="en-US"/>
        </w:rPr>
        <w:t xml:space="preserve">3) </w:t>
      </w:r>
      <w:r>
        <w:rPr>
          <w:rStyle w:val="10"/>
        </w:rPr>
        <w:t>Frontiers | Adolescent short video addiction in China: unveiling key growth stages and driving…</w:t>
      </w:r>
      <w:r>
        <w:br w:type="textWrapping"/>
      </w:r>
      <w:r>
        <w:t xml:space="preserve">URL: </w:t>
      </w:r>
      <w:r>
        <w:fldChar w:fldCharType="begin"/>
      </w:r>
      <w:r>
        <w:instrText xml:space="preserve"> HYPERLINK "https://www.frontiersin.org/journals/psychology/articles/10.3389/fpsyg.2024.1509636/full" </w:instrText>
      </w:r>
      <w:r>
        <w:fldChar w:fldCharType="separate"/>
      </w:r>
      <w:r>
        <w:rPr>
          <w:rStyle w:val="9"/>
        </w:rPr>
        <w:t>https://www.frontiersin.org/journals/psychology/articles/10.3389/fpsyg.2024.1509636/full</w:t>
      </w:r>
      <w:r>
        <w:fldChar w:fldCharType="end"/>
      </w:r>
    </w:p>
    <w:p w14:paraId="175CB728">
      <w:pPr>
        <w:pStyle w:val="11"/>
        <w:keepNext w:val="0"/>
        <w:keepLines w:val="0"/>
        <w:widowControl/>
        <w:suppressLineNumbers w:val="0"/>
      </w:pPr>
    </w:p>
    <w:p w14:paraId="15ED3E38">
      <w:pPr>
        <w:pStyle w:val="11"/>
        <w:keepNext w:val="0"/>
        <w:keepLines w:val="0"/>
        <w:widowControl/>
        <w:suppressLineNumbers w:val="0"/>
      </w:pPr>
    </w:p>
    <w:p w14:paraId="3E41ACF3">
      <w:pPr>
        <w:pStyle w:val="11"/>
        <w:keepNext w:val="0"/>
        <w:keepLines w:val="0"/>
        <w:widowControl/>
        <w:suppressLineNumbers w:val="0"/>
      </w:pPr>
      <w:r>
        <w:rPr>
          <w:rStyle w:val="10"/>
          <w:rFonts w:hint="default"/>
          <w:lang w:val="en-US"/>
        </w:rPr>
        <w:t xml:space="preserve">4) </w:t>
      </w:r>
      <w:r>
        <w:rPr>
          <w:rStyle w:val="10"/>
        </w:rPr>
        <w:t>Effectiveness of Gamification in Enhancing Learning and Attitudes</w:t>
      </w:r>
      <w:r>
        <w:br w:type="textWrapping"/>
      </w:r>
      <w:r>
        <w:t xml:space="preserve">URL: </w:t>
      </w:r>
      <w:r>
        <w:fldChar w:fldCharType="begin"/>
      </w:r>
      <w:r>
        <w:instrText xml:space="preserve"> HYPERLINK "https://pmc.ncbi.nlm.nih.gov/articles/PMC10611935/" </w:instrText>
      </w:r>
      <w:r>
        <w:fldChar w:fldCharType="separate"/>
      </w:r>
      <w:r>
        <w:rPr>
          <w:rStyle w:val="9"/>
        </w:rPr>
        <w:t>https://pmc.ncbi.nlm.nih.gov/articles/PMC10611935/</w:t>
      </w:r>
      <w:r>
        <w:fldChar w:fldCharType="end"/>
      </w:r>
    </w:p>
    <w:p w14:paraId="43CB0726">
      <w:pPr>
        <w:pStyle w:val="11"/>
        <w:keepNext w:val="0"/>
        <w:keepLines w:val="0"/>
        <w:widowControl/>
        <w:suppressLineNumbers w:val="0"/>
      </w:pPr>
      <w:r>
        <w:rPr>
          <w:rStyle w:val="10"/>
          <w:rFonts w:hint="default"/>
          <w:lang w:val="en-US"/>
        </w:rPr>
        <w:t xml:space="preserve">5) </w:t>
      </w:r>
      <w:r>
        <w:rPr>
          <w:rStyle w:val="10"/>
        </w:rPr>
        <w:t>Effectiveness of a Gamified Educational Application on Attention and …</w:t>
      </w:r>
      <w:r>
        <w:br w:type="textWrapping"/>
      </w:r>
      <w:r>
        <w:t xml:space="preserve">URL: </w:t>
      </w:r>
      <w:r>
        <w:fldChar w:fldCharType="begin"/>
      </w:r>
      <w:r>
        <w:instrText xml:space="preserve"> HYPERLINK "https://www.frontiersin.org/journals/education/articles/10.3389/feduc.2025.1668260/full" </w:instrText>
      </w:r>
      <w:r>
        <w:fldChar w:fldCharType="separate"/>
      </w:r>
      <w:r>
        <w:rPr>
          <w:rStyle w:val="9"/>
        </w:rPr>
        <w:t>https://www.frontiersin.org/journals/education/articles/10.3389/feduc.2025.1668260/full</w:t>
      </w:r>
      <w:r>
        <w:fldChar w:fldCharType="end"/>
      </w:r>
    </w:p>
    <w:p w14:paraId="5D9FA60B">
      <w:pPr>
        <w:pStyle w:val="11"/>
        <w:keepNext w:val="0"/>
        <w:keepLines w:val="0"/>
        <w:widowControl/>
        <w:suppressLineNumbers w:val="0"/>
      </w:pPr>
      <w:r>
        <w:rPr>
          <w:rStyle w:val="10"/>
          <w:rFonts w:hint="default"/>
          <w:lang w:val="en-US"/>
        </w:rPr>
        <w:t>6) T</w:t>
      </w:r>
      <w:r>
        <w:rPr>
          <w:rStyle w:val="10"/>
        </w:rPr>
        <w:t>he effect of short-form video addiction on undergraduates …</w:t>
      </w:r>
      <w:r>
        <w:br w:type="textWrapping"/>
      </w:r>
      <w:r>
        <w:t xml:space="preserve">URL: </w:t>
      </w:r>
      <w:r>
        <w:fldChar w:fldCharType="begin"/>
      </w:r>
      <w:r>
        <w:instrText xml:space="preserve"> HYPERLINK "https://pmc.ncbi.nlm.nih.gov/articles/PMC10756502/" </w:instrText>
      </w:r>
      <w:r>
        <w:fldChar w:fldCharType="separate"/>
      </w:r>
      <w:r>
        <w:rPr>
          <w:rStyle w:val="9"/>
        </w:rPr>
        <w:t>https://pmc.ncbi.nlm.nih.gov/articles/PMC10756502/</w:t>
      </w:r>
      <w:r>
        <w:fldChar w:fldCharType="end"/>
      </w:r>
    </w:p>
    <w:p w14:paraId="09337386">
      <w:pPr>
        <w:pStyle w:val="11"/>
        <w:keepNext w:val="0"/>
        <w:keepLines w:val="0"/>
        <w:widowControl/>
        <w:suppressLineNumbers w:val="0"/>
      </w:pPr>
      <w:r>
        <w:rPr>
          <w:rStyle w:val="10"/>
          <w:rFonts w:hint="default"/>
          <w:lang w:val="en-US"/>
        </w:rPr>
        <w:t xml:space="preserve">7) </w:t>
      </w:r>
      <w:r>
        <w:rPr>
          <w:rStyle w:val="10"/>
        </w:rPr>
        <w:t>Social media, not gaming, tied to rising attention problems in teens, new study finds</w:t>
      </w:r>
      <w:r>
        <w:br w:type="textWrapping"/>
      </w:r>
      <w:r>
        <w:t xml:space="preserve">URL: </w:t>
      </w:r>
      <w:r>
        <w:fldChar w:fldCharType="begin"/>
      </w:r>
      <w:r>
        <w:instrText xml:space="preserve"> HYPERLINK "https://theconversation.com/social-media-not-gaming-tied-to-rising-attention-problems-in-teens-new-study-finds" </w:instrText>
      </w:r>
      <w:r>
        <w:fldChar w:fldCharType="separate"/>
      </w:r>
      <w:r>
        <w:rPr>
          <w:rStyle w:val="9"/>
        </w:rPr>
        <w:t>https://theconversation.com/social-media-not-gaming-tied-to-rising-attention-problems-in-teens-new-study-finds</w:t>
      </w:r>
      <w:r>
        <w:fldChar w:fldCharType="end"/>
      </w:r>
    </w:p>
    <w:p w14:paraId="396385E3">
      <w:pPr>
        <w:pStyle w:val="11"/>
        <w:keepNext w:val="0"/>
        <w:keepLines w:val="0"/>
        <w:widowControl/>
        <w:suppressLineNumbers w:val="0"/>
        <w:rPr>
          <w:rFonts w:hint="default" w:ascii="Times New Roman" w:hAnsi="Times New Roman"/>
          <w:sz w:val="22"/>
          <w:szCs w:val="22"/>
        </w:rPr>
      </w:pPr>
      <w:r>
        <w:rPr>
          <w:rStyle w:val="10"/>
          <w:rFonts w:hint="default"/>
          <w:lang w:val="en-US"/>
        </w:rPr>
        <w:t xml:space="preserve">8) </w:t>
      </w:r>
      <w:r>
        <w:rPr>
          <w:rStyle w:val="10"/>
        </w:rPr>
        <w:t>Mid-Adolescents’ Social Media Use: Supporting and Suppressing Autonomy – Monique West …</w:t>
      </w:r>
      <w:r>
        <w:br w:type="textWrapping"/>
      </w:r>
      <w:r>
        <w:t xml:space="preserve">URL: </w:t>
      </w:r>
      <w:r>
        <w:fldChar w:fldCharType="begin"/>
      </w:r>
      <w:r>
        <w:instrText xml:space="preserve"> HYPERLINK "https://journals.sagepub.com/doi/10.1177/07435584231168402" </w:instrText>
      </w:r>
      <w:r>
        <w:fldChar w:fldCharType="separate"/>
      </w:r>
      <w:r>
        <w:rPr>
          <w:rStyle w:val="9"/>
        </w:rPr>
        <w:t>https://journals.sagepub.com/doi/10.1177/07435584231168402</w:t>
      </w:r>
      <w:r>
        <w:fldChar w:fldCharType="end"/>
      </w:r>
    </w:p>
    <w:p w14:paraId="1B41D749">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 Проверка выбранных источников</w:t>
      </w:r>
    </w:p>
    <w:p w14:paraId="1418D92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Источник 1: </w:t>
      </w:r>
      <w:r>
        <w:rPr>
          <w:rStyle w:val="10"/>
          <w:rFonts w:hint="default" w:ascii="Times New Roman" w:hAnsi="Times New Roman" w:cs="Times New Roman"/>
          <w:b/>
          <w:bCs/>
        </w:rPr>
        <w:t>Growing Up Wired: Social Networking Sites and Adolescent…</w:t>
      </w:r>
      <w:r>
        <w:rPr>
          <w:rFonts w:hint="default" w:ascii="Times New Roman" w:hAnsi="Times New Roman" w:cs="Times New Roman"/>
        </w:rPr>
        <w:t xml:space="preserve"> (2023)</w:t>
      </w:r>
    </w:p>
    <w:p w14:paraId="164D400A">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Что утверждает Perplexity:</w:t>
      </w:r>
      <w:r>
        <w:rPr>
          <w:rFonts w:hint="default" w:ascii="Times New Roman" w:hAnsi="Times New Roman" w:cs="Times New Roman"/>
        </w:rPr>
        <w:br w:type="textWrapping"/>
      </w:r>
      <w:r>
        <w:rPr>
          <w:rFonts w:hint="default" w:ascii="Times New Roman" w:hAnsi="Times New Roman" w:cs="Times New Roman"/>
        </w:rPr>
        <w:t>Короткие видео вызывают прокрастинацию и снижают мотивацию к обучению.</w:t>
      </w:r>
    </w:p>
    <w:p w14:paraId="05654D96">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Что написано в статье:</w:t>
      </w:r>
      <w:r>
        <w:rPr>
          <w:rFonts w:hint="default" w:ascii="Times New Roman" w:hAnsi="Times New Roman" w:cs="Times New Roman"/>
        </w:rPr>
        <w:br w:type="textWrapping"/>
      </w:r>
      <w:r>
        <w:rPr>
          <w:rFonts w:hint="default" w:ascii="Times New Roman" w:hAnsi="Times New Roman" w:eastAsia="SimSun" w:cs="Times New Roman"/>
          <w:sz w:val="24"/>
          <w:szCs w:val="24"/>
        </w:rPr>
        <w:t>Статья представляет собой теоретико-аналитический обзор исследований социальных сетей и их влияния на психосоциальное развитие подростков. Однако в ней отсутствует анализ когнитивных функций, в частности произвольного внимания. Также работа была опубликована в 2014 году и рассматривает преимущественно Facebook и MySpace, что снижает её актуальность в контексте современных коротких видеоформатов (TikTok, Reels, Shorts).</w:t>
      </w:r>
    </w:p>
    <w:p w14:paraId="3392EE1A">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Вывод:</w:t>
      </w:r>
      <w:r>
        <w:rPr>
          <w:rFonts w:hint="default" w:ascii="Times New Roman" w:hAnsi="Times New Roman" w:cs="Times New Roman"/>
        </w:rPr>
        <w:br w:type="textWrapping"/>
      </w:r>
      <w:r>
        <w:rPr>
          <w:rFonts w:hint="default" w:ascii="Times New Roman" w:hAnsi="Times New Roman" w:cs="Times New Roman"/>
        </w:rPr>
        <w:t>Perplexity корректно передал общий результат, но расширил возрастную выборку без уточнения.</w:t>
      </w:r>
    </w:p>
    <w:p w14:paraId="5129307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Источник 2: </w:t>
      </w:r>
      <w:r>
        <w:rPr>
          <w:rFonts w:hint="default" w:ascii="Times New Roman" w:hAnsi="Times New Roman" w:eastAsia="SimSun" w:cs="Times New Roman"/>
          <w:sz w:val="28"/>
          <w:szCs w:val="28"/>
        </w:rPr>
        <w:t>Frontiers in Psychology (2024)</w:t>
      </w:r>
    </w:p>
    <w:p w14:paraId="77316DE2">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Что утверждает Perplexity:</w:t>
      </w:r>
      <w:r>
        <w:rPr>
          <w:rFonts w:hint="default" w:ascii="Times New Roman" w:hAnsi="Times New Roman" w:cs="Times New Roman"/>
        </w:rPr>
        <w:br w:type="textWrapping"/>
      </w:r>
      <w:r>
        <w:rPr>
          <w:rFonts w:hint="default" w:ascii="Times New Roman" w:hAnsi="Times New Roman" w:cs="Times New Roman"/>
        </w:rPr>
        <w:t>Геймификация повышает мотивацию и улучшает внимание.</w:t>
      </w:r>
    </w:p>
    <w:p w14:paraId="2885FD7C">
      <w:pPr>
        <w:pStyle w:val="11"/>
        <w:keepNext w:val="0"/>
        <w:keepLines w:val="0"/>
        <w:widowControl/>
        <w:suppressLineNumbers w:val="0"/>
        <w:rPr>
          <w:rFonts w:hint="default" w:ascii="Times New Roman" w:hAnsi="Times New Roman" w:eastAsia="SimSun" w:cs="Times New Roman"/>
          <w:sz w:val="24"/>
          <w:szCs w:val="24"/>
        </w:rPr>
      </w:pPr>
      <w:r>
        <w:rPr>
          <w:rStyle w:val="10"/>
          <w:rFonts w:hint="default" w:ascii="Times New Roman" w:hAnsi="Times New Roman" w:cs="Times New Roman"/>
        </w:rPr>
        <w:t>Что написано в статье:</w:t>
      </w:r>
      <w:r>
        <w:rPr>
          <w:rFonts w:hint="default" w:ascii="Times New Roman" w:hAnsi="Times New Roman" w:cs="Times New Roman"/>
        </w:rPr>
        <w:br w:type="textWrapping"/>
      </w:r>
      <w:r>
        <w:rPr>
          <w:rFonts w:hint="default" w:ascii="Times New Roman" w:hAnsi="Times New Roman" w:eastAsia="SimSun" w:cs="Times New Roman"/>
          <w:sz w:val="24"/>
          <w:szCs w:val="24"/>
        </w:rPr>
        <w:t>Эмпирическое исследование, проведённое на выборке 1896 китайских подростков, показало, что уровень зависимости от коротких видео значительно различается в зависимости от возрастного этапа. Наиболее уязвимым периодом является старшая школа, где ведущим фактором выступает академическое давление. При этом высокая степень зависимости статистически связана со снижением образовательного продвижения. Однако исследование опирается на самоотчётные данные и не включает объективных когнитивных измерений внимания.</w:t>
      </w:r>
    </w:p>
    <w:p w14:paraId="43BF9D33">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Вывод:</w:t>
      </w:r>
      <w:r>
        <w:rPr>
          <w:rFonts w:hint="default" w:ascii="Times New Roman" w:hAnsi="Times New Roman" w:cs="Times New Roman"/>
        </w:rPr>
        <w:br w:type="textWrapping"/>
      </w:r>
      <w:r>
        <w:rPr>
          <w:rFonts w:hint="default" w:ascii="Times New Roman" w:hAnsi="Times New Roman" w:cs="Times New Roman"/>
        </w:rPr>
        <w:t>Интерпретация Perplexity частично корректна, но есть обобщение данных.</w:t>
      </w:r>
    </w:p>
    <w:p w14:paraId="0A809676">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5. Общий вывод о надёжности Perplexity</w:t>
      </w:r>
    </w:p>
    <w:p w14:paraId="6DBB878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Анализ показал, что Perplexity:</w:t>
      </w:r>
    </w:p>
    <w:p w14:paraId="0A2AD1E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 корректно подбирает тематически релевантные исследования;</w:t>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в целом верно передаёт основные результаты;</w:t>
      </w:r>
      <w:r>
        <w:rPr>
          <w:rFonts w:hint="default" w:ascii="Times New Roman" w:hAnsi="Times New Roman" w:cs="Times New Roman"/>
        </w:rPr>
        <w:br w:type="textWrapping"/>
      </w:r>
      <w:r>
        <w:rPr>
          <w:rFonts w:hint="default" w:ascii="Times New Roman" w:hAnsi="Times New Roman" w:cs="Times New Roman"/>
          <w:lang w:val="en-US"/>
        </w:rPr>
        <w:t>-</w:t>
      </w:r>
      <w:r>
        <w:rPr>
          <w:rFonts w:hint="default" w:ascii="Times New Roman" w:hAnsi="Times New Roman" w:cs="Times New Roman"/>
        </w:rPr>
        <w:t xml:space="preserve"> помогает быстро сформировать обзор литературы;</w:t>
      </w:r>
    </w:p>
    <w:p w14:paraId="3300E0F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Однако:</w:t>
      </w:r>
    </w:p>
    <w:p w14:paraId="66B9A3E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 иногда расширяет возрастные группы без уточнения;</w:t>
      </w:r>
      <w:r>
        <w:rPr>
          <w:rFonts w:hint="default" w:ascii="Times New Roman" w:hAnsi="Times New Roman" w:cs="Times New Roman"/>
        </w:rPr>
        <w:br w:type="textWrapping"/>
      </w:r>
      <w:r>
        <w:rPr>
          <w:rFonts w:hint="default" w:ascii="Times New Roman" w:hAnsi="Times New Roman" w:cs="Times New Roman"/>
          <w:lang w:val="en-US"/>
        </w:rPr>
        <w:t>-</w:t>
      </w:r>
      <w:r>
        <w:rPr>
          <w:rFonts w:hint="default" w:ascii="Times New Roman" w:hAnsi="Times New Roman" w:cs="Times New Roman"/>
        </w:rPr>
        <w:t xml:space="preserve"> может приписывать исследованиям более широкие выводы, чем заявлено авторами;</w:t>
      </w:r>
    </w:p>
    <w:p w14:paraId="7845D4DA">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требует обязательной проверки первоисточников.</w:t>
      </w:r>
    </w:p>
    <w:p w14:paraId="5664EE69">
      <w:pPr>
        <w:pStyle w:val="11"/>
        <w:keepNext w:val="0"/>
        <w:keepLines w:val="0"/>
        <w:widowControl/>
        <w:suppressLineNumbers w:val="0"/>
        <w:rPr>
          <w:rFonts w:hint="default" w:ascii="Times New Roman" w:hAnsi="Times New Roman" w:cs="Times New Roman"/>
          <w:lang w:val="ru-RU"/>
        </w:rPr>
      </w:pPr>
    </w:p>
    <w:p w14:paraId="5C6CF1F3">
      <w:pPr>
        <w:pStyle w:val="11"/>
        <w:keepNext w:val="0"/>
        <w:keepLines w:val="0"/>
        <w:widowControl/>
        <w:suppressLineNumbers w:val="0"/>
        <w:rPr>
          <w:rFonts w:hint="default" w:ascii="Times New Roman" w:hAnsi="Times New Roman" w:cs="Times New Roman"/>
          <w:lang w:val="ru-RU"/>
        </w:rPr>
      </w:pPr>
    </w:p>
    <w:p w14:paraId="41BDFDD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Итог</w:t>
      </w:r>
    </w:p>
    <w:p w14:paraId="26A1614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Perplexity можно использовать как инструмент первичного поиска и ориентировочного обзора литературы, но не как самостоятельный источник научных выводов. Для психолого-педагогических исследований необходима обязательная верификация всех цитируемых работ.</w:t>
      </w:r>
    </w:p>
    <w:p w14:paraId="68946213">
      <w:pPr>
        <w:pStyle w:val="11"/>
        <w:keepNext w:val="0"/>
        <w:keepLines w:val="0"/>
        <w:widowControl/>
        <w:suppressLineNumbers w:val="0"/>
        <w:rPr>
          <w:rFonts w:hint="default" w:ascii="Times New Roman" w:hAnsi="Times New Roman" w:cs="Times New Roman"/>
        </w:rPr>
      </w:pPr>
    </w:p>
    <w:p w14:paraId="2EDCEC94">
      <w:pPr>
        <w:pStyle w:val="11"/>
        <w:keepNext w:val="0"/>
        <w:keepLines w:val="0"/>
        <w:widowControl/>
        <w:suppressLineNumbers w:val="0"/>
        <w:rPr>
          <w:rFonts w:hint="default" w:ascii="Times New Roman" w:hAnsi="Times New Roman" w:cs="Times New Roman"/>
        </w:rPr>
      </w:pPr>
    </w:p>
    <w:p w14:paraId="51049C1D">
      <w:pPr>
        <w:pStyle w:val="11"/>
        <w:keepNext w:val="0"/>
        <w:keepLines w:val="0"/>
        <w:widowControl/>
        <w:suppressLineNumbers w:val="0"/>
        <w:rPr>
          <w:rFonts w:hint="default" w:ascii="Times New Roman" w:hAnsi="Times New Roman" w:cs="Times New Roman"/>
        </w:rPr>
      </w:pPr>
    </w:p>
    <w:p w14:paraId="261717B7">
      <w:pPr>
        <w:pStyle w:val="11"/>
        <w:keepNext w:val="0"/>
        <w:keepLines w:val="0"/>
        <w:widowControl/>
        <w:suppressLineNumbers w:val="0"/>
        <w:rPr>
          <w:rFonts w:hint="default" w:ascii="Times New Roman" w:hAnsi="Times New Roman" w:cs="Times New Roman"/>
        </w:rPr>
      </w:pPr>
    </w:p>
    <w:p w14:paraId="123D4955">
      <w:pPr>
        <w:pStyle w:val="11"/>
        <w:keepNext w:val="0"/>
        <w:keepLines w:val="0"/>
        <w:widowControl/>
        <w:suppressLineNumbers w:val="0"/>
        <w:rPr>
          <w:rFonts w:hint="default" w:ascii="Times New Roman" w:hAnsi="Times New Roman" w:cs="Times New Roman"/>
        </w:rPr>
      </w:pPr>
    </w:p>
    <w:p w14:paraId="03483B76">
      <w:pPr>
        <w:pStyle w:val="11"/>
        <w:keepNext w:val="0"/>
        <w:keepLines w:val="0"/>
        <w:widowControl/>
        <w:suppressLineNumbers w:val="0"/>
        <w:rPr>
          <w:rFonts w:hint="default" w:ascii="Times New Roman" w:hAnsi="Times New Roman" w:cs="Times New Roman"/>
        </w:rPr>
      </w:pPr>
    </w:p>
    <w:p w14:paraId="4495F7F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Приложени</w:t>
      </w:r>
      <w:r>
        <w:rPr>
          <w:rFonts w:hint="default" w:ascii="Times New Roman" w:hAnsi="Times New Roman" w:cs="Times New Roman"/>
          <w:lang w:val="ru-RU"/>
        </w:rPr>
        <w:t>я</w:t>
      </w:r>
    </w:p>
    <w:p w14:paraId="7DE06A48">
      <w:pPr>
        <w:pStyle w:val="11"/>
        <w:keepNext w:val="0"/>
        <w:keepLines w:val="0"/>
        <w:widowControl/>
        <w:suppressLineNumbers w:val="0"/>
      </w:pPr>
      <w:r>
        <w:rPr>
          <w:rStyle w:val="10"/>
          <w:rFonts w:hint="default" w:ascii="Times New Roman" w:hAnsi="Times New Roman" w:cs="Times New Roman"/>
        </w:rPr>
        <w:t>Скриншот 1.</w:t>
      </w:r>
      <w:r>
        <w:drawing>
          <wp:inline distT="0" distB="0" distL="114300" distR="114300">
            <wp:extent cx="5268595" cy="7073900"/>
            <wp:effectExtent l="0" t="0" r="8255" b="1270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4"/>
                    <a:stretch>
                      <a:fillRect/>
                    </a:stretch>
                  </pic:blipFill>
                  <pic:spPr>
                    <a:xfrm>
                      <a:off x="0" y="0"/>
                      <a:ext cx="5268595" cy="7073900"/>
                    </a:xfrm>
                    <a:prstGeom prst="rect">
                      <a:avLst/>
                    </a:prstGeom>
                    <a:noFill/>
                    <a:ln>
                      <a:noFill/>
                    </a:ln>
                  </pic:spPr>
                </pic:pic>
              </a:graphicData>
            </a:graphic>
          </wp:inline>
        </w:drawing>
      </w:r>
    </w:p>
    <w:p w14:paraId="04B2D2E4">
      <w:pPr>
        <w:pStyle w:val="11"/>
        <w:keepNext w:val="0"/>
        <w:keepLines w:val="0"/>
        <w:widowControl/>
        <w:suppressLineNumbers w:val="0"/>
      </w:pPr>
    </w:p>
    <w:p w14:paraId="2771DCD0">
      <w:pPr>
        <w:pStyle w:val="11"/>
        <w:keepNext w:val="0"/>
        <w:keepLines w:val="0"/>
        <w:widowControl/>
        <w:suppressLineNumbers w:val="0"/>
        <w:rPr>
          <w:rFonts w:hint="default"/>
        </w:rPr>
      </w:pPr>
    </w:p>
    <w:p w14:paraId="30805532">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Скриншот 2.</w:t>
      </w:r>
      <w:r>
        <w:drawing>
          <wp:inline distT="0" distB="0" distL="114300" distR="114300">
            <wp:extent cx="5271135" cy="3383915"/>
            <wp:effectExtent l="0" t="0" r="5715" b="6985"/>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pic:cNvPicPr>
                  </pic:nvPicPr>
                  <pic:blipFill>
                    <a:blip r:embed="rId5"/>
                    <a:stretch>
                      <a:fillRect/>
                    </a:stretch>
                  </pic:blipFill>
                  <pic:spPr>
                    <a:xfrm>
                      <a:off x="0" y="0"/>
                      <a:ext cx="5271135" cy="3383915"/>
                    </a:xfrm>
                    <a:prstGeom prst="rect">
                      <a:avLst/>
                    </a:prstGeom>
                    <a:noFill/>
                    <a:ln>
                      <a:noFill/>
                    </a:ln>
                  </pic:spPr>
                </pic:pic>
              </a:graphicData>
            </a:graphic>
          </wp:inline>
        </w:drawing>
      </w:r>
    </w:p>
    <w:p w14:paraId="238FD70A">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Скриншот 3.</w:t>
      </w:r>
      <w:r>
        <w:rPr>
          <w:rFonts w:hint="default" w:ascii="Times New Roman" w:hAnsi="Times New Roman" w:cs="Times New Roman"/>
        </w:rPr>
        <w:t xml:space="preserve"> </w:t>
      </w:r>
      <w:r>
        <w:drawing>
          <wp:inline distT="0" distB="0" distL="114300" distR="114300">
            <wp:extent cx="5269865" cy="3437255"/>
            <wp:effectExtent l="0" t="0" r="6985" b="10795"/>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pic:cNvPicPr>
                  </pic:nvPicPr>
                  <pic:blipFill>
                    <a:blip r:embed="rId6"/>
                    <a:stretch>
                      <a:fillRect/>
                    </a:stretch>
                  </pic:blipFill>
                  <pic:spPr>
                    <a:xfrm>
                      <a:off x="0" y="0"/>
                      <a:ext cx="5269865" cy="3437255"/>
                    </a:xfrm>
                    <a:prstGeom prst="rect">
                      <a:avLst/>
                    </a:prstGeom>
                    <a:noFill/>
                    <a:ln>
                      <a:noFill/>
                    </a:ln>
                  </pic:spPr>
                </pic:pic>
              </a:graphicData>
            </a:graphic>
          </wp:inline>
        </w:drawing>
      </w:r>
    </w:p>
    <w:p w14:paraId="7434E5C1">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951F1"/>
    <w:rsid w:val="36E31B78"/>
    <w:rsid w:val="75B95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Emphasis"/>
    <w:basedOn w:val="5"/>
    <w:qFormat/>
    <w:uiPriority w:val="0"/>
    <w:rPr>
      <w:i/>
      <w:iCs/>
    </w:rPr>
  </w:style>
  <w:style w:type="character" w:styleId="9">
    <w:name w:val="Hyperlink"/>
    <w:basedOn w:val="5"/>
    <w:uiPriority w:val="0"/>
    <w:rPr>
      <w:color w:val="0000FF"/>
      <w:u w:val="single"/>
    </w:rPr>
  </w:style>
  <w:style w:type="character" w:styleId="10">
    <w:name w:val="Strong"/>
    <w:basedOn w:val="5"/>
    <w:qFormat/>
    <w:uiPriority w:val="0"/>
    <w:rPr>
      <w:b/>
      <w:bCs/>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2026-02-21T16:57:00Z</dcterms:created>
  <dc:creator>xxxnx</dc:creator>
  <cp:lastModifiedBy>MaLick363</cp:lastModifiedBy>
  <dcterms:modified xsi:type="dcterms:W3CDTF">2026-02-23T12:29:27Z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1998E9BCB65B40B7BEB65C79702CEA16_13</vt:lpwstr>
  </property>
</Properties>
</file>