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k2jymzf04rhy" w:id="0"/>
      <w:bookmarkEnd w:id="0"/>
      <w:r w:rsidDel="00000000" w:rsidR="00000000" w:rsidRPr="00000000">
        <w:rPr>
          <w:rtl w:val="0"/>
        </w:rPr>
        <w:t xml:space="preserve">Accessibility Trivia Answer Sheet</w:t>
      </w:r>
      <w:r w:rsidDel="00000000" w:rsidR="00000000" w:rsidRPr="00000000">
        <w:rPr>
          <w:rtl w:val="0"/>
        </w:rPr>
      </w:r>
    </w:p>
    <w:p w:rsidR="00000000" w:rsidDel="00000000" w:rsidP="00000000" w:rsidRDefault="00000000" w:rsidRPr="00000000" w14:paraId="00000002">
      <w:pPr>
        <w:pStyle w:val="Heading2"/>
        <w:pageBreakBefore w:val="0"/>
        <w:rPr>
          <w:highlight w:val="white"/>
        </w:rPr>
      </w:pPr>
      <w:bookmarkStart w:colFirst="0" w:colLast="0" w:name="_of9vqw51vbgy" w:id="1"/>
      <w:bookmarkEnd w:id="1"/>
      <w:r w:rsidDel="00000000" w:rsidR="00000000" w:rsidRPr="00000000">
        <w:rPr>
          <w:highlight w:val="white"/>
          <w:rtl w:val="0"/>
        </w:rPr>
        <w:t xml:space="preserve">Round 1: Disability History &amp; Facts</w:t>
      </w:r>
      <w:r w:rsidDel="00000000" w:rsidR="00000000" w:rsidRPr="00000000">
        <w:rPr>
          <w:rtl w:val="0"/>
        </w:rPr>
        <w:t xml:space="preserve"> </w:t>
      </w:r>
      <w:r w:rsidDel="00000000" w:rsidR="00000000" w:rsidRPr="00000000">
        <w:rPr>
          <w:highlight w:val="white"/>
          <w:rtl w:val="0"/>
        </w:rPr>
        <w:t xml:space="preserve">(1pt each; 12 questions)</w:t>
      </w:r>
    </w:p>
    <w:p w:rsidR="00000000" w:rsidDel="00000000" w:rsidP="00000000" w:rsidRDefault="00000000" w:rsidRPr="00000000" w14:paraId="00000003">
      <w:pPr>
        <w:pageBreakBefore w:val="0"/>
        <w:widowControl w:val="0"/>
        <w:numPr>
          <w:ilvl w:val="0"/>
          <w:numId w:val="3"/>
        </w:numPr>
        <w:ind w:left="720" w:hanging="360"/>
        <w:rPr>
          <w:u w:val="none"/>
        </w:rPr>
      </w:pPr>
      <w:r w:rsidDel="00000000" w:rsidR="00000000" w:rsidRPr="00000000">
        <w:rPr>
          <w:rtl w:val="0"/>
        </w:rPr>
        <w:t xml:space="preserve">(C) In 1990. It was revised in 2008</w:t>
      </w:r>
    </w:p>
    <w:p w:rsidR="00000000" w:rsidDel="00000000" w:rsidP="00000000" w:rsidRDefault="00000000" w:rsidRPr="00000000" w14:paraId="00000004">
      <w:pPr>
        <w:pageBreakBefore w:val="0"/>
        <w:widowControl w:val="0"/>
        <w:numPr>
          <w:ilvl w:val="0"/>
          <w:numId w:val="3"/>
        </w:numPr>
        <w:ind w:left="720" w:hanging="360"/>
        <w:rPr>
          <w:u w:val="none"/>
        </w:rPr>
      </w:pPr>
      <w:r w:rsidDel="00000000" w:rsidR="00000000" w:rsidRPr="00000000">
        <w:rPr>
          <w:rtl w:val="0"/>
        </w:rPr>
        <w:t xml:space="preserve">(D) The Individuals with Disabilities Education Act (IDEA). IDEA ensures a free, appropriate public education, to eligible children with disabilities in the U.S. and ensures special education and related services to those children. The other regulations require equal access for individuals with disabilities.</w:t>
      </w:r>
    </w:p>
    <w:p w:rsidR="00000000" w:rsidDel="00000000" w:rsidP="00000000" w:rsidRDefault="00000000" w:rsidRPr="00000000" w14:paraId="00000005">
      <w:pPr>
        <w:pageBreakBefore w:val="0"/>
        <w:widowControl w:val="0"/>
        <w:numPr>
          <w:ilvl w:val="0"/>
          <w:numId w:val="3"/>
        </w:numPr>
        <w:ind w:left="720" w:hanging="360"/>
        <w:rPr>
          <w:u w:val="none"/>
        </w:rPr>
      </w:pPr>
      <w:r w:rsidDel="00000000" w:rsidR="00000000" w:rsidRPr="00000000">
        <w:rPr>
          <w:rtl w:val="0"/>
        </w:rPr>
        <w:t xml:space="preserve">(B) The Convention on the Rights of Persons with Disabilities,  It was adopted on 13 December 2006 at the United Nations Headquarters in New York, and was opened for signature on 30 March 2007. There were 82 signatories to the Convention, 44 signatories to the Optional Protocol, and 1 ratification of the Convention. This is the highest number of signatories in history to a UN Convention on its opening day. The Convention entered into force on 3 May 2008.</w:t>
      </w:r>
    </w:p>
    <w:p w:rsidR="00000000" w:rsidDel="00000000" w:rsidP="00000000" w:rsidRDefault="00000000" w:rsidRPr="00000000" w14:paraId="00000006">
      <w:pPr>
        <w:pageBreakBefore w:val="0"/>
        <w:widowControl w:val="0"/>
        <w:numPr>
          <w:ilvl w:val="0"/>
          <w:numId w:val="3"/>
        </w:numPr>
        <w:ind w:left="720" w:hanging="360"/>
        <w:rPr>
          <w:u w:val="none"/>
        </w:rPr>
      </w:pPr>
      <w:r w:rsidDel="00000000" w:rsidR="00000000" w:rsidRPr="00000000">
        <w:rPr>
          <w:rtl w:val="0"/>
        </w:rPr>
        <w:t xml:space="preserve">(D) The AODA became law on June 13, 2005 and applies to all levels of government, nonprofits, and private sector businesses in Ontario that have one or more employees (full-time, part-time, seasonal, or contract). </w:t>
      </w:r>
    </w:p>
    <w:p w:rsidR="00000000" w:rsidDel="00000000" w:rsidP="00000000" w:rsidRDefault="00000000" w:rsidRPr="00000000" w14:paraId="00000007">
      <w:pPr>
        <w:pageBreakBefore w:val="0"/>
        <w:widowControl w:val="0"/>
        <w:numPr>
          <w:ilvl w:val="0"/>
          <w:numId w:val="3"/>
        </w:numPr>
        <w:ind w:left="720" w:hanging="360"/>
        <w:rPr>
          <w:u w:val="none"/>
        </w:rPr>
      </w:pPr>
      <w:r w:rsidDel="00000000" w:rsidR="00000000" w:rsidRPr="00000000">
        <w:rPr>
          <w:rtl w:val="0"/>
        </w:rPr>
        <w:t xml:space="preserve">False. Blindness is defined by the World Health Organization as vision in a person's best eye with best correction of less than 20/500 or a visual field of less than 10 degrees.</w:t>
      </w:r>
    </w:p>
    <w:p w:rsidR="00000000" w:rsidDel="00000000" w:rsidP="00000000" w:rsidRDefault="00000000" w:rsidRPr="00000000" w14:paraId="00000008">
      <w:pPr>
        <w:pageBreakBefore w:val="0"/>
        <w:widowControl w:val="0"/>
        <w:numPr>
          <w:ilvl w:val="0"/>
          <w:numId w:val="3"/>
        </w:numPr>
        <w:ind w:left="720" w:hanging="360"/>
        <w:rPr>
          <w:u w:val="none"/>
        </w:rPr>
      </w:pPr>
      <w:r w:rsidDel="00000000" w:rsidR="00000000" w:rsidRPr="00000000">
        <w:rPr>
          <w:rtl w:val="0"/>
        </w:rPr>
        <w:t xml:space="preserve">(C) About 8 percent of men (and 0.5 percent of women) with Northern European ancestry have the common form of red-green color blindness.</w:t>
      </w:r>
    </w:p>
    <w:p w:rsidR="00000000" w:rsidDel="00000000" w:rsidP="00000000" w:rsidRDefault="00000000" w:rsidRPr="00000000" w14:paraId="00000009">
      <w:pPr>
        <w:pageBreakBefore w:val="0"/>
        <w:widowControl w:val="0"/>
        <w:numPr>
          <w:ilvl w:val="0"/>
          <w:numId w:val="3"/>
        </w:numPr>
        <w:ind w:left="720" w:hanging="360"/>
        <w:rPr>
          <w:u w:val="none"/>
        </w:rPr>
      </w:pPr>
      <w:r w:rsidDel="00000000" w:rsidR="00000000" w:rsidRPr="00000000">
        <w:rPr>
          <w:rtl w:val="0"/>
        </w:rPr>
        <w:t xml:space="preserve">False. According to the World Health Organization, over one Billion people in the world have some form of disability.  This corresponds to about 20% of the population. </w:t>
      </w:r>
    </w:p>
    <w:p w:rsidR="00000000" w:rsidDel="00000000" w:rsidP="00000000" w:rsidRDefault="00000000" w:rsidRPr="00000000" w14:paraId="0000000A">
      <w:pPr>
        <w:pageBreakBefore w:val="0"/>
        <w:widowControl w:val="0"/>
        <w:numPr>
          <w:ilvl w:val="0"/>
          <w:numId w:val="3"/>
        </w:numPr>
        <w:ind w:left="720" w:hanging="360"/>
        <w:rPr>
          <w:u w:val="none"/>
        </w:rPr>
      </w:pPr>
      <w:r w:rsidDel="00000000" w:rsidR="00000000" w:rsidRPr="00000000">
        <w:rPr>
          <w:rtl w:val="0"/>
        </w:rPr>
        <w:t xml:space="preserve">(C) 466 million people have hearing loss.</w:t>
      </w:r>
    </w:p>
    <w:p w:rsidR="00000000" w:rsidDel="00000000" w:rsidP="00000000" w:rsidRDefault="00000000" w:rsidRPr="00000000" w14:paraId="0000000B">
      <w:pPr>
        <w:pageBreakBefore w:val="0"/>
        <w:widowControl w:val="0"/>
        <w:numPr>
          <w:ilvl w:val="0"/>
          <w:numId w:val="3"/>
        </w:numPr>
        <w:ind w:left="720" w:hanging="360"/>
        <w:rPr>
          <w:u w:val="none"/>
        </w:rPr>
      </w:pPr>
      <w:r w:rsidDel="00000000" w:rsidR="00000000" w:rsidRPr="00000000">
        <w:rPr>
          <w:rtl w:val="0"/>
        </w:rPr>
        <w:t xml:space="preserve">(C) Open captions are always visible whenever the video is playing. Closed captions can be controlled by the user who can turn them on and off, and change their visual appearance such as font, size, color, and background.</w:t>
      </w:r>
    </w:p>
    <w:p w:rsidR="00000000" w:rsidDel="00000000" w:rsidP="00000000" w:rsidRDefault="00000000" w:rsidRPr="00000000" w14:paraId="0000000C">
      <w:pPr>
        <w:pageBreakBefore w:val="0"/>
        <w:widowControl w:val="0"/>
        <w:numPr>
          <w:ilvl w:val="0"/>
          <w:numId w:val="3"/>
        </w:numPr>
        <w:ind w:left="720" w:hanging="450"/>
        <w:rPr>
          <w:u w:val="none"/>
        </w:rPr>
      </w:pPr>
      <w:r w:rsidDel="00000000" w:rsidR="00000000" w:rsidRPr="00000000">
        <w:rPr>
          <w:rtl w:val="0"/>
        </w:rPr>
        <w:t xml:space="preserve">False. According to the World Health Organization, current production of hearing aids meets less than 10% of global need.</w:t>
      </w:r>
    </w:p>
    <w:p w:rsidR="00000000" w:rsidDel="00000000" w:rsidP="00000000" w:rsidRDefault="00000000" w:rsidRPr="00000000" w14:paraId="0000000D">
      <w:pPr>
        <w:pageBreakBefore w:val="0"/>
        <w:widowControl w:val="0"/>
        <w:numPr>
          <w:ilvl w:val="0"/>
          <w:numId w:val="3"/>
        </w:numPr>
        <w:ind w:left="720" w:hanging="450"/>
        <w:rPr>
          <w:u w:val="none"/>
        </w:rPr>
      </w:pPr>
      <w:r w:rsidDel="00000000" w:rsidR="00000000" w:rsidRPr="00000000">
        <w:rPr>
          <w:rtl w:val="0"/>
        </w:rPr>
        <w:t xml:space="preserve">True. It often appears as a “straw” on a wheelchair.  In actuality, two switches are activated. When both are puffed, the wheelchair moves forward, sipped backward. When only one is activated, the wheelchair turns.</w:t>
      </w:r>
    </w:p>
    <w:p w:rsidR="00000000" w:rsidDel="00000000" w:rsidP="00000000" w:rsidRDefault="00000000" w:rsidRPr="00000000" w14:paraId="0000000E">
      <w:pPr>
        <w:pageBreakBefore w:val="0"/>
        <w:widowControl w:val="0"/>
        <w:numPr>
          <w:ilvl w:val="0"/>
          <w:numId w:val="3"/>
        </w:numPr>
        <w:ind w:left="720" w:hanging="450"/>
        <w:rPr>
          <w:u w:val="none"/>
        </w:rPr>
      </w:pPr>
      <w:r w:rsidDel="00000000" w:rsidR="00000000" w:rsidRPr="00000000">
        <w:rPr>
          <w:rtl w:val="0"/>
        </w:rPr>
        <w:t xml:space="preserve">True. Disability can be situational, temporary, or permanent.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pageBreakBefore w:val="0"/>
        <w:widowControl w:val="0"/>
        <w:rPr/>
      </w:pPr>
      <w:bookmarkStart w:colFirst="0" w:colLast="0" w:name="_yuyvoj8y4cly" w:id="2"/>
      <w:bookmarkEnd w:id="2"/>
      <w:r w:rsidDel="00000000" w:rsidR="00000000" w:rsidRPr="00000000">
        <w:rPr>
          <w:rtl w:val="0"/>
        </w:rPr>
        <w:t xml:space="preserve">Round 2: Notable Figures with Disabilities (1 pt each; 12 photos)</w:t>
      </w:r>
    </w:p>
    <w:p w:rsidR="00000000" w:rsidDel="00000000" w:rsidP="00000000" w:rsidRDefault="00000000" w:rsidRPr="00000000" w14:paraId="00000010">
      <w:pPr>
        <w:pageBreakBefore w:val="0"/>
        <w:numPr>
          <w:ilvl w:val="0"/>
          <w:numId w:val="5"/>
        </w:numPr>
        <w:ind w:left="720" w:hanging="360"/>
      </w:pPr>
      <w:r w:rsidDel="00000000" w:rsidR="00000000" w:rsidRPr="00000000">
        <w:rPr>
          <w:rtl w:val="0"/>
        </w:rPr>
        <w:t xml:space="preserve">Stephen Hawking</w:t>
      </w:r>
    </w:p>
    <w:p w:rsidR="00000000" w:rsidDel="00000000" w:rsidP="00000000" w:rsidRDefault="00000000" w:rsidRPr="00000000" w14:paraId="00000011">
      <w:pPr>
        <w:pageBreakBefore w:val="0"/>
        <w:numPr>
          <w:ilvl w:val="0"/>
          <w:numId w:val="5"/>
        </w:numPr>
        <w:ind w:left="720" w:hanging="360"/>
      </w:pPr>
      <w:r w:rsidDel="00000000" w:rsidR="00000000" w:rsidRPr="00000000">
        <w:rPr>
          <w:rtl w:val="0"/>
        </w:rPr>
        <w:t xml:space="preserve">Selma Blair</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Helen Keller</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Stevie Wonder</w:t>
      </w:r>
    </w:p>
    <w:p w:rsidR="00000000" w:rsidDel="00000000" w:rsidP="00000000" w:rsidRDefault="00000000" w:rsidRPr="00000000" w14:paraId="00000014">
      <w:pPr>
        <w:pageBreakBefore w:val="0"/>
        <w:numPr>
          <w:ilvl w:val="0"/>
          <w:numId w:val="5"/>
        </w:numPr>
        <w:ind w:left="720" w:hanging="360"/>
      </w:pPr>
      <w:r w:rsidDel="00000000" w:rsidR="00000000" w:rsidRPr="00000000">
        <w:rPr>
          <w:rtl w:val="0"/>
        </w:rPr>
        <w:t xml:space="preserve">Louis Braille</w:t>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Ludwig Van Beethoven</w:t>
      </w:r>
    </w:p>
    <w:p w:rsidR="00000000" w:rsidDel="00000000" w:rsidP="00000000" w:rsidRDefault="00000000" w:rsidRPr="00000000" w14:paraId="00000016">
      <w:pPr>
        <w:pageBreakBefore w:val="0"/>
        <w:numPr>
          <w:ilvl w:val="0"/>
          <w:numId w:val="5"/>
        </w:numPr>
        <w:ind w:left="720" w:hanging="360"/>
      </w:pPr>
      <w:r w:rsidDel="00000000" w:rsidR="00000000" w:rsidRPr="00000000">
        <w:rPr>
          <w:rtl w:val="0"/>
        </w:rPr>
        <w:t xml:space="preserve">Will Smith</w:t>
      </w:r>
    </w:p>
    <w:p w:rsidR="00000000" w:rsidDel="00000000" w:rsidP="00000000" w:rsidRDefault="00000000" w:rsidRPr="00000000" w14:paraId="00000017">
      <w:pPr>
        <w:pageBreakBefore w:val="0"/>
        <w:numPr>
          <w:ilvl w:val="0"/>
          <w:numId w:val="5"/>
        </w:numPr>
        <w:ind w:left="720" w:hanging="360"/>
      </w:pPr>
      <w:r w:rsidDel="00000000" w:rsidR="00000000" w:rsidRPr="00000000">
        <w:rPr>
          <w:rtl w:val="0"/>
        </w:rPr>
        <w:t xml:space="preserve">Andrea Boccelli</w:t>
      </w:r>
    </w:p>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Frida Kahlo</w:t>
      </w:r>
    </w:p>
    <w:p w:rsidR="00000000" w:rsidDel="00000000" w:rsidP="00000000" w:rsidRDefault="00000000" w:rsidRPr="00000000" w14:paraId="00000019">
      <w:pPr>
        <w:pageBreakBefore w:val="0"/>
        <w:numPr>
          <w:ilvl w:val="0"/>
          <w:numId w:val="5"/>
        </w:numPr>
        <w:ind w:left="720" w:hanging="450"/>
      </w:pPr>
      <w:r w:rsidDel="00000000" w:rsidR="00000000" w:rsidRPr="00000000">
        <w:rPr>
          <w:rtl w:val="0"/>
        </w:rPr>
        <w:t xml:space="preserve">Alex Zanardi</w:t>
      </w:r>
    </w:p>
    <w:p w:rsidR="00000000" w:rsidDel="00000000" w:rsidP="00000000" w:rsidRDefault="00000000" w:rsidRPr="00000000" w14:paraId="0000001A">
      <w:pPr>
        <w:pageBreakBefore w:val="0"/>
        <w:numPr>
          <w:ilvl w:val="0"/>
          <w:numId w:val="5"/>
        </w:numPr>
        <w:ind w:left="720" w:hanging="450"/>
      </w:pPr>
      <w:r w:rsidDel="00000000" w:rsidR="00000000" w:rsidRPr="00000000">
        <w:rPr>
          <w:rtl w:val="0"/>
        </w:rPr>
        <w:t xml:space="preserve">Haben Girma</w:t>
      </w:r>
    </w:p>
    <w:p w:rsidR="00000000" w:rsidDel="00000000" w:rsidP="00000000" w:rsidRDefault="00000000" w:rsidRPr="00000000" w14:paraId="0000001B">
      <w:pPr>
        <w:pageBreakBefore w:val="0"/>
        <w:numPr>
          <w:ilvl w:val="0"/>
          <w:numId w:val="5"/>
        </w:numPr>
        <w:ind w:left="720" w:hanging="450"/>
      </w:pPr>
      <w:r w:rsidDel="00000000" w:rsidR="00000000" w:rsidRPr="00000000">
        <w:rPr>
          <w:rtl w:val="0"/>
        </w:rPr>
        <w:t xml:space="preserve">Daymond John</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3ntnzpxl1tcj" w:id="3"/>
      <w:bookmarkEnd w:id="3"/>
      <w:r w:rsidDel="00000000" w:rsidR="00000000" w:rsidRPr="00000000">
        <w:rPr>
          <w:rtl w:val="0"/>
        </w:rPr>
        <w:t xml:space="preserve">Round 3:  Disability and the Media (1pt for title; 8 movies)</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Glee (2009-2015) - Becky has Down syndrome and is played by Lauren Potter who also has Down syndrome.</w:t>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Special (2019) - A show streamed on Netflix about a young gay man with cerebral palsy who branches out from his insular existence in hopes of finally going after the life he wants.</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Switched at Birth (2011-2017) - Daphne Vasquez (played by Katie Leclerc) is a hearing-impaired teenager who discovers she was sent home from the hospital with the wrong family as an infant. The show features other hearing-impaired characters and features one episode performed entirely in American Sign Language (ASL).</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Catwoman (2004) - Most would not know that Halle Berry, who plays Catwoman, has Type 1 Diabetes and has 80% hearing loss in her left ear due to domestic violence. </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Game of Thrones (2011-2019) -  Emilia Clarke revealed that she suffered from two brain aneurysms that nearly took her life in the early years of the blockbuster HBO series. </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Breaking Bad (2008-2013) - Walter White Jr. was played by an actor (RJ Mitte) with cerebral palsy. </w:t>
      </w:r>
    </w:p>
    <w:p w:rsidR="00000000" w:rsidDel="00000000" w:rsidP="00000000" w:rsidRDefault="00000000" w:rsidRPr="00000000" w14:paraId="00000023">
      <w:pPr>
        <w:pageBreakBefore w:val="0"/>
        <w:numPr>
          <w:ilvl w:val="0"/>
          <w:numId w:val="1"/>
        </w:numPr>
        <w:ind w:left="720" w:hanging="360"/>
      </w:pPr>
      <w:r w:rsidDel="00000000" w:rsidR="00000000" w:rsidRPr="00000000">
        <w:rPr>
          <w:rtl w:val="0"/>
        </w:rPr>
        <w:t xml:space="preserve">Peanut Butter Falcon (2019) - After running away from a residential nursing home to pursue his dream of becoming a pro wrestler, a man who has Down syndrome befriends an outlaw who becomes his coach and ally. Zack Gottsagen and Shia LaBeouf then presented together at the Oscars. </w:t>
      </w:r>
    </w:p>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Crip Camp: A Disability Revolution (2020) - On the heels of Woodstock, a group of teen campers are inspired to join the fight for disability civil rights. This spirited look at grassroots activism is executive produced by President Barack Obama and Michelle Obama.</w:t>
      </w:r>
    </w:p>
    <w:p w:rsidR="00000000" w:rsidDel="00000000" w:rsidP="00000000" w:rsidRDefault="00000000" w:rsidRPr="00000000" w14:paraId="00000025">
      <w:pPr>
        <w:pStyle w:val="Heading1"/>
        <w:pageBreakBefore w:val="0"/>
        <w:rPr>
          <w:u w:val="single"/>
        </w:rPr>
      </w:pPr>
      <w:bookmarkStart w:colFirst="0" w:colLast="0" w:name="_lzuzf14rez3g"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md4pkq2emdzm" w:id="5"/>
      <w:bookmarkEnd w:id="5"/>
      <w:r w:rsidDel="00000000" w:rsidR="00000000" w:rsidRPr="00000000">
        <w:rPr>
          <w:rtl w:val="0"/>
        </w:rPr>
        <w:t xml:space="preserve">Round 4: Digital Accessibility (1pt each; 5 questions)</w:t>
      </w:r>
    </w:p>
    <w:p w:rsidR="00000000" w:rsidDel="00000000" w:rsidP="00000000" w:rsidRDefault="00000000" w:rsidRPr="00000000" w14:paraId="00000027">
      <w:pPr>
        <w:pageBreakBefore w:val="0"/>
        <w:numPr>
          <w:ilvl w:val="0"/>
          <w:numId w:val="6"/>
        </w:numPr>
        <w:ind w:left="720" w:hanging="360"/>
      </w:pPr>
      <w:r w:rsidDel="00000000" w:rsidR="00000000" w:rsidRPr="00000000">
        <w:rPr>
          <w:rtl w:val="0"/>
        </w:rPr>
        <w:t xml:space="preserve">(D) WCAG stands for Web Content Accessibility Guidelines. These were first published by the World Wide Web Consortium (W3C) in 2008 to assist web developers in creating accessible web sites. There are three WCAG levels, A, AA, and AAA, with level AA being the most commonly used by industry. In 2018, the W3C published version 2.1 which added additional guidelines to assist developers in addressing cognitive impairments and creating accessible mobile apps. </w:t>
      </w:r>
    </w:p>
    <w:p w:rsidR="00000000" w:rsidDel="00000000" w:rsidP="00000000" w:rsidRDefault="00000000" w:rsidRPr="00000000" w14:paraId="00000028">
      <w:pPr>
        <w:pageBreakBefore w:val="0"/>
        <w:numPr>
          <w:ilvl w:val="0"/>
          <w:numId w:val="6"/>
        </w:numPr>
        <w:ind w:left="720" w:hanging="360"/>
      </w:pPr>
      <w:r w:rsidDel="00000000" w:rsidR="00000000" w:rsidRPr="00000000">
        <w:rPr>
          <w:rtl w:val="0"/>
        </w:rPr>
        <w:t xml:space="preserve">AA standards say that text rendered smaller than 18 point (size) and bold text that is smaller than 14 point should have a contrast ratio of at least 4.5:1 when compared to the background color.  </w:t>
      </w:r>
    </w:p>
    <w:p w:rsidR="00000000" w:rsidDel="00000000" w:rsidP="00000000" w:rsidRDefault="00000000" w:rsidRPr="00000000" w14:paraId="00000029">
      <w:pPr>
        <w:pageBreakBefore w:val="0"/>
        <w:numPr>
          <w:ilvl w:val="0"/>
          <w:numId w:val="6"/>
        </w:numPr>
        <w:ind w:left="720" w:hanging="360"/>
      </w:pPr>
      <w:r w:rsidDel="00000000" w:rsidR="00000000" w:rsidRPr="00000000">
        <w:rPr>
          <w:rtl w:val="0"/>
        </w:rPr>
        <w:t xml:space="preserve">Siri. VoiceOver is the built-in screen reader for iOS and Mac OS X. VoiceView is built into Amazon products. andTalkBack is included with Android. NVDA is a popular screen reader for Windows.</w:t>
      </w:r>
    </w:p>
    <w:p w:rsidR="00000000" w:rsidDel="00000000" w:rsidP="00000000" w:rsidRDefault="00000000" w:rsidRPr="00000000" w14:paraId="0000002A">
      <w:pPr>
        <w:pageBreakBefore w:val="0"/>
        <w:numPr>
          <w:ilvl w:val="0"/>
          <w:numId w:val="6"/>
        </w:numPr>
        <w:ind w:left="720" w:hanging="360"/>
      </w:pPr>
      <w:r w:rsidDel="00000000" w:rsidR="00000000" w:rsidRPr="00000000">
        <w:rPr>
          <w:rtl w:val="0"/>
        </w:rPr>
        <w:t xml:space="preserve">“Alt-text” or “Alternative Text”.</w:t>
      </w:r>
    </w:p>
    <w:p w:rsidR="00000000" w:rsidDel="00000000" w:rsidP="00000000" w:rsidRDefault="00000000" w:rsidRPr="00000000" w14:paraId="0000002B">
      <w:pPr>
        <w:pageBreakBefore w:val="0"/>
        <w:numPr>
          <w:ilvl w:val="0"/>
          <w:numId w:val="6"/>
        </w:numPr>
        <w:ind w:left="720" w:hanging="360"/>
      </w:pPr>
      <w:r w:rsidDel="00000000" w:rsidR="00000000" w:rsidRPr="00000000">
        <w:rPr>
          <w:rtl w:val="0"/>
        </w:rPr>
        <w:t xml:space="preserve">False. Even the most state-of-the-art automated accessibility test tools are only able to evaluate and identify about 30% of the potential accessibility issues any site may have. Automatic testing is useful, but manual checks and user studies are the only way to ensure that a website is truly accessible and that users can complete all functional tasks. </w:t>
      </w:r>
    </w:p>
    <w:p w:rsidR="00000000" w:rsidDel="00000000" w:rsidP="00000000" w:rsidRDefault="00000000" w:rsidRPr="00000000" w14:paraId="0000002C">
      <w:pPr>
        <w:pStyle w:val="Heading1"/>
        <w:pageBreakBefore w:val="0"/>
        <w:rPr>
          <w:u w:val="single"/>
        </w:rPr>
      </w:pPr>
      <w:bookmarkStart w:colFirst="0" w:colLast="0" w:name="_nykjzc2x8cke"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jf2isuqcus25" w:id="7"/>
      <w:bookmarkEnd w:id="7"/>
      <w:r w:rsidDel="00000000" w:rsidR="00000000" w:rsidRPr="00000000">
        <w:rPr>
          <w:rtl w:val="0"/>
        </w:rPr>
        <w:t xml:space="preserve">Round 5: Advancing Accessibility in Society (1pt each; 5 questions)</w:t>
      </w:r>
    </w:p>
    <w:p w:rsidR="00000000" w:rsidDel="00000000" w:rsidP="00000000" w:rsidRDefault="00000000" w:rsidRPr="00000000" w14:paraId="0000002E">
      <w:pPr>
        <w:pageBreakBefore w:val="0"/>
        <w:numPr>
          <w:ilvl w:val="0"/>
          <w:numId w:val="4"/>
        </w:numPr>
        <w:ind w:left="720" w:hanging="360"/>
      </w:pPr>
      <w:r w:rsidDel="00000000" w:rsidR="00000000" w:rsidRPr="00000000">
        <w:rPr>
          <w:rtl w:val="0"/>
        </w:rPr>
        <w:t xml:space="preserve">A curb cut (U.S.), curb ramp, dropped kerb (UK), pram ramp, or kerb ramp (Australia) is a solid (usually concrete) ramp graded down from the top surface of a sidewalk to the surface of an adjoining street. Curb cuts were originally introduced to benefit mobility impaired people in wheelchairs, but they're used by nearly everyone. The “curb cut “effect inspired the field of </w:t>
      </w:r>
      <w:hyperlink r:id="rId6">
        <w:r w:rsidDel="00000000" w:rsidR="00000000" w:rsidRPr="00000000">
          <w:rPr>
            <w:color w:val="1155cc"/>
            <w:u w:val="single"/>
            <w:rtl w:val="0"/>
          </w:rPr>
          <w:t xml:space="preserve">Universal Design</w:t>
        </w:r>
      </w:hyperlink>
      <w:r w:rsidDel="00000000" w:rsidR="00000000" w:rsidRPr="00000000">
        <w:rPr>
          <w:rtl w:val="0"/>
        </w:rPr>
        <w:t xml:space="preserve">, which now used to design buildings and objects to be as usable for people with disabilities as for everyone, regardless of age or ability.</w:t>
      </w:r>
    </w:p>
    <w:p w:rsidR="00000000" w:rsidDel="00000000" w:rsidP="00000000" w:rsidRDefault="00000000" w:rsidRPr="00000000" w14:paraId="0000002F">
      <w:pPr>
        <w:pageBreakBefore w:val="0"/>
        <w:numPr>
          <w:ilvl w:val="0"/>
          <w:numId w:val="4"/>
        </w:numPr>
        <w:ind w:left="720" w:hanging="360"/>
      </w:pPr>
      <w:r w:rsidDel="00000000" w:rsidR="00000000" w:rsidRPr="00000000">
        <w:rPr>
          <w:rtl w:val="0"/>
        </w:rPr>
        <w:t xml:space="preserve">Tenji blocks were invented in Japan by </w:t>
      </w:r>
      <w:hyperlink r:id="rId7">
        <w:r w:rsidDel="00000000" w:rsidR="00000000" w:rsidRPr="00000000">
          <w:rPr>
            <w:color w:val="1155cc"/>
            <w:u w:val="single"/>
            <w:rtl w:val="0"/>
          </w:rPr>
          <w:t xml:space="preserve">Seiichi Miyake</w:t>
        </w:r>
      </w:hyperlink>
      <w:r w:rsidDel="00000000" w:rsidR="00000000" w:rsidRPr="00000000">
        <w:rPr>
          <w:rtl w:val="0"/>
        </w:rPr>
        <w:t xml:space="preserve"> and first introduced in Okayama City in 1967. They were introduced in the U.S. and Canada in the 1990s. </w:t>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(A) In the 1890s an American Football quarterback named Paul Hubbard created the “huddle” while playing for Gallaudet University, a school for the deaf and hard of hearing. The huddle was used to prevent opposing teams from seeing the sign language being used to communicate the next play to their teammates. It was such a great idea, and so useful, that every professional and amateur football team still uses the huddle to this day. Another example of “universal design!”</w:t>
      </w:r>
    </w:p>
    <w:p w:rsidR="00000000" w:rsidDel="00000000" w:rsidP="00000000" w:rsidRDefault="00000000" w:rsidRPr="00000000" w14:paraId="00000031">
      <w:pPr>
        <w:pageBreakBefore w:val="0"/>
        <w:numPr>
          <w:ilvl w:val="0"/>
          <w:numId w:val="4"/>
        </w:numPr>
        <w:ind w:left="720" w:hanging="360"/>
      </w:pPr>
      <w:r w:rsidDel="00000000" w:rsidR="00000000" w:rsidRPr="00000000">
        <w:rPr>
          <w:rtl w:val="0"/>
        </w:rPr>
        <w:t xml:space="preserve">“From 1934 until 1948 long-playing records (LPs) were almost exclusively the domain of the visually impaired. They weren't being used for music. Instead, they helped blind people listen to a brand new invention—the audiobook. In the early 1930s, the American Foundation for the Blind took on the project to get "talking books" into the hands of blind Americans. </w:t>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Microsoft (Xbox).</w:t>
      </w:r>
    </w:p>
    <w:p w:rsidR="00000000" w:rsidDel="00000000" w:rsidP="00000000" w:rsidRDefault="00000000" w:rsidRPr="00000000" w14:paraId="00000033">
      <w:pPr>
        <w:pStyle w:val="Heading1"/>
        <w:pageBreakBefore w:val="0"/>
        <w:rPr>
          <w:u w:val="single"/>
        </w:rPr>
      </w:pPr>
      <w:bookmarkStart w:colFirst="0" w:colLast="0" w:name="_1fa8lwp028hq"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x5p2lyihd4sv" w:id="9"/>
      <w:bookmarkEnd w:id="9"/>
      <w:r w:rsidDel="00000000" w:rsidR="00000000" w:rsidRPr="00000000">
        <w:rPr>
          <w:rtl w:val="0"/>
        </w:rPr>
        <w:t xml:space="preserve">Round 6: Additional Questions Just For Fun (1pt each; 6 questions)</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Yahoo (now Verizon Media) and Facebook co-founded Teach Access in 2016.</w:t>
      </w:r>
    </w:p>
    <w:p w:rsidR="00000000" w:rsidDel="00000000" w:rsidP="00000000" w:rsidRDefault="00000000" w:rsidRPr="00000000" w14:paraId="00000036">
      <w:pPr>
        <w:pageBreakBefore w:val="0"/>
        <w:numPr>
          <w:ilvl w:val="0"/>
          <w:numId w:val="2"/>
        </w:numPr>
        <w:ind w:left="720" w:hanging="360"/>
      </w:pPr>
      <w:r w:rsidDel="00000000" w:rsidR="00000000" w:rsidRPr="00000000">
        <w:rPr>
          <w:rtl w:val="0"/>
        </w:rPr>
        <w:t xml:space="preserve">The Disability Collection. Check out disabilitycollection.com. </w:t>
      </w:r>
    </w:p>
    <w:p w:rsidR="00000000" w:rsidDel="00000000" w:rsidP="00000000" w:rsidRDefault="00000000" w:rsidRPr="00000000" w14:paraId="00000037">
      <w:pPr>
        <w:pageBreakBefore w:val="0"/>
        <w:numPr>
          <w:ilvl w:val="0"/>
          <w:numId w:val="2"/>
        </w:numPr>
        <w:ind w:left="720" w:hanging="360"/>
      </w:pPr>
      <w:r w:rsidDel="00000000" w:rsidR="00000000" w:rsidRPr="00000000">
        <w:rPr>
          <w:rtl w:val="0"/>
        </w:rPr>
        <w:t xml:space="preserve">Skip Navigation. Skip navigation is a technique that provides one or more links at the top of a web  page that enables a user to “skip” or move the cursor focus directly to another part of the page without having to move to every item in between. It’s also a practical way to enable keyboard-only users to navigate around “infinite scroll” areas  such as the articles list on the Yahoo home page.</w:t>
      </w:r>
    </w:p>
    <w:p w:rsidR="00000000" w:rsidDel="00000000" w:rsidP="00000000" w:rsidRDefault="00000000" w:rsidRPr="00000000" w14:paraId="00000038">
      <w:pPr>
        <w:pageBreakBefore w:val="0"/>
        <w:numPr>
          <w:ilvl w:val="0"/>
          <w:numId w:val="2"/>
        </w:numPr>
        <w:ind w:left="720" w:hanging="360"/>
      </w:pPr>
      <w:r w:rsidDel="00000000" w:rsidR="00000000" w:rsidRPr="00000000">
        <w:rPr>
          <w:rtl w:val="0"/>
        </w:rPr>
        <w:t xml:space="preserve">(B) Augmentative and alternative communication (AAC). AAC uses a grid of photos, images or drawings a user can point to, touch, or click that supplement or replaces speech or writing for those with impairments in the production or comprehension of spoken or written language. </w:t>
      </w:r>
    </w:p>
    <w:p w:rsidR="00000000" w:rsidDel="00000000" w:rsidP="00000000" w:rsidRDefault="00000000" w:rsidRPr="00000000" w14:paraId="00000039">
      <w:pPr>
        <w:pageBreakBefore w:val="0"/>
        <w:numPr>
          <w:ilvl w:val="0"/>
          <w:numId w:val="2"/>
        </w:numPr>
        <w:ind w:left="720" w:hanging="360"/>
      </w:pPr>
      <w:r w:rsidDel="00000000" w:rsidR="00000000" w:rsidRPr="00000000">
        <w:rPr>
          <w:rtl w:val="0"/>
        </w:rPr>
        <w:t xml:space="preserve">Text-to-speech products (like Audio Books and Dragon Dictation software). </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Audio description. Audio Description (sometimes known as Video Description or Descriptive Narration) narration spoken during silent portions of a video that provide additional context and information about what’s taking place on screen.</w:t>
      </w:r>
    </w:p>
    <w:p w:rsidR="00000000" w:rsidDel="00000000" w:rsidP="00000000" w:rsidRDefault="00000000" w:rsidRPr="00000000" w14:paraId="0000003B">
      <w:pPr>
        <w:pStyle w:val="Title"/>
        <w:pageBreakBefore w:val="0"/>
        <w:rPr/>
      </w:pPr>
      <w:bookmarkStart w:colFirst="0" w:colLast="0" w:name="_f34bt0sjxygb" w:id="10"/>
      <w:bookmarkEnd w:id="10"/>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Title"/>
        <w:pageBreakBefore w:val="0"/>
        <w:rPr>
          <w:b w:val="1"/>
          <w:sz w:val="46"/>
          <w:szCs w:val="46"/>
        </w:rPr>
      </w:pPr>
      <w:bookmarkStart w:colFirst="0" w:colLast="0" w:name="_kipwda2jkkq"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4mj7377cvmhf" w:id="12"/>
      <w:bookmarkEnd w:id="12"/>
      <w:r w:rsidDel="00000000" w:rsidR="00000000" w:rsidRPr="00000000">
        <w:rPr>
          <w:rtl w:val="0"/>
        </w:rPr>
        <w:t xml:space="preserve">Accessibility Trivia Score Sheet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Team Name: </w:t>
        <w:tab/>
        <w:tab/>
        <w:tab/>
        <w:tab/>
        <w:tab/>
        <w:tab/>
        <w:tab/>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Round 1 Points:    /12</w:t>
      </w:r>
    </w:p>
    <w:p w:rsidR="00000000" w:rsidDel="00000000" w:rsidP="00000000" w:rsidRDefault="00000000" w:rsidRPr="00000000" w14:paraId="00000043">
      <w:pPr>
        <w:pageBreakBefore w:val="0"/>
        <w:rPr/>
      </w:pPr>
      <w:r w:rsidDel="00000000" w:rsidR="00000000" w:rsidRPr="00000000">
        <w:rPr>
          <w:rtl w:val="0"/>
        </w:rPr>
        <w:t xml:space="preserve">Round 2 Points:    /12</w:t>
      </w:r>
    </w:p>
    <w:p w:rsidR="00000000" w:rsidDel="00000000" w:rsidP="00000000" w:rsidRDefault="00000000" w:rsidRPr="00000000" w14:paraId="00000044">
      <w:pPr>
        <w:pageBreakBefore w:val="0"/>
        <w:rPr/>
      </w:pPr>
      <w:r w:rsidDel="00000000" w:rsidR="00000000" w:rsidRPr="00000000">
        <w:rPr>
          <w:rtl w:val="0"/>
        </w:rPr>
        <w:t xml:space="preserve">Round 3 Points:    /8</w:t>
      </w:r>
    </w:p>
    <w:p w:rsidR="00000000" w:rsidDel="00000000" w:rsidP="00000000" w:rsidRDefault="00000000" w:rsidRPr="00000000" w14:paraId="00000045">
      <w:pPr>
        <w:pageBreakBefore w:val="0"/>
        <w:rPr/>
      </w:pPr>
      <w:r w:rsidDel="00000000" w:rsidR="00000000" w:rsidRPr="00000000">
        <w:rPr>
          <w:rtl w:val="0"/>
        </w:rPr>
        <w:t xml:space="preserve">Round 4 Points:    /5</w:t>
      </w:r>
    </w:p>
    <w:p w:rsidR="00000000" w:rsidDel="00000000" w:rsidP="00000000" w:rsidRDefault="00000000" w:rsidRPr="00000000" w14:paraId="00000046">
      <w:pPr>
        <w:pageBreakBefore w:val="0"/>
        <w:rPr/>
      </w:pPr>
      <w:r w:rsidDel="00000000" w:rsidR="00000000" w:rsidRPr="00000000">
        <w:rPr>
          <w:rtl w:val="0"/>
        </w:rPr>
        <w:t xml:space="preserve">Round 5 Points:    /5</w:t>
      </w:r>
    </w:p>
    <w:p w:rsidR="00000000" w:rsidDel="00000000" w:rsidP="00000000" w:rsidRDefault="00000000" w:rsidRPr="00000000" w14:paraId="00000047">
      <w:pPr>
        <w:pageBreakBefore w:val="0"/>
        <w:rPr/>
      </w:pPr>
      <w:r w:rsidDel="00000000" w:rsidR="00000000" w:rsidRPr="00000000">
        <w:rPr>
          <w:rtl w:val="0"/>
        </w:rPr>
        <w:t xml:space="preserve">Round 6 Points:    /6</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Total Points:    /48</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sectPr>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b w:val="1"/>
      <w:sz w:val="40"/>
      <w:szCs w:val="40"/>
    </w:rPr>
  </w:style>
  <w:style w:type="paragraph" w:styleId="Heading2">
    <w:name w:val="heading 2"/>
    <w:basedOn w:val="Normal"/>
    <w:next w:val="Normal"/>
    <w:pPr>
      <w:keepNext w:val="1"/>
      <w:keepLines w:val="1"/>
      <w:pageBreakBefore w:val="0"/>
      <w:spacing w:after="120" w:before="400" w:lineRule="auto"/>
    </w:pPr>
    <w:rPr>
      <w:b w:val="1"/>
      <w:sz w:val="28"/>
      <w:szCs w:val="28"/>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Universal_design" TargetMode="External"/><Relationship Id="rId7" Type="http://schemas.openxmlformats.org/officeDocument/2006/relationships/hyperlink" Target="http://www.independent.co.uk/topic/seiichi-miyak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