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rial" w:hAnsi="Arial"/>
          <w:b/>
          <w:i w:val="0"/>
          <w:color w:val="007681"/>
          <w:sz w:val="18"/>
        </w:rPr>
        <w:t>PART 1 | IMPLEMENTATION</w:t>
      </w:r>
    </w:p>
    <w:p>
      <w:pPr>
        <w:pStyle w:val="Title"/>
      </w:pPr>
      <w:r>
        <w:t>Patient Data Refresh Orchestrator</w:t>
      </w:r>
    </w:p>
    <w:p>
      <w:pPr>
        <w:pStyle w:val="Subtitle"/>
      </w:pPr>
      <w:r>
        <w:t>General design, operating model, and implementation approach</w:t>
      </w:r>
    </w:p>
    <w:p>
      <w:pPr>
        <w:spacing w:after="240"/>
        <w:pBdr>
          <w:bottom w:val="single" w:sz="18" w:space="1" w:color="007681"/>
        </w:pBdr>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DDEFF1"/>
          </w:tcPr>
          <w:p>
            <w:pPr>
              <w:spacing w:after="0"/>
            </w:pPr>
            <w:r>
              <w:rPr>
                <w:rFonts w:ascii="Arial" w:hAnsi="Arial"/>
                <w:b/>
                <w:i w:val="0"/>
                <w:color w:val="007681"/>
                <w:sz w:val="21"/>
              </w:rPr>
              <w:t xml:space="preserve">Design thesis  </w:t>
            </w:r>
            <w:r>
              <w:rPr>
                <w:rFonts w:ascii="Arial" w:hAnsi="Arial"/>
                <w:b w:val="0"/>
                <w:i w:val="0"/>
                <w:color w:val="172233"/>
                <w:sz w:val="21"/>
              </w:rPr>
              <w:t>Studies decide when a patient is due. EHR endpoints decide what that patient-level refresh costs. PostgreSQL makes queue state, deduplication, leases, and rate-limit admission one consistent system.</w:t>
            </w:r>
          </w:p>
        </w:tc>
      </w:tr>
    </w:tbl>
    <w:p>
      <w:pPr>
        <w:spacing w:after="40"/>
      </w:pPr>
    </w:p>
    <w:p>
      <w:pPr>
        <w:pStyle w:val="Heading1"/>
      </w:pPr>
      <w:r>
        <w:t>Executive summary</w:t>
      </w:r>
    </w:p>
    <w:p>
      <w:pPr>
        <w:spacing w:after="100"/>
      </w:pPr>
      <w:r>
        <w:rPr>
          <w:rFonts w:ascii="Arial" w:hAnsi="Arial"/>
          <w:b w:val="0"/>
          <w:i w:val="0"/>
          <w:color w:val="172233"/>
          <w:sz w:val="21"/>
        </w:rPr>
        <w:t>I designed the orchestrator around the patient because the supplied external contract is patient-level: POST /patients/{id}/$updateData. A patient may be enrolled in several studies, but those studies create freshness obligations rather than separate physical refresh calls. Coalescing the obligations into one job prevents paid duplicate work.</w:t>
      </w:r>
    </w:p>
    <w:p>
      <w:pPr>
        <w:spacing w:after="100"/>
      </w:pPr>
      <w:r>
        <w:rPr>
          <w:rFonts w:ascii="Arial" w:hAnsi="Arial"/>
          <w:b w:val="0"/>
          <w:i w:val="0"/>
          <w:color w:val="172233"/>
          <w:sz w:val="21"/>
        </w:rPr>
        <w:t>The implementation has four core operations: determine eligibility, schedule a job, claim work safely, and record the result. PostgreSQL is both the durable queue and the system of record so the correctness rules live next to the data they protect.</w:t>
      </w:r>
    </w:p>
    <w:p>
      <w:pPr>
        <w:pStyle w:val="Heading1"/>
      </w:pPr>
      <w:r>
        <w:t>Goals and boundaries</w:t>
      </w:r>
    </w:p>
    <w:tbl>
      <w:tblPr>
        <w:tblStyle w:val="TableGrid"/>
        <w:tblW w:type="dxa" w:w="9360"/>
        <w:tblLayout w:type="fixed"/>
        <w:tblLook w:firstColumn="1" w:firstRow="1" w:lastColumn="0" w:lastRow="0" w:noHBand="0" w:noVBand="1" w:val="04A0"/>
        <w:jc w:val="left"/>
        <w:tblInd w:w="120" w:type="dxa"/>
        <w:tblInd w:w="120" w:type="dxa"/>
      </w:tblPr>
      <w:tblGrid>
        <w:gridCol w:w="4680"/>
        <w:gridCol w:w="4680"/>
      </w:tblGrid>
      <w:tr>
        <w:trPr>
          <w:tblHeader w:val="true"/>
        </w:trPr>
        <w:tc>
          <w:tcPr>
            <w:tcW w:type="dxa" w:w="4680"/>
            <w:vAlign w:val="center"/>
            <w:tcMar>
              <w:top w:w="100" w:type="dxa"/>
              <w:start w:w="120" w:type="dxa"/>
              <w:bottom w:w="100" w:type="dxa"/>
              <w:end w:w="120" w:type="dxa"/>
            </w:tcMar>
            <w:shd w:fill="123456"/>
          </w:tcPr>
          <w:p>
            <w:pPr>
              <w:spacing w:after="0"/>
            </w:pPr>
            <w:r>
              <w:rPr>
                <w:rFonts w:ascii="Arial" w:hAnsi="Arial"/>
                <w:b/>
                <w:i w:val="0"/>
                <w:color w:val="FFFFFF"/>
                <w:sz w:val="18"/>
              </w:rPr>
              <w:t>In scope</w:t>
            </w:r>
          </w:p>
        </w:tc>
        <w:tc>
          <w:tcPr>
            <w:tcW w:type="dxa" w:w="4680"/>
            <w:vAlign w:val="center"/>
            <w:tcMar>
              <w:top w:w="100" w:type="dxa"/>
              <w:start w:w="120" w:type="dxa"/>
              <w:bottom w:w="100" w:type="dxa"/>
              <w:end w:w="120" w:type="dxa"/>
            </w:tcMar>
            <w:shd w:fill="123456"/>
          </w:tcPr>
          <w:p>
            <w:pPr>
              <w:spacing w:after="0"/>
            </w:pPr>
            <w:r>
              <w:rPr>
                <w:rFonts w:ascii="Arial" w:hAnsi="Arial"/>
                <w:b/>
                <w:i w:val="0"/>
                <w:color w:val="FFFFFF"/>
                <w:sz w:val="18"/>
              </w:rPr>
              <w:t>Deliberate boundary</w:t>
            </w:r>
          </w:p>
        </w:tc>
      </w:tr>
      <w:tr>
        <w:tc>
          <w:tcPr>
            <w:tcW w:type="dxa" w:w="4680"/>
            <w:vAlign w:val="center"/>
            <w:tcMar>
              <w:top w:w="100" w:type="dxa"/>
              <w:start w:w="120" w:type="dxa"/>
              <w:bottom w:w="100" w:type="dxa"/>
              <w:end w:w="120" w:type="dxa"/>
            </w:tcMar>
          </w:tcPr>
          <w:p>
            <w:pPr>
              <w:spacing w:after="0"/>
            </w:pPr>
            <w:r>
              <w:rPr>
                <w:rFonts w:ascii="Arial" w:hAnsi="Arial"/>
                <w:b w:val="0"/>
                <w:i w:val="0"/>
                <w:color w:val="172233"/>
                <w:sz w:val="18"/>
              </w:rPr>
              <w:t>Real scheduling, queueing, worker coordination, retries, and rate limiting</w:t>
            </w:r>
          </w:p>
        </w:tc>
        <w:tc>
          <w:tcPr>
            <w:tcW w:type="dxa" w:w="4680"/>
            <w:vAlign w:val="center"/>
            <w:tcMar>
              <w:top w:w="100" w:type="dxa"/>
              <w:start w:w="120" w:type="dxa"/>
              <w:bottom w:w="100" w:type="dxa"/>
              <w:end w:w="120" w:type="dxa"/>
            </w:tcMar>
          </w:tcPr>
          <w:p>
            <w:pPr>
              <w:spacing w:after="0"/>
            </w:pPr>
            <w:r>
              <w:rPr>
                <w:rFonts w:ascii="Arial" w:hAnsi="Arial"/>
                <w:b w:val="0"/>
                <w:i w:val="0"/>
                <w:color w:val="172233"/>
                <w:sz w:val="18"/>
              </w:rPr>
              <w:t>The external EHR is mocked; clinical/FHIR resource modeling is not required</w:t>
            </w:r>
          </w:p>
        </w:tc>
      </w:tr>
      <w:tr>
        <w:tc>
          <w:tcPr>
            <w:tcW w:type="dxa" w:w="4680"/>
            <w:shd w:fill="F3F6F8"/>
            <w:vAlign w:val="center"/>
            <w:tcMar>
              <w:top w:w="100" w:type="dxa"/>
              <w:start w:w="120" w:type="dxa"/>
              <w:bottom w:w="100" w:type="dxa"/>
              <w:end w:w="120" w:type="dxa"/>
            </w:tcMar>
          </w:tcPr>
          <w:p>
            <w:pPr>
              <w:spacing w:after="0"/>
            </w:pPr>
            <w:r>
              <w:rPr>
                <w:rFonts w:ascii="Arial" w:hAnsi="Arial"/>
                <w:b w:val="0"/>
                <w:i w:val="0"/>
                <w:color w:val="172233"/>
                <w:sz w:val="18"/>
              </w:rPr>
              <w:t>Patient/study freshness, patient/endpoint associations, durable job history</w:t>
            </w:r>
          </w:p>
        </w:tc>
        <w:tc>
          <w:tcPr>
            <w:tcW w:type="dxa" w:w="4680"/>
            <w:shd w:fill="F3F6F8"/>
            <w:vAlign w:val="center"/>
            <w:tcMar>
              <w:top w:w="100" w:type="dxa"/>
              <w:start w:w="120" w:type="dxa"/>
              <w:bottom w:w="100" w:type="dxa"/>
              <w:end w:w="120" w:type="dxa"/>
            </w:tcMar>
          </w:tcPr>
          <w:p>
            <w:pPr>
              <w:spacing w:after="0"/>
            </w:pPr>
            <w:r>
              <w:rPr>
                <w:rFonts w:ascii="Arial" w:hAnsi="Arial"/>
                <w:b w:val="0"/>
                <w:i w:val="0"/>
                <w:color w:val="172233"/>
                <w:sz w:val="18"/>
              </w:rPr>
              <w:t>No separate Kafka/Redis queue and no second source of truth</w:t>
            </w:r>
          </w:p>
        </w:tc>
      </w:tr>
      <w:tr>
        <w:tc>
          <w:tcPr>
            <w:tcW w:type="dxa" w:w="4680"/>
            <w:vAlign w:val="center"/>
            <w:tcMar>
              <w:top w:w="100" w:type="dxa"/>
              <w:start w:w="120" w:type="dxa"/>
              <w:bottom w:w="100" w:type="dxa"/>
              <w:end w:w="120" w:type="dxa"/>
            </w:tcMar>
          </w:tcPr>
          <w:p>
            <w:pPr>
              <w:spacing w:after="0"/>
            </w:pPr>
            <w:r>
              <w:rPr>
                <w:rFonts w:ascii="Arial" w:hAnsi="Arial"/>
                <w:b w:val="0"/>
                <w:i w:val="0"/>
                <w:color w:val="172233"/>
                <w:sz w:val="18"/>
              </w:rPr>
              <w:t>Horizontal workers with crash recovery and duplicate prevention</w:t>
            </w:r>
          </w:p>
        </w:tc>
        <w:tc>
          <w:tcPr>
            <w:tcW w:type="dxa" w:w="4680"/>
            <w:vAlign w:val="center"/>
            <w:tcMar>
              <w:top w:w="100" w:type="dxa"/>
              <w:start w:w="120" w:type="dxa"/>
              <w:bottom w:w="100" w:type="dxa"/>
              <w:end w:w="120" w:type="dxa"/>
            </w:tcMar>
          </w:tcPr>
          <w:p>
            <w:pPr>
              <w:spacing w:after="0"/>
            </w:pPr>
            <w:r>
              <w:rPr>
                <w:rFonts w:ascii="Arial" w:hAnsi="Arial"/>
                <w:b w:val="0"/>
                <w:i w:val="0"/>
                <w:color w:val="172233"/>
                <w:sz w:val="18"/>
              </w:rPr>
              <w:t>Exercise-scale migrations and observability remain intentionally lightweight</w:t>
            </w:r>
          </w:p>
        </w:tc>
      </w:tr>
    </w:tbl>
    <w:p>
      <w:pPr>
        <w:spacing w:after="20"/>
      </w:pPr>
    </w:p>
    <w:p>
      <w:pPr>
        <w:pStyle w:val="Heading1"/>
      </w:pPr>
      <w:r>
        <w:t>Success criteria</w:t>
      </w:r>
    </w:p>
    <w:p>
      <w:pPr>
        <w:pStyle w:val="ListBullet"/>
      </w:pPr>
      <w:r>
        <w:rPr>
          <w:rFonts w:ascii="Arial" w:hAnsi="Arial"/>
          <w:b w:val="0"/>
          <w:i w:val="0"/>
          <w:color w:val="172233"/>
          <w:sz w:val="21"/>
        </w:rPr>
        <w:t>A due patient is scheduled once even when several studies are due or several schedulers run.</w:t>
      </w:r>
    </w:p>
    <w:p>
      <w:pPr>
        <w:pStyle w:val="ListBullet"/>
      </w:pPr>
      <w:r>
        <w:rPr>
          <w:rFonts w:ascii="Arial" w:hAnsi="Arial"/>
          <w:b w:val="0"/>
          <w:i w:val="0"/>
          <w:color w:val="172233"/>
          <w:sz w:val="21"/>
        </w:rPr>
        <w:t>Workers claim disjoint jobs in priority order and never send without rate-limit budget.</w:t>
      </w:r>
    </w:p>
    <w:p>
      <w:pPr>
        <w:pStyle w:val="ListBullet"/>
      </w:pPr>
      <w:r>
        <w:rPr>
          <w:rFonts w:ascii="Arial" w:hAnsi="Arial"/>
          <w:b w:val="0"/>
          <w:i w:val="0"/>
          <w:color w:val="172233"/>
          <w:sz w:val="21"/>
        </w:rPr>
        <w:t>Transient failures retry with backoff; permanent failures terminate; throttling does not spend the retry budget.</w:t>
      </w:r>
    </w:p>
    <w:p>
      <w:pPr>
        <w:pStyle w:val="ListBullet"/>
      </w:pPr>
      <w:r>
        <w:rPr>
          <w:rFonts w:ascii="Arial" w:hAnsi="Arial"/>
          <w:b w:val="0"/>
          <w:i w:val="0"/>
          <w:color w:val="172233"/>
          <w:sz w:val="21"/>
        </w:rPr>
        <w:t>A successful refresh advances every active study association in the same transaction as job completion.</w:t>
      </w:r>
    </w:p>
    <w:p>
      <w:pPr>
        <w:pStyle w:val="ListBullet"/>
      </w:pPr>
      <w:r>
        <w:rPr>
          <w:rFonts w:ascii="Arial" w:hAnsi="Arial"/>
          <w:b w:val="0"/>
          <w:i w:val="0"/>
          <w:color w:val="172233"/>
          <w:sz w:val="21"/>
        </w:rPr>
        <w:t>A worker can die without losing work, and a stale worker cannot overwrite a legitimate successor.</w:t>
      </w:r>
    </w:p>
    <w:p>
      <w:r>
        <w:br w:type="page"/>
      </w:r>
    </w:p>
    <w:p>
      <w:pPr>
        <w:pStyle w:val="Heading1"/>
      </w:pPr>
      <w:r>
        <w:t>1. Architecture and responsibility boundaries</w:t>
      </w:r>
    </w:p>
    <w:tbl>
      <w:tblPr>
        <w:tblStyle w:val="TableGrid"/>
        <w:tblW w:type="dxa" w:w="9360"/>
        <w:tblLayout w:type="fixed"/>
        <w:tblLook w:firstColumn="1" w:firstRow="1" w:lastColumn="0" w:lastRow="0" w:noHBand="0" w:noVBand="1" w:val="04A0"/>
        <w:jc w:val="left"/>
        <w:tblInd w:w="120" w:type="dxa"/>
        <w:tblInd w:w="120" w:type="dxa"/>
      </w:tblPr>
      <w:tblGrid>
        <w:gridCol w:w="1600"/>
        <w:gridCol w:w="4300"/>
        <w:gridCol w:w="3460"/>
      </w:tblGrid>
      <w:tr>
        <w:trPr>
          <w:tblHeader w:val="true"/>
        </w:trPr>
        <w:tc>
          <w:tcPr>
            <w:tcW w:type="dxa" w:w="1600"/>
            <w:vAlign w:val="center"/>
            <w:tcMar>
              <w:top w:w="100" w:type="dxa"/>
              <w:start w:w="120" w:type="dxa"/>
              <w:bottom w:w="100" w:type="dxa"/>
              <w:end w:w="120" w:type="dxa"/>
            </w:tcMar>
            <w:shd w:fill="123456"/>
          </w:tcPr>
          <w:p>
            <w:pPr>
              <w:spacing w:after="0"/>
            </w:pPr>
            <w:r>
              <w:rPr>
                <w:rFonts w:ascii="Arial" w:hAnsi="Arial"/>
                <w:b/>
                <w:i w:val="0"/>
                <w:color w:val="FFFFFF"/>
                <w:sz w:val="17"/>
              </w:rPr>
              <w:t>Component</w:t>
            </w:r>
          </w:p>
        </w:tc>
        <w:tc>
          <w:tcPr>
            <w:tcW w:type="dxa" w:w="4300"/>
            <w:vAlign w:val="center"/>
            <w:tcMar>
              <w:top w:w="100" w:type="dxa"/>
              <w:start w:w="120" w:type="dxa"/>
              <w:bottom w:w="100" w:type="dxa"/>
              <w:end w:w="120" w:type="dxa"/>
            </w:tcMar>
            <w:shd w:fill="123456"/>
          </w:tcPr>
          <w:p>
            <w:pPr>
              <w:spacing w:after="0"/>
            </w:pPr>
            <w:r>
              <w:rPr>
                <w:rFonts w:ascii="Arial" w:hAnsi="Arial"/>
                <w:b/>
                <w:i w:val="0"/>
                <w:color w:val="FFFFFF"/>
                <w:sz w:val="17"/>
              </w:rPr>
              <w:t>Responsibility</w:t>
            </w:r>
          </w:p>
        </w:tc>
        <w:tc>
          <w:tcPr>
            <w:tcW w:type="dxa" w:w="3460"/>
            <w:vAlign w:val="center"/>
            <w:tcMar>
              <w:top w:w="100" w:type="dxa"/>
              <w:start w:w="120" w:type="dxa"/>
              <w:bottom w:w="100" w:type="dxa"/>
              <w:end w:w="120" w:type="dxa"/>
            </w:tcMar>
            <w:shd w:fill="123456"/>
          </w:tcPr>
          <w:p>
            <w:pPr>
              <w:spacing w:after="0"/>
            </w:pPr>
            <w:r>
              <w:rPr>
                <w:rFonts w:ascii="Arial" w:hAnsi="Arial"/>
                <w:b/>
                <w:i w:val="0"/>
                <w:color w:val="FFFFFF"/>
                <w:sz w:val="17"/>
              </w:rPr>
              <w:t>Primary implementation</w:t>
            </w:r>
          </w:p>
        </w:tc>
      </w:tr>
      <w:tr>
        <w:tc>
          <w:tcPr>
            <w:tcW w:type="dxa" w:w="1600"/>
            <w:vAlign w:val="center"/>
            <w:tcMar>
              <w:top w:w="100" w:type="dxa"/>
              <w:start w:w="120" w:type="dxa"/>
              <w:bottom w:w="100" w:type="dxa"/>
              <w:end w:w="120" w:type="dxa"/>
            </w:tcMar>
          </w:tcPr>
          <w:p>
            <w:pPr>
              <w:spacing w:after="0"/>
            </w:pPr>
            <w:r>
              <w:rPr>
                <w:rFonts w:ascii="Arial" w:hAnsi="Arial"/>
                <w:b w:val="0"/>
                <w:i w:val="0"/>
                <w:color w:val="172233"/>
                <w:sz w:val="17"/>
              </w:rPr>
              <w:t>Scheduler</w:t>
            </w:r>
          </w:p>
        </w:tc>
        <w:tc>
          <w:tcPr>
            <w:tcW w:type="dxa" w:w="4300"/>
            <w:vAlign w:val="center"/>
            <w:tcMar>
              <w:top w:w="100" w:type="dxa"/>
              <w:start w:w="120" w:type="dxa"/>
              <w:bottom w:w="100" w:type="dxa"/>
              <w:end w:w="120" w:type="dxa"/>
            </w:tcMar>
          </w:tcPr>
          <w:p>
            <w:pPr>
              <w:spacing w:after="0"/>
            </w:pPr>
            <w:r>
              <w:rPr>
                <w:rFonts w:ascii="Arial" w:hAnsi="Arial"/>
                <w:b w:val="0"/>
                <w:i w:val="0"/>
                <w:color w:val="172233"/>
                <w:sz w:val="17"/>
              </w:rPr>
              <w:t>Find due patients, create jobs, spread load, fail expired work</w:t>
            </w:r>
          </w:p>
        </w:tc>
        <w:tc>
          <w:tcPr>
            <w:tcW w:type="dxa" w:w="3460"/>
            <w:vAlign w:val="center"/>
            <w:tcMar>
              <w:top w:w="100" w:type="dxa"/>
              <w:start w:w="120" w:type="dxa"/>
              <w:bottom w:w="100" w:type="dxa"/>
              <w:end w:w="120" w:type="dxa"/>
            </w:tcMar>
          </w:tcPr>
          <w:p>
            <w:pPr>
              <w:spacing w:after="0"/>
            </w:pPr>
            <w:r>
              <w:rPr>
                <w:rFonts w:ascii="Arial" w:hAnsi="Arial"/>
                <w:b w:val="0"/>
                <w:i w:val="0"/>
                <w:color w:val="172233"/>
                <w:sz w:val="17"/>
              </w:rPr>
              <w:t>src/scheduler.ts; domain/eligibility.ts; domain/schedule.ts</w:t>
            </w:r>
          </w:p>
        </w:tc>
      </w:tr>
      <w:tr>
        <w:tc>
          <w:tcPr>
            <w:tcW w:type="dxa" w:w="1600"/>
            <w:shd w:fill="F3F6F8"/>
            <w:vAlign w:val="center"/>
            <w:tcMar>
              <w:top w:w="100" w:type="dxa"/>
              <w:start w:w="120" w:type="dxa"/>
              <w:bottom w:w="100" w:type="dxa"/>
              <w:end w:w="120" w:type="dxa"/>
            </w:tcMar>
          </w:tcPr>
          <w:p>
            <w:pPr>
              <w:spacing w:after="0"/>
            </w:pPr>
            <w:r>
              <w:rPr>
                <w:rFonts w:ascii="Arial" w:hAnsi="Arial"/>
                <w:b w:val="0"/>
                <w:i w:val="0"/>
                <w:color w:val="172233"/>
                <w:sz w:val="17"/>
              </w:rPr>
              <w:t>Worker pool</w:t>
            </w:r>
          </w:p>
        </w:tc>
        <w:tc>
          <w:tcPr>
            <w:tcW w:type="dxa" w:w="4300"/>
            <w:shd w:fill="F3F6F8"/>
            <w:vAlign w:val="center"/>
            <w:tcMar>
              <w:top w:w="100" w:type="dxa"/>
              <w:start w:w="120" w:type="dxa"/>
              <w:bottom w:w="100" w:type="dxa"/>
              <w:end w:w="120" w:type="dxa"/>
            </w:tcMar>
          </w:tcPr>
          <w:p>
            <w:pPr>
              <w:spacing w:after="0"/>
            </w:pPr>
            <w:r>
              <w:rPr>
                <w:rFonts w:ascii="Arial" w:hAnsi="Arial"/>
                <w:b w:val="0"/>
                <w:i w:val="0"/>
                <w:color w:val="172233"/>
                <w:sz w:val="17"/>
              </w:rPr>
              <w:t>Claim, call EHR, poll, classify outcome, release lease</w:t>
            </w:r>
          </w:p>
        </w:tc>
        <w:tc>
          <w:tcPr>
            <w:tcW w:type="dxa" w:w="3460"/>
            <w:shd w:fill="F3F6F8"/>
            <w:vAlign w:val="center"/>
            <w:tcMar>
              <w:top w:w="100" w:type="dxa"/>
              <w:start w:w="120" w:type="dxa"/>
              <w:bottom w:w="100" w:type="dxa"/>
              <w:end w:w="120" w:type="dxa"/>
            </w:tcMar>
          </w:tcPr>
          <w:p>
            <w:pPr>
              <w:spacing w:after="0"/>
            </w:pPr>
            <w:r>
              <w:rPr>
                <w:rFonts w:ascii="Arial" w:hAnsi="Arial"/>
                <w:b w:val="0"/>
                <w:i w:val="0"/>
                <w:color w:val="172233"/>
                <w:sz w:val="17"/>
              </w:rPr>
              <w:t>src/worker.ts; domain/claim.ts; domain/complete.ts</w:t>
            </w:r>
          </w:p>
        </w:tc>
      </w:tr>
      <w:tr>
        <w:tc>
          <w:tcPr>
            <w:tcW w:type="dxa" w:w="1600"/>
            <w:vAlign w:val="center"/>
            <w:tcMar>
              <w:top w:w="100" w:type="dxa"/>
              <w:start w:w="120" w:type="dxa"/>
              <w:bottom w:w="100" w:type="dxa"/>
              <w:end w:w="120" w:type="dxa"/>
            </w:tcMar>
          </w:tcPr>
          <w:p>
            <w:pPr>
              <w:spacing w:after="0"/>
            </w:pPr>
            <w:r>
              <w:rPr>
                <w:rFonts w:ascii="Arial" w:hAnsi="Arial"/>
                <w:b w:val="0"/>
                <w:i w:val="0"/>
                <w:color w:val="172233"/>
                <w:sz w:val="17"/>
              </w:rPr>
              <w:t>PostgreSQL</w:t>
            </w:r>
          </w:p>
        </w:tc>
        <w:tc>
          <w:tcPr>
            <w:tcW w:type="dxa" w:w="4300"/>
            <w:vAlign w:val="center"/>
            <w:tcMar>
              <w:top w:w="100" w:type="dxa"/>
              <w:start w:w="120" w:type="dxa"/>
              <w:bottom w:w="100" w:type="dxa"/>
              <w:end w:w="120" w:type="dxa"/>
            </w:tcMar>
          </w:tcPr>
          <w:p>
            <w:pPr>
              <w:spacing w:after="0"/>
            </w:pPr>
            <w:r>
              <w:rPr>
                <w:rFonts w:ascii="Arial" w:hAnsi="Arial"/>
                <w:b w:val="0"/>
                <w:i w:val="0"/>
                <w:color w:val="172233"/>
                <w:sz w:val="17"/>
              </w:rPr>
              <w:t>System of record, durable queue, dedupe, leases, token buckets</w:t>
            </w:r>
          </w:p>
        </w:tc>
        <w:tc>
          <w:tcPr>
            <w:tcW w:type="dxa" w:w="3460"/>
            <w:vAlign w:val="center"/>
            <w:tcMar>
              <w:top w:w="100" w:type="dxa"/>
              <w:start w:w="120" w:type="dxa"/>
              <w:bottom w:w="100" w:type="dxa"/>
              <w:end w:w="120" w:type="dxa"/>
            </w:tcMar>
          </w:tcPr>
          <w:p>
            <w:pPr>
              <w:spacing w:after="0"/>
            </w:pPr>
            <w:r>
              <w:rPr>
                <w:rFonts w:ascii="Arial" w:hAnsi="Arial"/>
                <w:b w:val="0"/>
                <w:i w:val="0"/>
                <w:color w:val="172233"/>
                <w:sz w:val="17"/>
              </w:rPr>
              <w:t>db/schema.sql; src/db.ts</w:t>
            </w:r>
          </w:p>
        </w:tc>
      </w:tr>
      <w:tr>
        <w:tc>
          <w:tcPr>
            <w:tcW w:type="dxa" w:w="1600"/>
            <w:shd w:fill="F3F6F8"/>
            <w:vAlign w:val="center"/>
            <w:tcMar>
              <w:top w:w="100" w:type="dxa"/>
              <w:start w:w="120" w:type="dxa"/>
              <w:bottom w:w="100" w:type="dxa"/>
              <w:end w:w="120" w:type="dxa"/>
            </w:tcMar>
          </w:tcPr>
          <w:p>
            <w:pPr>
              <w:spacing w:after="0"/>
            </w:pPr>
            <w:r>
              <w:rPr>
                <w:rFonts w:ascii="Arial" w:hAnsi="Arial"/>
                <w:b w:val="0"/>
                <w:i w:val="0"/>
                <w:color w:val="172233"/>
                <w:sz w:val="17"/>
              </w:rPr>
              <w:t>Mock EHR</w:t>
            </w:r>
          </w:p>
        </w:tc>
        <w:tc>
          <w:tcPr>
            <w:tcW w:type="dxa" w:w="4300"/>
            <w:shd w:fill="F3F6F8"/>
            <w:vAlign w:val="center"/>
            <w:tcMar>
              <w:top w:w="100" w:type="dxa"/>
              <w:start w:w="120" w:type="dxa"/>
              <w:bottom w:w="100" w:type="dxa"/>
              <w:end w:w="120" w:type="dxa"/>
            </w:tcMar>
          </w:tcPr>
          <w:p>
            <w:pPr>
              <w:spacing w:after="0"/>
            </w:pPr>
            <w:r>
              <w:rPr>
                <w:rFonts w:ascii="Arial" w:hAnsi="Arial"/>
                <w:b w:val="0"/>
                <w:i w:val="0"/>
                <w:color w:val="172233"/>
                <w:sz w:val="17"/>
              </w:rPr>
              <w:t>Simulate accepted, completed, transient, permanent, and 429 responses</w:t>
            </w:r>
          </w:p>
        </w:tc>
        <w:tc>
          <w:tcPr>
            <w:tcW w:type="dxa" w:w="3460"/>
            <w:shd w:fill="F3F6F8"/>
            <w:vAlign w:val="center"/>
            <w:tcMar>
              <w:top w:w="100" w:type="dxa"/>
              <w:start w:w="120" w:type="dxa"/>
              <w:bottom w:w="100" w:type="dxa"/>
              <w:end w:w="120" w:type="dxa"/>
            </w:tcMar>
          </w:tcPr>
          <w:p>
            <w:pPr>
              <w:spacing w:after="0"/>
            </w:pPr>
            <w:r>
              <w:rPr>
                <w:rFonts w:ascii="Arial" w:hAnsi="Arial"/>
                <w:b w:val="0"/>
                <w:i w:val="0"/>
                <w:color w:val="172233"/>
                <w:sz w:val="17"/>
              </w:rPr>
              <w:t>src/mock-ehr/; src/ehr/client.ts</w:t>
            </w:r>
          </w:p>
        </w:tc>
      </w:tr>
      <w:tr>
        <w:tc>
          <w:tcPr>
            <w:tcW w:type="dxa" w:w="1600"/>
            <w:vAlign w:val="center"/>
            <w:tcMar>
              <w:top w:w="100" w:type="dxa"/>
              <w:start w:w="120" w:type="dxa"/>
              <w:bottom w:w="100" w:type="dxa"/>
              <w:end w:w="120" w:type="dxa"/>
            </w:tcMar>
          </w:tcPr>
          <w:p>
            <w:pPr>
              <w:spacing w:after="0"/>
            </w:pPr>
            <w:r>
              <w:rPr>
                <w:rFonts w:ascii="Arial" w:hAnsi="Arial"/>
                <w:b w:val="0"/>
                <w:i w:val="0"/>
                <w:color w:val="172233"/>
                <w:sz w:val="17"/>
              </w:rPr>
              <w:t>Admin API</w:t>
            </w:r>
          </w:p>
        </w:tc>
        <w:tc>
          <w:tcPr>
            <w:tcW w:type="dxa" w:w="4300"/>
            <w:vAlign w:val="center"/>
            <w:tcMar>
              <w:top w:w="100" w:type="dxa"/>
              <w:start w:w="120" w:type="dxa"/>
              <w:bottom w:w="100" w:type="dxa"/>
              <w:end w:w="120" w:type="dxa"/>
            </w:tcMar>
          </w:tcPr>
          <w:p>
            <w:pPr>
              <w:spacing w:after="0"/>
            </w:pPr>
            <w:r>
              <w:rPr>
                <w:rFonts w:ascii="Arial" w:hAnsi="Arial"/>
                <w:b w:val="0"/>
                <w:i w:val="0"/>
                <w:color w:val="172233"/>
                <w:sz w:val="17"/>
              </w:rPr>
              <w:t>Manual refresh and operational inspection</w:t>
            </w:r>
          </w:p>
        </w:tc>
        <w:tc>
          <w:tcPr>
            <w:tcW w:type="dxa" w:w="3460"/>
            <w:vAlign w:val="center"/>
            <w:tcMar>
              <w:top w:w="100" w:type="dxa"/>
              <w:start w:w="120" w:type="dxa"/>
              <w:bottom w:w="100" w:type="dxa"/>
              <w:end w:w="120" w:type="dxa"/>
            </w:tcMar>
          </w:tcPr>
          <w:p>
            <w:pPr>
              <w:spacing w:after="0"/>
            </w:pPr>
            <w:r>
              <w:rPr>
                <w:rFonts w:ascii="Arial" w:hAnsi="Arial"/>
                <w:b w:val="0"/>
                <w:i w:val="0"/>
                <w:color w:val="172233"/>
                <w:sz w:val="17"/>
              </w:rPr>
              <w:t>src/api.ts</w:t>
            </w:r>
          </w:p>
        </w:tc>
      </w:tr>
    </w:tbl>
    <w:p>
      <w:pPr>
        <w:spacing w:after="20"/>
      </w:pPr>
    </w:p>
    <w:p>
      <w:pPr>
        <w:pStyle w:val="Heading2"/>
      </w:pPr>
      <w:r>
        <w:t>Request flow</w:t>
      </w:r>
    </w:p>
    <w:tbl>
      <w:tblPr>
        <w:tblStyle w:val="TableGrid"/>
        <w:tblW w:type="dxa" w:w="9360"/>
        <w:tblLayout w:type="fixed"/>
        <w:tblLook w:firstColumn="1" w:firstRow="1" w:lastColumn="0" w:lastRow="0" w:noHBand="0" w:noVBand="1" w:val="04A0"/>
        <w:jc w:val="left"/>
        <w:tblInd w:w="120" w:type="dxa"/>
        <w:tblInd w:w="120" w:type="dxa"/>
      </w:tblPr>
      <w:tblGrid>
        <w:gridCol w:w="1050"/>
        <w:gridCol w:w="4800"/>
        <w:gridCol w:w="3510"/>
      </w:tblGrid>
      <w:tr>
        <w:trPr>
          <w:tblHeader w:val="true"/>
        </w:trPr>
        <w:tc>
          <w:tcPr>
            <w:tcW w:type="dxa" w:w="1050"/>
            <w:vAlign w:val="center"/>
            <w:tcMar>
              <w:top w:w="100" w:type="dxa"/>
              <w:start w:w="120" w:type="dxa"/>
              <w:bottom w:w="100" w:type="dxa"/>
              <w:end w:w="120" w:type="dxa"/>
            </w:tcMar>
            <w:shd w:fill="123456"/>
          </w:tcPr>
          <w:p>
            <w:pPr>
              <w:spacing w:after="0"/>
            </w:pPr>
            <w:r>
              <w:rPr>
                <w:rFonts w:ascii="Arial" w:hAnsi="Arial"/>
                <w:b/>
                <w:i w:val="0"/>
                <w:color w:val="FFFFFF"/>
                <w:sz w:val="17"/>
              </w:rPr>
              <w:t>Stage</w:t>
            </w:r>
          </w:p>
        </w:tc>
        <w:tc>
          <w:tcPr>
            <w:tcW w:type="dxa" w:w="4800"/>
            <w:vAlign w:val="center"/>
            <w:tcMar>
              <w:top w:w="100" w:type="dxa"/>
              <w:start w:w="120" w:type="dxa"/>
              <w:bottom w:w="100" w:type="dxa"/>
              <w:end w:w="120" w:type="dxa"/>
            </w:tcMar>
            <w:shd w:fill="123456"/>
          </w:tcPr>
          <w:p>
            <w:pPr>
              <w:spacing w:after="0"/>
            </w:pPr>
            <w:r>
              <w:rPr>
                <w:rFonts w:ascii="Arial" w:hAnsi="Arial"/>
                <w:b/>
                <w:i w:val="0"/>
                <w:color w:val="FFFFFF"/>
                <w:sz w:val="17"/>
              </w:rPr>
              <w:t>Action</w:t>
            </w:r>
          </w:p>
        </w:tc>
        <w:tc>
          <w:tcPr>
            <w:tcW w:type="dxa" w:w="3510"/>
            <w:vAlign w:val="center"/>
            <w:tcMar>
              <w:top w:w="100" w:type="dxa"/>
              <w:start w:w="120" w:type="dxa"/>
              <w:bottom w:w="100" w:type="dxa"/>
              <w:end w:w="120" w:type="dxa"/>
            </w:tcMar>
            <w:shd w:fill="123456"/>
          </w:tcPr>
          <w:p>
            <w:pPr>
              <w:spacing w:after="0"/>
            </w:pPr>
            <w:r>
              <w:rPr>
                <w:rFonts w:ascii="Arial" w:hAnsi="Arial"/>
                <w:b/>
                <w:i w:val="0"/>
                <w:color w:val="FFFFFF"/>
                <w:sz w:val="17"/>
              </w:rPr>
              <w:t>Correctness property</w:t>
            </w:r>
          </w:p>
        </w:tc>
      </w:tr>
      <w:tr>
        <w:tc>
          <w:tcPr>
            <w:tcW w:type="dxa" w:w="1050"/>
            <w:vAlign w:val="center"/>
            <w:tcMar>
              <w:top w:w="100" w:type="dxa"/>
              <w:start w:w="120" w:type="dxa"/>
              <w:bottom w:w="100" w:type="dxa"/>
              <w:end w:w="120" w:type="dxa"/>
            </w:tcMar>
          </w:tcPr>
          <w:p>
            <w:pPr>
              <w:spacing w:after="0"/>
            </w:pPr>
            <w:r>
              <w:rPr>
                <w:rFonts w:ascii="Arial" w:hAnsi="Arial"/>
                <w:b w:val="0"/>
                <w:i w:val="0"/>
                <w:color w:val="172233"/>
                <w:sz w:val="17"/>
              </w:rPr>
              <w:t>1. Discover</w:t>
            </w:r>
          </w:p>
        </w:tc>
        <w:tc>
          <w:tcPr>
            <w:tcW w:type="dxa" w:w="4800"/>
            <w:vAlign w:val="center"/>
            <w:tcMar>
              <w:top w:w="100" w:type="dxa"/>
              <w:start w:w="120" w:type="dxa"/>
              <w:bottom w:w="100" w:type="dxa"/>
              <w:end w:w="120" w:type="dxa"/>
            </w:tcMar>
          </w:tcPr>
          <w:p>
            <w:pPr>
              <w:spacing w:after="0"/>
            </w:pPr>
            <w:r>
              <w:rPr>
                <w:rFonts w:ascii="Arial" w:hAnsi="Arial"/>
                <w:b w:val="0"/>
                <w:i w:val="0"/>
                <w:color w:val="172233"/>
                <w:sz w:val="17"/>
              </w:rPr>
              <w:t>Query active study enrollments whose cadence is due; group by patient</w:t>
            </w:r>
          </w:p>
        </w:tc>
        <w:tc>
          <w:tcPr>
            <w:tcW w:type="dxa" w:w="3510"/>
            <w:vAlign w:val="center"/>
            <w:tcMar>
              <w:top w:w="100" w:type="dxa"/>
              <w:start w:w="120" w:type="dxa"/>
              <w:bottom w:w="100" w:type="dxa"/>
              <w:end w:w="120" w:type="dxa"/>
            </w:tcMar>
          </w:tcPr>
          <w:p>
            <w:pPr>
              <w:spacing w:after="0"/>
            </w:pPr>
            <w:r>
              <w:rPr>
                <w:rFonts w:ascii="Arial" w:hAnsi="Arial"/>
                <w:b w:val="0"/>
                <w:i w:val="0"/>
                <w:color w:val="172233"/>
                <w:sz w:val="17"/>
              </w:rPr>
              <w:t>Several due studies coalesce into one refresh</w:t>
            </w:r>
          </w:p>
        </w:tc>
      </w:tr>
      <w:tr>
        <w:tc>
          <w:tcPr>
            <w:tcW w:type="dxa" w:w="1050"/>
            <w:shd w:fill="F3F6F8"/>
            <w:vAlign w:val="center"/>
            <w:tcMar>
              <w:top w:w="100" w:type="dxa"/>
              <w:start w:w="120" w:type="dxa"/>
              <w:bottom w:w="100" w:type="dxa"/>
              <w:end w:w="120" w:type="dxa"/>
            </w:tcMar>
          </w:tcPr>
          <w:p>
            <w:pPr>
              <w:spacing w:after="0"/>
            </w:pPr>
            <w:r>
              <w:rPr>
                <w:rFonts w:ascii="Arial" w:hAnsi="Arial"/>
                <w:b w:val="0"/>
                <w:i w:val="0"/>
                <w:color w:val="172233"/>
                <w:sz w:val="17"/>
              </w:rPr>
              <w:t>2. Schedule</w:t>
            </w:r>
          </w:p>
        </w:tc>
        <w:tc>
          <w:tcPr>
            <w:tcW w:type="dxa" w:w="4800"/>
            <w:shd w:fill="F3F6F8"/>
            <w:vAlign w:val="center"/>
            <w:tcMar>
              <w:top w:w="100" w:type="dxa"/>
              <w:start w:w="120" w:type="dxa"/>
              <w:bottom w:w="100" w:type="dxa"/>
              <w:end w:w="120" w:type="dxa"/>
            </w:tcMar>
          </w:tcPr>
          <w:p>
            <w:pPr>
              <w:spacing w:after="0"/>
            </w:pPr>
            <w:r>
              <w:rPr>
                <w:rFonts w:ascii="Arial" w:hAnsi="Arial"/>
                <w:b w:val="0"/>
                <w:i w:val="0"/>
                <w:color w:val="172233"/>
                <w:sz w:val="17"/>
              </w:rPr>
              <w:t>Insert one pending refresh_jobs row with priority, run_at, and deadline</w:t>
            </w:r>
          </w:p>
        </w:tc>
        <w:tc>
          <w:tcPr>
            <w:tcW w:type="dxa" w:w="3510"/>
            <w:shd w:fill="F3F6F8"/>
            <w:vAlign w:val="center"/>
            <w:tcMar>
              <w:top w:w="100" w:type="dxa"/>
              <w:start w:w="120" w:type="dxa"/>
              <w:bottom w:w="100" w:type="dxa"/>
              <w:end w:w="120" w:type="dxa"/>
            </w:tcMar>
          </w:tcPr>
          <w:p>
            <w:pPr>
              <w:spacing w:after="0"/>
            </w:pPr>
            <w:r>
              <w:rPr>
                <w:rFonts w:ascii="Arial" w:hAnsi="Arial"/>
                <w:b w:val="0"/>
                <w:i w:val="0"/>
                <w:color w:val="172233"/>
                <w:sz w:val="17"/>
              </w:rPr>
              <w:t>Partial unique index makes duplicate prevention race-proof</w:t>
            </w:r>
          </w:p>
        </w:tc>
      </w:tr>
      <w:tr>
        <w:tc>
          <w:tcPr>
            <w:tcW w:type="dxa" w:w="1050"/>
            <w:vAlign w:val="center"/>
            <w:tcMar>
              <w:top w:w="100" w:type="dxa"/>
              <w:start w:w="120" w:type="dxa"/>
              <w:bottom w:w="100" w:type="dxa"/>
              <w:end w:w="120" w:type="dxa"/>
            </w:tcMar>
          </w:tcPr>
          <w:p>
            <w:pPr>
              <w:spacing w:after="0"/>
            </w:pPr>
            <w:r>
              <w:rPr>
                <w:rFonts w:ascii="Arial" w:hAnsi="Arial"/>
                <w:b w:val="0"/>
                <w:i w:val="0"/>
                <w:color w:val="172233"/>
                <w:sz w:val="17"/>
              </w:rPr>
              <w:t>3. Admit</w:t>
            </w:r>
          </w:p>
        </w:tc>
        <w:tc>
          <w:tcPr>
            <w:tcW w:type="dxa" w:w="4800"/>
            <w:vAlign w:val="center"/>
            <w:tcMar>
              <w:top w:w="100" w:type="dxa"/>
              <w:start w:w="120" w:type="dxa"/>
              <w:bottom w:w="100" w:type="dxa"/>
              <w:end w:w="120" w:type="dxa"/>
            </w:tcMar>
          </w:tcPr>
          <w:p>
            <w:pPr>
              <w:spacing w:after="0"/>
            </w:pPr>
            <w:r>
              <w:rPr>
                <w:rFonts w:ascii="Arial" w:hAnsi="Arial"/>
                <w:b w:val="0"/>
                <w:i w:val="0"/>
                <w:color w:val="172233"/>
                <w:sz w:val="17"/>
              </w:rPr>
              <w:t>Lock a due job with SKIP LOCKED; acquire every endpoint token atomically</w:t>
            </w:r>
          </w:p>
        </w:tc>
        <w:tc>
          <w:tcPr>
            <w:tcW w:type="dxa" w:w="3510"/>
            <w:vAlign w:val="center"/>
            <w:tcMar>
              <w:top w:w="100" w:type="dxa"/>
              <w:start w:w="120" w:type="dxa"/>
              <w:bottom w:w="100" w:type="dxa"/>
              <w:end w:w="120" w:type="dxa"/>
            </w:tcMar>
          </w:tcPr>
          <w:p>
            <w:pPr>
              <w:spacing w:after="0"/>
            </w:pPr>
            <w:r>
              <w:rPr>
                <w:rFonts w:ascii="Arial" w:hAnsi="Arial"/>
                <w:b w:val="0"/>
                <w:i w:val="0"/>
                <w:color w:val="172233"/>
                <w:sz w:val="17"/>
              </w:rPr>
              <w:t>No double-processing and no send without quota</w:t>
            </w:r>
          </w:p>
        </w:tc>
      </w:tr>
      <w:tr>
        <w:tc>
          <w:tcPr>
            <w:tcW w:type="dxa" w:w="1050"/>
            <w:shd w:fill="F3F6F8"/>
            <w:vAlign w:val="center"/>
            <w:tcMar>
              <w:top w:w="100" w:type="dxa"/>
              <w:start w:w="120" w:type="dxa"/>
              <w:bottom w:w="100" w:type="dxa"/>
              <w:end w:w="120" w:type="dxa"/>
            </w:tcMar>
          </w:tcPr>
          <w:p>
            <w:pPr>
              <w:spacing w:after="0"/>
            </w:pPr>
            <w:r>
              <w:rPr>
                <w:rFonts w:ascii="Arial" w:hAnsi="Arial"/>
                <w:b w:val="0"/>
                <w:i w:val="0"/>
                <w:color w:val="172233"/>
                <w:sz w:val="17"/>
              </w:rPr>
              <w:t>4. Execute</w:t>
            </w:r>
          </w:p>
        </w:tc>
        <w:tc>
          <w:tcPr>
            <w:tcW w:type="dxa" w:w="4800"/>
            <w:shd w:fill="F3F6F8"/>
            <w:vAlign w:val="center"/>
            <w:tcMar>
              <w:top w:w="100" w:type="dxa"/>
              <w:start w:w="120" w:type="dxa"/>
              <w:bottom w:w="100" w:type="dxa"/>
              <w:end w:w="120" w:type="dxa"/>
            </w:tcMar>
          </w:tcPr>
          <w:p>
            <w:pPr>
              <w:spacing w:after="0"/>
            </w:pPr>
            <w:r>
              <w:rPr>
                <w:rFonts w:ascii="Arial" w:hAnsi="Arial"/>
                <w:b w:val="0"/>
                <w:i w:val="0"/>
                <w:color w:val="172233"/>
                <w:sz w:val="17"/>
              </w:rPr>
              <w:t>POST once; store external request ID; release the worker lease</w:t>
            </w:r>
          </w:p>
        </w:tc>
        <w:tc>
          <w:tcPr>
            <w:tcW w:type="dxa" w:w="3510"/>
            <w:shd w:fill="F3F6F8"/>
            <w:vAlign w:val="center"/>
            <w:tcMar>
              <w:top w:w="100" w:type="dxa"/>
              <w:start w:w="120" w:type="dxa"/>
              <w:bottom w:w="100" w:type="dxa"/>
              <w:end w:w="120" w:type="dxa"/>
            </w:tcMar>
          </w:tcPr>
          <w:p>
            <w:pPr>
              <w:spacing w:after="0"/>
            </w:pPr>
            <w:r>
              <w:rPr>
                <w:rFonts w:ascii="Arial" w:hAnsi="Arial"/>
                <w:b w:val="0"/>
                <w:i w:val="0"/>
                <w:color w:val="172233"/>
                <w:sz w:val="17"/>
              </w:rPr>
              <w:t>External latency does not pin workers</w:t>
            </w:r>
          </w:p>
        </w:tc>
      </w:tr>
      <w:tr>
        <w:tc>
          <w:tcPr>
            <w:tcW w:type="dxa" w:w="1050"/>
            <w:vAlign w:val="center"/>
            <w:tcMar>
              <w:top w:w="100" w:type="dxa"/>
              <w:start w:w="120" w:type="dxa"/>
              <w:bottom w:w="100" w:type="dxa"/>
              <w:end w:w="120" w:type="dxa"/>
            </w:tcMar>
          </w:tcPr>
          <w:p>
            <w:pPr>
              <w:spacing w:after="0"/>
            </w:pPr>
            <w:r>
              <w:rPr>
                <w:rFonts w:ascii="Arial" w:hAnsi="Arial"/>
                <w:b w:val="0"/>
                <w:i w:val="0"/>
                <w:color w:val="172233"/>
                <w:sz w:val="17"/>
              </w:rPr>
              <w:t>5. Poll</w:t>
            </w:r>
          </w:p>
        </w:tc>
        <w:tc>
          <w:tcPr>
            <w:tcW w:type="dxa" w:w="4800"/>
            <w:vAlign w:val="center"/>
            <w:tcMar>
              <w:top w:w="100" w:type="dxa"/>
              <w:start w:w="120" w:type="dxa"/>
              <w:bottom w:w="100" w:type="dxa"/>
              <w:end w:w="120" w:type="dxa"/>
            </w:tcMar>
          </w:tcPr>
          <w:p>
            <w:pPr>
              <w:spacing w:after="0"/>
            </w:pPr>
            <w:r>
              <w:rPr>
                <w:rFonts w:ascii="Arial" w:hAnsi="Arial"/>
                <w:b w:val="0"/>
                <w:i w:val="0"/>
                <w:color w:val="172233"/>
                <w:sz w:val="17"/>
              </w:rPr>
              <w:t>Reclaim at run_at and query status until terminal</w:t>
            </w:r>
          </w:p>
        </w:tc>
        <w:tc>
          <w:tcPr>
            <w:tcW w:type="dxa" w:w="3510"/>
            <w:vAlign w:val="center"/>
            <w:tcMar>
              <w:top w:w="100" w:type="dxa"/>
              <w:start w:w="120" w:type="dxa"/>
              <w:bottom w:w="100" w:type="dxa"/>
              <w:end w:w="120" w:type="dxa"/>
            </w:tcMar>
          </w:tcPr>
          <w:p>
            <w:pPr>
              <w:spacing w:after="0"/>
            </w:pPr>
            <w:r>
              <w:rPr>
                <w:rFonts w:ascii="Arial" w:hAnsi="Arial"/>
                <w:b w:val="0"/>
                <w:i w:val="0"/>
                <w:color w:val="172233"/>
                <w:sz w:val="17"/>
              </w:rPr>
              <w:t>Polling is durable and horizontally distributable</w:t>
            </w:r>
          </w:p>
        </w:tc>
      </w:tr>
      <w:tr>
        <w:tc>
          <w:tcPr>
            <w:tcW w:type="dxa" w:w="1050"/>
            <w:shd w:fill="F3F6F8"/>
            <w:vAlign w:val="center"/>
            <w:tcMar>
              <w:top w:w="100" w:type="dxa"/>
              <w:start w:w="120" w:type="dxa"/>
              <w:bottom w:w="100" w:type="dxa"/>
              <w:end w:w="120" w:type="dxa"/>
            </w:tcMar>
          </w:tcPr>
          <w:p>
            <w:pPr>
              <w:spacing w:after="0"/>
            </w:pPr>
            <w:r>
              <w:rPr>
                <w:rFonts w:ascii="Arial" w:hAnsi="Arial"/>
                <w:b w:val="0"/>
                <w:i w:val="0"/>
                <w:color w:val="172233"/>
                <w:sz w:val="17"/>
              </w:rPr>
              <w:t>6. Commit</w:t>
            </w:r>
          </w:p>
        </w:tc>
        <w:tc>
          <w:tcPr>
            <w:tcW w:type="dxa" w:w="4800"/>
            <w:shd w:fill="F3F6F8"/>
            <w:vAlign w:val="center"/>
            <w:tcMar>
              <w:top w:w="100" w:type="dxa"/>
              <w:start w:w="120" w:type="dxa"/>
              <w:bottom w:w="100" w:type="dxa"/>
              <w:end w:w="120" w:type="dxa"/>
            </w:tcMar>
          </w:tcPr>
          <w:p>
            <w:pPr>
              <w:spacing w:after="0"/>
            </w:pPr>
            <w:r>
              <w:rPr>
                <w:rFonts w:ascii="Arial" w:hAnsi="Arial"/>
                <w:b w:val="0"/>
                <w:i w:val="0"/>
                <w:color w:val="172233"/>
                <w:sz w:val="17"/>
              </w:rPr>
              <w:t>Complete job and advance active enrollment clocks in one transaction</w:t>
            </w:r>
          </w:p>
        </w:tc>
        <w:tc>
          <w:tcPr>
            <w:tcW w:type="dxa" w:w="3510"/>
            <w:shd w:fill="F3F6F8"/>
            <w:vAlign w:val="center"/>
            <w:tcMar>
              <w:top w:w="100" w:type="dxa"/>
              <w:start w:w="120" w:type="dxa"/>
              <w:bottom w:w="100" w:type="dxa"/>
              <w:end w:w="120" w:type="dxa"/>
            </w:tcMar>
          </w:tcPr>
          <w:p>
            <w:pPr>
              <w:spacing w:after="0"/>
            </w:pPr>
            <w:r>
              <w:rPr>
                <w:rFonts w:ascii="Arial" w:hAnsi="Arial"/>
                <w:b w:val="0"/>
                <w:i w:val="0"/>
                <w:color w:val="172233"/>
                <w:sz w:val="17"/>
              </w:rPr>
              <w:t>Job truth and freshness truth cannot diverge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DDEFF1"/>
          </w:tcPr>
          <w:p>
            <w:pPr>
              <w:spacing w:after="0"/>
            </w:pPr>
            <w:r>
              <w:rPr>
                <w:rFonts w:ascii="Arial" w:hAnsi="Arial"/>
                <w:b/>
                <w:i w:val="0"/>
                <w:color w:val="007681"/>
                <w:sz w:val="21"/>
              </w:rPr>
              <w:t xml:space="preserve">Mental model  </w:t>
            </w:r>
            <w:r>
              <w:rPr>
                <w:rFonts w:ascii="Arial" w:hAnsi="Arial"/>
                <w:b w:val="0"/>
                <w:i w:val="0"/>
                <w:color w:val="172233"/>
                <w:sz w:val="21"/>
              </w:rPr>
              <w:t>The due set triggers a refresh; the active set is satisfied by it. The job's coalesced_study_ids is an audit trail, not the list of records updated on success.</w:t>
            </w:r>
          </w:p>
        </w:tc>
      </w:tr>
    </w:tbl>
    <w:p>
      <w:pPr>
        <w:spacing w:after="40"/>
      </w:pPr>
    </w:p>
    <w:p>
      <w:r>
        <w:br w:type="page"/>
      </w:r>
    </w:p>
    <w:p>
      <w:pPr>
        <w:pStyle w:val="Heading1"/>
      </w:pPr>
      <w:r>
        <w:t>2. Data model</w:t>
      </w:r>
    </w:p>
    <w:p>
      <w:pPr>
        <w:spacing w:after="100"/>
      </w:pPr>
      <w:r>
        <w:rPr>
          <w:rFonts w:ascii="Arial" w:hAnsi="Arial"/>
          <w:b w:val="0"/>
          <w:i w:val="0"/>
          <w:color w:val="172233"/>
          <w:sz w:val="21"/>
        </w:rPr>
        <w:t>I kept the schema narrowly focused on orchestration. Patients and studies model the freshness obligation. Patients and EHR endpoints model the rate-limit cost. Refresh jobs carry the durable state machine.</w:t>
      </w:r>
    </w:p>
    <w:tbl>
      <w:tblPr>
        <w:tblStyle w:val="TableGrid"/>
        <w:tblW w:type="dxa" w:w="9360"/>
        <w:tblLayout w:type="fixed"/>
        <w:tblLook w:firstColumn="1" w:firstRow="1" w:lastColumn="0" w:lastRow="0" w:noHBand="0" w:noVBand="1" w:val="04A0"/>
        <w:jc w:val="left"/>
        <w:tblInd w:w="120" w:type="dxa"/>
        <w:tblInd w:w="120" w:type="dxa"/>
      </w:tblPr>
      <w:tblGrid>
        <w:gridCol w:w="1800"/>
        <w:gridCol w:w="3100"/>
        <w:gridCol w:w="4460"/>
      </w:tblGrid>
      <w:tr>
        <w:trPr>
          <w:tblHeader w:val="true"/>
        </w:trPr>
        <w:tc>
          <w:tcPr>
            <w:tcW w:type="dxa" w:w="1800"/>
            <w:vAlign w:val="center"/>
            <w:tcMar>
              <w:top w:w="100" w:type="dxa"/>
              <w:start w:w="120" w:type="dxa"/>
              <w:bottom w:w="100" w:type="dxa"/>
              <w:end w:w="120" w:type="dxa"/>
            </w:tcMar>
            <w:shd w:fill="123456"/>
          </w:tcPr>
          <w:p>
            <w:pPr>
              <w:spacing w:after="0"/>
            </w:pPr>
            <w:r>
              <w:rPr>
                <w:rFonts w:ascii="Arial" w:hAnsi="Arial"/>
                <w:b/>
                <w:i w:val="0"/>
                <w:color w:val="FFFFFF"/>
                <w:sz w:val="17"/>
              </w:rPr>
              <w:t>Table</w:t>
            </w:r>
          </w:p>
        </w:tc>
        <w:tc>
          <w:tcPr>
            <w:tcW w:type="dxa" w:w="3100"/>
            <w:vAlign w:val="center"/>
            <w:tcMar>
              <w:top w:w="100" w:type="dxa"/>
              <w:start w:w="120" w:type="dxa"/>
              <w:bottom w:w="100" w:type="dxa"/>
              <w:end w:w="120" w:type="dxa"/>
            </w:tcMar>
            <w:shd w:fill="123456"/>
          </w:tcPr>
          <w:p>
            <w:pPr>
              <w:spacing w:after="0"/>
            </w:pPr>
            <w:r>
              <w:rPr>
                <w:rFonts w:ascii="Arial" w:hAnsi="Arial"/>
                <w:b/>
                <w:i w:val="0"/>
                <w:color w:val="FFFFFF"/>
                <w:sz w:val="17"/>
              </w:rPr>
              <w:t>Role</w:t>
            </w:r>
          </w:p>
        </w:tc>
        <w:tc>
          <w:tcPr>
            <w:tcW w:type="dxa" w:w="4460"/>
            <w:vAlign w:val="center"/>
            <w:tcMar>
              <w:top w:w="100" w:type="dxa"/>
              <w:start w:w="120" w:type="dxa"/>
              <w:bottom w:w="100" w:type="dxa"/>
              <w:end w:w="120" w:type="dxa"/>
            </w:tcMar>
            <w:shd w:fill="123456"/>
          </w:tcPr>
          <w:p>
            <w:pPr>
              <w:spacing w:after="0"/>
            </w:pPr>
            <w:r>
              <w:rPr>
                <w:rFonts w:ascii="Arial" w:hAnsi="Arial"/>
                <w:b/>
                <w:i w:val="0"/>
                <w:color w:val="FFFFFF"/>
                <w:sz w:val="17"/>
              </w:rPr>
              <w:t>Key design choice</w:t>
            </w:r>
          </w:p>
        </w:tc>
      </w:tr>
      <w:tr>
        <w:tc>
          <w:tcPr>
            <w:tcW w:type="dxa" w:w="1800"/>
            <w:vAlign w:val="center"/>
            <w:tcMar>
              <w:top w:w="100" w:type="dxa"/>
              <w:start w:w="120" w:type="dxa"/>
              <w:bottom w:w="100" w:type="dxa"/>
              <w:end w:w="120" w:type="dxa"/>
            </w:tcMar>
          </w:tcPr>
          <w:p>
            <w:pPr>
              <w:spacing w:after="0"/>
            </w:pPr>
            <w:r>
              <w:rPr>
                <w:rFonts w:ascii="Arial" w:hAnsi="Arial"/>
                <w:b w:val="0"/>
                <w:i w:val="0"/>
                <w:color w:val="172233"/>
                <w:sz w:val="17"/>
              </w:rPr>
              <w:t>patients</w:t>
            </w:r>
          </w:p>
        </w:tc>
        <w:tc>
          <w:tcPr>
            <w:tcW w:type="dxa" w:w="3100"/>
            <w:vAlign w:val="center"/>
            <w:tcMar>
              <w:top w:w="100" w:type="dxa"/>
              <w:start w:w="120" w:type="dxa"/>
              <w:bottom w:w="100" w:type="dxa"/>
              <w:end w:w="120" w:type="dxa"/>
            </w:tcMar>
          </w:tcPr>
          <w:p>
            <w:pPr>
              <w:spacing w:after="0"/>
            </w:pPr>
            <w:r>
              <w:rPr>
                <w:rFonts w:ascii="Arial" w:hAnsi="Arial"/>
                <w:b w:val="0"/>
                <w:i w:val="0"/>
                <w:color w:val="172233"/>
                <w:sz w:val="17"/>
              </w:rPr>
              <w:t>External patient identity</w:t>
            </w:r>
          </w:p>
        </w:tc>
        <w:tc>
          <w:tcPr>
            <w:tcW w:type="dxa" w:w="4460"/>
            <w:vAlign w:val="center"/>
            <w:tcMar>
              <w:top w:w="100" w:type="dxa"/>
              <w:start w:w="120" w:type="dxa"/>
              <w:bottom w:w="100" w:type="dxa"/>
              <w:end w:w="120" w:type="dxa"/>
            </w:tcMar>
          </w:tcPr>
          <w:p>
            <w:pPr>
              <w:spacing w:after="0"/>
            </w:pPr>
            <w:r>
              <w:rPr>
                <w:rFonts w:ascii="Arial" w:hAnsi="Arial"/>
                <w:b w:val="0"/>
                <w:i w:val="0"/>
                <w:color w:val="172233"/>
                <w:sz w:val="17"/>
              </w:rPr>
              <w:t>One durable orchestration subject</w:t>
            </w:r>
          </w:p>
        </w:tc>
      </w:tr>
      <w:tr>
        <w:tc>
          <w:tcPr>
            <w:tcW w:type="dxa" w:w="1800"/>
            <w:shd w:fill="F3F6F8"/>
            <w:vAlign w:val="center"/>
            <w:tcMar>
              <w:top w:w="100" w:type="dxa"/>
              <w:start w:w="120" w:type="dxa"/>
              <w:bottom w:w="100" w:type="dxa"/>
              <w:end w:w="120" w:type="dxa"/>
            </w:tcMar>
          </w:tcPr>
          <w:p>
            <w:pPr>
              <w:spacing w:after="0"/>
            </w:pPr>
            <w:r>
              <w:rPr>
                <w:rFonts w:ascii="Arial" w:hAnsi="Arial"/>
                <w:b w:val="0"/>
                <w:i w:val="0"/>
                <w:color w:val="172233"/>
                <w:sz w:val="17"/>
              </w:rPr>
              <w:t>studies</w:t>
            </w:r>
          </w:p>
        </w:tc>
        <w:tc>
          <w:tcPr>
            <w:tcW w:type="dxa" w:w="3100"/>
            <w:shd w:fill="F3F6F8"/>
            <w:vAlign w:val="center"/>
            <w:tcMar>
              <w:top w:w="100" w:type="dxa"/>
              <w:start w:w="120" w:type="dxa"/>
              <w:bottom w:w="100" w:type="dxa"/>
              <w:end w:w="120" w:type="dxa"/>
            </w:tcMar>
          </w:tcPr>
          <w:p>
            <w:pPr>
              <w:spacing w:after="0"/>
            </w:pPr>
            <w:r>
              <w:rPr>
                <w:rFonts w:ascii="Arial" w:hAnsi="Arial"/>
                <w:b w:val="0"/>
                <w:i w:val="0"/>
                <w:color w:val="172233"/>
                <w:sz w:val="17"/>
              </w:rPr>
              <w:t>Refresh cadence and base priority</w:t>
            </w:r>
          </w:p>
        </w:tc>
        <w:tc>
          <w:tcPr>
            <w:tcW w:type="dxa" w:w="4460"/>
            <w:shd w:fill="F3F6F8"/>
            <w:vAlign w:val="center"/>
            <w:tcMar>
              <w:top w:w="100" w:type="dxa"/>
              <w:start w:w="120" w:type="dxa"/>
              <w:bottom w:w="100" w:type="dxa"/>
              <w:end w:w="120" w:type="dxa"/>
            </w:tcMar>
          </w:tcPr>
          <w:p>
            <w:pPr>
              <w:spacing w:after="0"/>
            </w:pPr>
            <w:r>
              <w:rPr>
                <w:rFonts w:ascii="Arial" w:hAnsi="Arial"/>
                <w:b w:val="0"/>
                <w:i w:val="0"/>
                <w:color w:val="172233"/>
                <w:sz w:val="17"/>
              </w:rPr>
              <w:t>Cadence belongs to the study</w:t>
            </w:r>
          </w:p>
        </w:tc>
      </w:tr>
      <w:tr>
        <w:tc>
          <w:tcPr>
            <w:tcW w:type="dxa" w:w="1800"/>
            <w:vAlign w:val="center"/>
            <w:tcMar>
              <w:top w:w="100" w:type="dxa"/>
              <w:start w:w="120" w:type="dxa"/>
              <w:bottom w:w="100" w:type="dxa"/>
              <w:end w:w="120" w:type="dxa"/>
            </w:tcMar>
          </w:tcPr>
          <w:p>
            <w:pPr>
              <w:spacing w:after="0"/>
            </w:pPr>
            <w:r>
              <w:rPr>
                <w:rFonts w:ascii="Arial" w:hAnsi="Arial"/>
                <w:b w:val="0"/>
                <w:i w:val="0"/>
                <w:color w:val="172233"/>
                <w:sz w:val="17"/>
              </w:rPr>
              <w:t>patient_studies</w:t>
            </w:r>
          </w:p>
        </w:tc>
        <w:tc>
          <w:tcPr>
            <w:tcW w:type="dxa" w:w="3100"/>
            <w:vAlign w:val="center"/>
            <w:tcMar>
              <w:top w:w="100" w:type="dxa"/>
              <w:start w:w="120" w:type="dxa"/>
              <w:bottom w:w="100" w:type="dxa"/>
              <w:end w:w="120" w:type="dxa"/>
            </w:tcMar>
          </w:tcPr>
          <w:p>
            <w:pPr>
              <w:spacing w:after="0"/>
            </w:pPr>
            <w:r>
              <w:rPr>
                <w:rFonts w:ascii="Arial" w:hAnsi="Arial"/>
                <w:b w:val="0"/>
                <w:i w:val="0"/>
                <w:color w:val="172233"/>
                <w:sz w:val="17"/>
              </w:rPr>
              <w:t>Enrollment and last_refresh_at</w:t>
            </w:r>
          </w:p>
        </w:tc>
        <w:tc>
          <w:tcPr>
            <w:tcW w:type="dxa" w:w="4460"/>
            <w:vAlign w:val="center"/>
            <w:tcMar>
              <w:top w:w="100" w:type="dxa"/>
              <w:start w:w="120" w:type="dxa"/>
              <w:bottom w:w="100" w:type="dxa"/>
              <w:end w:w="120" w:type="dxa"/>
            </w:tcMar>
          </w:tcPr>
          <w:p>
            <w:pPr>
              <w:spacing w:after="0"/>
            </w:pPr>
            <w:r>
              <w:rPr>
                <w:rFonts w:ascii="Arial" w:hAnsi="Arial"/>
                <w:b w:val="0"/>
                <w:i w:val="0"/>
                <w:color w:val="172233"/>
                <w:sz w:val="17"/>
              </w:rPr>
              <w:t>Active rows drive eligibility and are advanced on success</w:t>
            </w:r>
          </w:p>
        </w:tc>
      </w:tr>
      <w:tr>
        <w:tc>
          <w:tcPr>
            <w:tcW w:type="dxa" w:w="1800"/>
            <w:shd w:fill="F3F6F8"/>
            <w:vAlign w:val="center"/>
            <w:tcMar>
              <w:top w:w="100" w:type="dxa"/>
              <w:start w:w="120" w:type="dxa"/>
              <w:bottom w:w="100" w:type="dxa"/>
              <w:end w:w="120" w:type="dxa"/>
            </w:tcMar>
          </w:tcPr>
          <w:p>
            <w:pPr>
              <w:spacing w:after="0"/>
            </w:pPr>
            <w:r>
              <w:rPr>
                <w:rFonts w:ascii="Arial" w:hAnsi="Arial"/>
                <w:b w:val="0"/>
                <w:i w:val="0"/>
                <w:color w:val="172233"/>
                <w:sz w:val="17"/>
              </w:rPr>
              <w:t>ehr_endpoints</w:t>
            </w:r>
          </w:p>
        </w:tc>
        <w:tc>
          <w:tcPr>
            <w:tcW w:type="dxa" w:w="3100"/>
            <w:shd w:fill="F3F6F8"/>
            <w:vAlign w:val="center"/>
            <w:tcMar>
              <w:top w:w="100" w:type="dxa"/>
              <w:start w:w="120" w:type="dxa"/>
              <w:bottom w:w="100" w:type="dxa"/>
              <w:end w:w="120" w:type="dxa"/>
            </w:tcMar>
          </w:tcPr>
          <w:p>
            <w:pPr>
              <w:spacing w:after="0"/>
            </w:pPr>
            <w:r>
              <w:rPr>
                <w:rFonts w:ascii="Arial" w:hAnsi="Arial"/>
                <w:b w:val="0"/>
                <w:i w:val="0"/>
                <w:color w:val="172233"/>
                <w:sz w:val="17"/>
              </w:rPr>
              <w:t>Named source and per-minute limit</w:t>
            </w:r>
          </w:p>
        </w:tc>
        <w:tc>
          <w:tcPr>
            <w:tcW w:type="dxa" w:w="4460"/>
            <w:shd w:fill="F3F6F8"/>
            <w:vAlign w:val="center"/>
            <w:tcMar>
              <w:top w:w="100" w:type="dxa"/>
              <w:start w:w="120" w:type="dxa"/>
              <w:bottom w:w="100" w:type="dxa"/>
              <w:end w:w="120" w:type="dxa"/>
            </w:tcMar>
          </w:tcPr>
          <w:p>
            <w:pPr>
              <w:spacing w:after="0"/>
            </w:pPr>
            <w:r>
              <w:rPr>
                <w:rFonts w:ascii="Arial" w:hAnsi="Arial"/>
                <w:b w:val="0"/>
                <w:i w:val="0"/>
                <w:color w:val="172233"/>
                <w:sz w:val="17"/>
              </w:rPr>
              <w:t>Endpoint is a quota/failure dimension</w:t>
            </w:r>
          </w:p>
        </w:tc>
      </w:tr>
      <w:tr>
        <w:tc>
          <w:tcPr>
            <w:tcW w:type="dxa" w:w="1800"/>
            <w:vAlign w:val="center"/>
            <w:tcMar>
              <w:top w:w="100" w:type="dxa"/>
              <w:start w:w="120" w:type="dxa"/>
              <w:bottom w:w="100" w:type="dxa"/>
              <w:end w:w="120" w:type="dxa"/>
            </w:tcMar>
          </w:tcPr>
          <w:p>
            <w:pPr>
              <w:spacing w:after="0"/>
            </w:pPr>
            <w:r>
              <w:rPr>
                <w:rFonts w:ascii="Arial" w:hAnsi="Arial"/>
                <w:b w:val="0"/>
                <w:i w:val="0"/>
                <w:color w:val="172233"/>
                <w:sz w:val="17"/>
              </w:rPr>
              <w:t>patient_endpoints</w:t>
            </w:r>
          </w:p>
        </w:tc>
        <w:tc>
          <w:tcPr>
            <w:tcW w:type="dxa" w:w="3100"/>
            <w:vAlign w:val="center"/>
            <w:tcMar>
              <w:top w:w="100" w:type="dxa"/>
              <w:start w:w="120" w:type="dxa"/>
              <w:bottom w:w="100" w:type="dxa"/>
              <w:end w:w="120" w:type="dxa"/>
            </w:tcMar>
          </w:tcPr>
          <w:p>
            <w:pPr>
              <w:spacing w:after="0"/>
            </w:pPr>
            <w:r>
              <w:rPr>
                <w:rFonts w:ascii="Arial" w:hAnsi="Arial"/>
                <w:b w:val="0"/>
                <w:i w:val="0"/>
                <w:color w:val="172233"/>
                <w:sz w:val="17"/>
              </w:rPr>
              <w:t>Patient-to-source association</w:t>
            </w:r>
          </w:p>
        </w:tc>
        <w:tc>
          <w:tcPr>
            <w:tcW w:type="dxa" w:w="4460"/>
            <w:vAlign w:val="center"/>
            <w:tcMar>
              <w:top w:w="100" w:type="dxa"/>
              <w:start w:w="120" w:type="dxa"/>
              <w:bottom w:w="100" w:type="dxa"/>
              <w:end w:w="120" w:type="dxa"/>
            </w:tcMar>
          </w:tcPr>
          <w:p>
            <w:pPr>
              <w:spacing w:after="0"/>
            </w:pPr>
            <w:r>
              <w:rPr>
                <w:rFonts w:ascii="Arial" w:hAnsi="Arial"/>
                <w:b w:val="0"/>
                <w:i w:val="0"/>
                <w:color w:val="172233"/>
                <w:sz w:val="17"/>
              </w:rPr>
              <w:t>One refresh consumes all associated budgets</w:t>
            </w:r>
          </w:p>
        </w:tc>
      </w:tr>
      <w:tr>
        <w:tc>
          <w:tcPr>
            <w:tcW w:type="dxa" w:w="1800"/>
            <w:shd w:fill="F3F6F8"/>
            <w:vAlign w:val="center"/>
            <w:tcMar>
              <w:top w:w="100" w:type="dxa"/>
              <w:start w:w="120" w:type="dxa"/>
              <w:bottom w:w="100" w:type="dxa"/>
              <w:end w:w="120" w:type="dxa"/>
            </w:tcMar>
          </w:tcPr>
          <w:p>
            <w:pPr>
              <w:spacing w:after="0"/>
            </w:pPr>
            <w:r>
              <w:rPr>
                <w:rFonts w:ascii="Arial" w:hAnsi="Arial"/>
                <w:b w:val="0"/>
                <w:i w:val="0"/>
                <w:color w:val="172233"/>
                <w:sz w:val="17"/>
              </w:rPr>
              <w:t>refresh_jobs</w:t>
            </w:r>
          </w:p>
        </w:tc>
        <w:tc>
          <w:tcPr>
            <w:tcW w:type="dxa" w:w="3100"/>
            <w:shd w:fill="F3F6F8"/>
            <w:vAlign w:val="center"/>
            <w:tcMar>
              <w:top w:w="100" w:type="dxa"/>
              <w:start w:w="120" w:type="dxa"/>
              <w:bottom w:w="100" w:type="dxa"/>
              <w:end w:w="120" w:type="dxa"/>
            </w:tcMar>
          </w:tcPr>
          <w:p>
            <w:pPr>
              <w:spacing w:after="0"/>
            </w:pPr>
            <w:r>
              <w:rPr>
                <w:rFonts w:ascii="Arial" w:hAnsi="Arial"/>
                <w:b w:val="0"/>
                <w:i w:val="0"/>
                <w:color w:val="172233"/>
                <w:sz w:val="17"/>
              </w:rPr>
              <w:t>Queue and job history</w:t>
            </w:r>
          </w:p>
        </w:tc>
        <w:tc>
          <w:tcPr>
            <w:tcW w:type="dxa" w:w="4460"/>
            <w:shd w:fill="F3F6F8"/>
            <w:vAlign w:val="center"/>
            <w:tcMar>
              <w:top w:w="100" w:type="dxa"/>
              <w:start w:w="120" w:type="dxa"/>
              <w:bottom w:w="100" w:type="dxa"/>
              <w:end w:w="120" w:type="dxa"/>
            </w:tcMar>
          </w:tcPr>
          <w:p>
            <w:pPr>
              <w:spacing w:after="0"/>
            </w:pPr>
            <w:r>
              <w:rPr>
                <w:rFonts w:ascii="Arial" w:hAnsi="Arial"/>
                <w:b w:val="0"/>
                <w:i w:val="0"/>
                <w:color w:val="172233"/>
                <w:sz w:val="17"/>
              </w:rPr>
              <w:t>One active patient job; leases, retry budget, deadline, audit set</w:t>
            </w:r>
          </w:p>
        </w:tc>
      </w:tr>
      <w:tr>
        <w:tc>
          <w:tcPr>
            <w:tcW w:type="dxa" w:w="1800"/>
            <w:vAlign w:val="center"/>
            <w:tcMar>
              <w:top w:w="100" w:type="dxa"/>
              <w:start w:w="120" w:type="dxa"/>
              <w:bottom w:w="100" w:type="dxa"/>
              <w:end w:w="120" w:type="dxa"/>
            </w:tcMar>
          </w:tcPr>
          <w:p>
            <w:pPr>
              <w:spacing w:after="0"/>
            </w:pPr>
            <w:r>
              <w:rPr>
                <w:rFonts w:ascii="Arial" w:hAnsi="Arial"/>
                <w:b w:val="0"/>
                <w:i w:val="0"/>
                <w:color w:val="172233"/>
                <w:sz w:val="17"/>
              </w:rPr>
              <w:t>rate_limit_buckets</w:t>
            </w:r>
          </w:p>
        </w:tc>
        <w:tc>
          <w:tcPr>
            <w:tcW w:type="dxa" w:w="3100"/>
            <w:vAlign w:val="center"/>
            <w:tcMar>
              <w:top w:w="100" w:type="dxa"/>
              <w:start w:w="120" w:type="dxa"/>
              <w:bottom w:w="100" w:type="dxa"/>
              <w:end w:w="120" w:type="dxa"/>
            </w:tcMar>
          </w:tcPr>
          <w:p>
            <w:pPr>
              <w:spacing w:after="0"/>
            </w:pPr>
            <w:r>
              <w:rPr>
                <w:rFonts w:ascii="Arial" w:hAnsi="Arial"/>
                <w:b w:val="0"/>
                <w:i w:val="0"/>
                <w:color w:val="172233"/>
                <w:sz w:val="17"/>
              </w:rPr>
              <w:t>Durable token-bucket state</w:t>
            </w:r>
          </w:p>
        </w:tc>
        <w:tc>
          <w:tcPr>
            <w:tcW w:type="dxa" w:w="4460"/>
            <w:vAlign w:val="center"/>
            <w:tcMar>
              <w:top w:w="100" w:type="dxa"/>
              <w:start w:w="120" w:type="dxa"/>
              <w:bottom w:w="100" w:type="dxa"/>
              <w:end w:w="120" w:type="dxa"/>
            </w:tcMar>
          </w:tcPr>
          <w:p>
            <w:pPr>
              <w:spacing w:after="0"/>
            </w:pPr>
            <w:r>
              <w:rPr>
                <w:rFonts w:ascii="Arial" w:hAnsi="Arial"/>
                <w:b w:val="0"/>
                <w:i w:val="0"/>
                <w:color w:val="172233"/>
                <w:sz w:val="17"/>
              </w:rPr>
              <w:t>Rows are locked in a global endpoint order</w:t>
            </w:r>
          </w:p>
        </w:tc>
      </w:tr>
    </w:tbl>
    <w:p>
      <w:pPr>
        <w:spacing w:after="20"/>
      </w:pPr>
    </w:p>
    <w:p>
      <w:pPr>
        <w:pStyle w:val="Heading2"/>
      </w:pPr>
      <w:r>
        <w:t>Schema invariants</w:t>
      </w:r>
    </w:p>
    <w:p>
      <w:pPr>
        <w:pStyle w:val="ListBullet"/>
      </w:pPr>
      <w:r>
        <w:rPr>
          <w:rFonts w:ascii="Arial" w:hAnsi="Arial"/>
          <w:b w:val="0"/>
          <w:i w:val="0"/>
          <w:color w:val="172233"/>
          <w:sz w:val="21"/>
        </w:rPr>
        <w:t>refresh_jobs_one_active_per_patient is a partial unique index over pending and in_progress states.</w:t>
      </w:r>
    </w:p>
    <w:p>
      <w:pPr>
        <w:pStyle w:val="ListBullet"/>
      </w:pPr>
      <w:r>
        <w:rPr>
          <w:rFonts w:ascii="Arial" w:hAnsi="Arial"/>
          <w:b w:val="0"/>
          <w:i w:val="0"/>
          <w:color w:val="172233"/>
          <w:sz w:val="21"/>
        </w:rPr>
        <w:t>refresh_jobs_claim matches the live queue ordering: priority descending, then run_at ascending.</w:t>
      </w:r>
    </w:p>
    <w:p>
      <w:pPr>
        <w:pStyle w:val="ListBullet"/>
      </w:pPr>
      <w:r>
        <w:rPr>
          <w:rFonts w:ascii="Arial" w:hAnsi="Arial"/>
          <w:b w:val="0"/>
          <w:i w:val="0"/>
          <w:color w:val="172233"/>
          <w:sz w:val="21"/>
        </w:rPr>
        <w:t>Database now() is the sole clock for leases, deadlines, scheduling, and backoff, avoiding host-clock skew.</w:t>
      </w:r>
    </w:p>
    <w:p>
      <w:pPr>
        <w:pStyle w:val="ListBullet"/>
      </w:pPr>
      <w:r>
        <w:rPr>
          <w:rFonts w:ascii="Arial" w:hAnsi="Arial"/>
          <w:b w:val="0"/>
          <w:i w:val="0"/>
          <w:color w:val="172233"/>
          <w:sz w:val="21"/>
        </w:rPr>
        <w:t>Job states are constrained to pending, in_progress, completed, and failed; failure classes are separately constrained.</w:t>
      </w:r>
    </w:p>
    <w:p>
      <w:pPr>
        <w:pStyle w:val="ListBullet"/>
      </w:pPr>
      <w:r>
        <w:rPr>
          <w:rFonts w:ascii="Arial" w:hAnsi="Arial"/>
          <w:b w:val="0"/>
          <w:i w:val="0"/>
          <w:color w:val="172233"/>
          <w:sz w:val="21"/>
        </w:rPr>
        <w:t>Withdrawn study associations are never advanced by a successful refresh.</w:t>
      </w:r>
    </w:p>
    <w:p>
      <w:pPr>
        <w:pStyle w:val="Heading2"/>
      </w:pPr>
      <w:r>
        <w:t>Why PostgreSQL</w:t>
      </w:r>
    </w:p>
    <w:p>
      <w:pPr>
        <w:spacing w:after="100"/>
      </w:pPr>
      <w:r>
        <w:rPr>
          <w:rFonts w:ascii="Arial" w:hAnsi="Arial"/>
          <w:b w:val="0"/>
          <w:i w:val="0"/>
          <w:color w:val="172233"/>
          <w:sz w:val="21"/>
        </w:rPr>
        <w:t>PostgreSQL supplies three load-bearing primitives in one place: FOR UPDATE SKIP LOCKED for concurrent claims, a partial unique index for deduplication, and transactions that couple the claim to multi-endpoint quota consumption. A separate queue would require cross-system consistency for the same invariants.</w:t>
      </w:r>
    </w:p>
    <w:p>
      <w:r>
        <w:br w:type="page"/>
      </w:r>
    </w:p>
    <w:p>
      <w:pPr>
        <w:pStyle w:val="Heading1"/>
      </w:pPr>
      <w:r>
        <w:t>3. Concurrency and transaction design</w:t>
      </w:r>
    </w:p>
    <w:tbl>
      <w:tblPr>
        <w:tblStyle w:val="TableGrid"/>
        <w:tblW w:type="dxa" w:w="9360"/>
        <w:tblLayout w:type="fixed"/>
        <w:tblLook w:firstColumn="1" w:firstRow="1" w:lastColumn="0" w:lastRow="0" w:noHBand="0" w:noVBand="1" w:val="04A0"/>
        <w:jc w:val="left"/>
        <w:tblInd w:w="120" w:type="dxa"/>
        <w:tblInd w:w="120" w:type="dxa"/>
      </w:tblPr>
      <w:tblGrid>
        <w:gridCol w:w="2350"/>
        <w:gridCol w:w="4050"/>
        <w:gridCol w:w="2960"/>
      </w:tblGrid>
      <w:tr>
        <w:trPr>
          <w:tblHeader w:val="true"/>
        </w:trPr>
        <w:tc>
          <w:tcPr>
            <w:tcW w:type="dxa" w:w="2350"/>
            <w:vAlign w:val="center"/>
            <w:tcMar>
              <w:top w:w="100" w:type="dxa"/>
              <w:start w:w="120" w:type="dxa"/>
              <w:bottom w:w="100" w:type="dxa"/>
              <w:end w:w="120" w:type="dxa"/>
            </w:tcMar>
            <w:shd w:fill="123456"/>
          </w:tcPr>
          <w:p>
            <w:pPr>
              <w:spacing w:after="0"/>
            </w:pPr>
            <w:r>
              <w:rPr>
                <w:rFonts w:ascii="Arial" w:hAnsi="Arial"/>
                <w:b/>
                <w:i w:val="0"/>
                <w:color w:val="FFFFFF"/>
                <w:sz w:val="18"/>
              </w:rPr>
              <w:t>Mechanism</w:t>
            </w:r>
          </w:p>
        </w:tc>
        <w:tc>
          <w:tcPr>
            <w:tcW w:type="dxa" w:w="4050"/>
            <w:vAlign w:val="center"/>
            <w:tcMar>
              <w:top w:w="100" w:type="dxa"/>
              <w:start w:w="120" w:type="dxa"/>
              <w:bottom w:w="100" w:type="dxa"/>
              <w:end w:w="120" w:type="dxa"/>
            </w:tcMar>
            <w:shd w:fill="123456"/>
          </w:tcPr>
          <w:p>
            <w:pPr>
              <w:spacing w:after="0"/>
            </w:pPr>
            <w:r>
              <w:rPr>
                <w:rFonts w:ascii="Arial" w:hAnsi="Arial"/>
                <w:b/>
                <w:i w:val="0"/>
                <w:color w:val="FFFFFF"/>
                <w:sz w:val="18"/>
              </w:rPr>
              <w:t>Problem prevented</w:t>
            </w:r>
          </w:p>
        </w:tc>
        <w:tc>
          <w:tcPr>
            <w:tcW w:type="dxa" w:w="2960"/>
            <w:vAlign w:val="center"/>
            <w:tcMar>
              <w:top w:w="100" w:type="dxa"/>
              <w:start w:w="120" w:type="dxa"/>
              <w:bottom w:w="100" w:type="dxa"/>
              <w:end w:w="120" w:type="dxa"/>
            </w:tcMar>
            <w:shd w:fill="123456"/>
          </w:tcPr>
          <w:p>
            <w:pPr>
              <w:spacing w:after="0"/>
            </w:pPr>
            <w:r>
              <w:rPr>
                <w:rFonts w:ascii="Arial" w:hAnsi="Arial"/>
                <w:b/>
                <w:i w:val="0"/>
                <w:color w:val="FFFFFF"/>
                <w:sz w:val="18"/>
              </w:rPr>
              <w:t>Boundary</w:t>
            </w:r>
          </w:p>
        </w:tc>
      </w:tr>
      <w:tr>
        <w:tc>
          <w:tcPr>
            <w:tcW w:type="dxa" w:w="2350"/>
            <w:vAlign w:val="center"/>
            <w:tcMar>
              <w:top w:w="100" w:type="dxa"/>
              <w:start w:w="120" w:type="dxa"/>
              <w:bottom w:w="100" w:type="dxa"/>
              <w:end w:w="120" w:type="dxa"/>
            </w:tcMar>
          </w:tcPr>
          <w:p>
            <w:pPr>
              <w:spacing w:after="0"/>
            </w:pPr>
            <w:r>
              <w:rPr>
                <w:rFonts w:ascii="Arial" w:hAnsi="Arial"/>
                <w:b w:val="0"/>
                <w:i w:val="0"/>
                <w:color w:val="172233"/>
                <w:sz w:val="18"/>
              </w:rPr>
              <w:t>FOR UPDATE SKIP LOCKED</w:t>
            </w:r>
          </w:p>
        </w:tc>
        <w:tc>
          <w:tcPr>
            <w:tcW w:type="dxa" w:w="4050"/>
            <w:vAlign w:val="center"/>
            <w:tcMar>
              <w:top w:w="100" w:type="dxa"/>
              <w:start w:w="120" w:type="dxa"/>
              <w:bottom w:w="100" w:type="dxa"/>
              <w:end w:w="120" w:type="dxa"/>
            </w:tcMar>
          </w:tcPr>
          <w:p>
            <w:pPr>
              <w:spacing w:after="0"/>
            </w:pPr>
            <w:r>
              <w:rPr>
                <w:rFonts w:ascii="Arial" w:hAnsi="Arial"/>
                <w:b w:val="0"/>
                <w:i w:val="0"/>
                <w:color w:val="172233"/>
                <w:sz w:val="18"/>
              </w:rPr>
              <w:t>Two workers taking the same due row</w:t>
            </w:r>
          </w:p>
        </w:tc>
        <w:tc>
          <w:tcPr>
            <w:tcW w:type="dxa" w:w="2960"/>
            <w:vAlign w:val="center"/>
            <w:tcMar>
              <w:top w:w="100" w:type="dxa"/>
              <w:start w:w="120" w:type="dxa"/>
              <w:bottom w:w="100" w:type="dxa"/>
              <w:end w:w="120" w:type="dxa"/>
            </w:tcMar>
          </w:tcPr>
          <w:p>
            <w:pPr>
              <w:spacing w:after="0"/>
            </w:pPr>
            <w:r>
              <w:rPr>
                <w:rFonts w:ascii="Arial" w:hAnsi="Arial"/>
                <w:b w:val="0"/>
                <w:i w:val="0"/>
                <w:color w:val="172233"/>
                <w:sz w:val="18"/>
              </w:rPr>
              <w:t>Claim transaction</w:t>
            </w:r>
          </w:p>
        </w:tc>
      </w:tr>
      <w:tr>
        <w:tc>
          <w:tcPr>
            <w:tcW w:type="dxa" w:w="2350"/>
            <w:shd w:fill="F3F6F8"/>
            <w:vAlign w:val="center"/>
            <w:tcMar>
              <w:top w:w="100" w:type="dxa"/>
              <w:start w:w="120" w:type="dxa"/>
              <w:bottom w:w="100" w:type="dxa"/>
              <w:end w:w="120" w:type="dxa"/>
            </w:tcMar>
          </w:tcPr>
          <w:p>
            <w:pPr>
              <w:spacing w:after="0"/>
            </w:pPr>
            <w:r>
              <w:rPr>
                <w:rFonts w:ascii="Arial" w:hAnsi="Arial"/>
                <w:b w:val="0"/>
                <w:i w:val="0"/>
                <w:color w:val="172233"/>
                <w:sz w:val="18"/>
              </w:rPr>
              <w:t>Partial unique index + ON CONFLICT</w:t>
            </w:r>
          </w:p>
        </w:tc>
        <w:tc>
          <w:tcPr>
            <w:tcW w:type="dxa" w:w="4050"/>
            <w:shd w:fill="F3F6F8"/>
            <w:vAlign w:val="center"/>
            <w:tcMar>
              <w:top w:w="100" w:type="dxa"/>
              <w:start w:w="120" w:type="dxa"/>
              <w:bottom w:w="100" w:type="dxa"/>
              <w:end w:w="120" w:type="dxa"/>
            </w:tcMar>
          </w:tcPr>
          <w:p>
            <w:pPr>
              <w:spacing w:after="0"/>
            </w:pPr>
            <w:r>
              <w:rPr>
                <w:rFonts w:ascii="Arial" w:hAnsi="Arial"/>
                <w:b w:val="0"/>
                <w:i w:val="0"/>
                <w:color w:val="172233"/>
                <w:sz w:val="18"/>
              </w:rPr>
              <w:t>Concurrent schedulers creating duplicate active jobs</w:t>
            </w:r>
          </w:p>
        </w:tc>
        <w:tc>
          <w:tcPr>
            <w:tcW w:type="dxa" w:w="2960"/>
            <w:shd w:fill="F3F6F8"/>
            <w:vAlign w:val="center"/>
            <w:tcMar>
              <w:top w:w="100" w:type="dxa"/>
              <w:start w:w="120" w:type="dxa"/>
              <w:bottom w:w="100" w:type="dxa"/>
              <w:end w:w="120" w:type="dxa"/>
            </w:tcMar>
          </w:tcPr>
          <w:p>
            <w:pPr>
              <w:spacing w:after="0"/>
            </w:pPr>
            <w:r>
              <w:rPr>
                <w:rFonts w:ascii="Arial" w:hAnsi="Arial"/>
                <w:b w:val="0"/>
                <w:i w:val="0"/>
                <w:color w:val="172233"/>
                <w:sz w:val="18"/>
              </w:rPr>
              <w:t>Schedule insert</w:t>
            </w:r>
          </w:p>
        </w:tc>
      </w:tr>
      <w:tr>
        <w:tc>
          <w:tcPr>
            <w:tcW w:type="dxa" w:w="2350"/>
            <w:vAlign w:val="center"/>
            <w:tcMar>
              <w:top w:w="100" w:type="dxa"/>
              <w:start w:w="120" w:type="dxa"/>
              <w:bottom w:w="100" w:type="dxa"/>
              <w:end w:w="120" w:type="dxa"/>
            </w:tcMar>
          </w:tcPr>
          <w:p>
            <w:pPr>
              <w:spacing w:after="0"/>
            </w:pPr>
            <w:r>
              <w:rPr>
                <w:rFonts w:ascii="Arial" w:hAnsi="Arial"/>
                <w:b w:val="0"/>
                <w:i w:val="0"/>
                <w:color w:val="172233"/>
                <w:sz w:val="18"/>
              </w:rPr>
              <w:t>Lease with expiry</w:t>
            </w:r>
          </w:p>
        </w:tc>
        <w:tc>
          <w:tcPr>
            <w:tcW w:type="dxa" w:w="4050"/>
            <w:vAlign w:val="center"/>
            <w:tcMar>
              <w:top w:w="100" w:type="dxa"/>
              <w:start w:w="120" w:type="dxa"/>
              <w:bottom w:w="100" w:type="dxa"/>
              <w:end w:w="120" w:type="dxa"/>
            </w:tcMar>
          </w:tcPr>
          <w:p>
            <w:pPr>
              <w:spacing w:after="0"/>
            </w:pPr>
            <w:r>
              <w:rPr>
                <w:rFonts w:ascii="Arial" w:hAnsi="Arial"/>
                <w:b w:val="0"/>
                <w:i w:val="0"/>
                <w:color w:val="172233"/>
                <w:sz w:val="18"/>
              </w:rPr>
              <w:t>A crashed worker permanently owning work</w:t>
            </w:r>
          </w:p>
        </w:tc>
        <w:tc>
          <w:tcPr>
            <w:tcW w:type="dxa" w:w="2960"/>
            <w:vAlign w:val="center"/>
            <w:tcMar>
              <w:top w:w="100" w:type="dxa"/>
              <w:start w:w="120" w:type="dxa"/>
              <w:bottom w:w="100" w:type="dxa"/>
              <w:end w:w="120" w:type="dxa"/>
            </w:tcMar>
          </w:tcPr>
          <w:p>
            <w:pPr>
              <w:spacing w:after="0"/>
            </w:pPr>
            <w:r>
              <w:rPr>
                <w:rFonts w:ascii="Arial" w:hAnsi="Arial"/>
                <w:b w:val="0"/>
                <w:i w:val="0"/>
                <w:color w:val="172233"/>
                <w:sz w:val="18"/>
              </w:rPr>
              <w:t>One external HTTP call</w:t>
            </w:r>
          </w:p>
        </w:tc>
      </w:tr>
      <w:tr>
        <w:tc>
          <w:tcPr>
            <w:tcW w:type="dxa" w:w="2350"/>
            <w:shd w:fill="F3F6F8"/>
            <w:vAlign w:val="center"/>
            <w:tcMar>
              <w:top w:w="100" w:type="dxa"/>
              <w:start w:w="120" w:type="dxa"/>
              <w:bottom w:w="100" w:type="dxa"/>
              <w:end w:w="120" w:type="dxa"/>
            </w:tcMar>
          </w:tcPr>
          <w:p>
            <w:pPr>
              <w:spacing w:after="0"/>
            </w:pPr>
            <w:r>
              <w:rPr>
                <w:rFonts w:ascii="Arial" w:hAnsi="Arial"/>
                <w:b w:val="0"/>
                <w:i w:val="0"/>
                <w:color w:val="172233"/>
                <w:sz w:val="18"/>
              </w:rPr>
              <w:t>locked_by fencing</w:t>
            </w:r>
          </w:p>
        </w:tc>
        <w:tc>
          <w:tcPr>
            <w:tcW w:type="dxa" w:w="4050"/>
            <w:shd w:fill="F3F6F8"/>
            <w:vAlign w:val="center"/>
            <w:tcMar>
              <w:top w:w="100" w:type="dxa"/>
              <w:start w:w="120" w:type="dxa"/>
              <w:bottom w:w="100" w:type="dxa"/>
              <w:end w:w="120" w:type="dxa"/>
            </w:tcMar>
          </w:tcPr>
          <w:p>
            <w:pPr>
              <w:spacing w:after="0"/>
            </w:pPr>
            <w:r>
              <w:rPr>
                <w:rFonts w:ascii="Arial" w:hAnsi="Arial"/>
                <w:b w:val="0"/>
                <w:i w:val="0"/>
                <w:color w:val="172233"/>
                <w:sz w:val="18"/>
              </w:rPr>
              <w:t>A stale worker overwriting a successor</w:t>
            </w:r>
          </w:p>
        </w:tc>
        <w:tc>
          <w:tcPr>
            <w:tcW w:type="dxa" w:w="2960"/>
            <w:shd w:fill="F3F6F8"/>
            <w:vAlign w:val="center"/>
            <w:tcMar>
              <w:top w:w="100" w:type="dxa"/>
              <w:start w:w="120" w:type="dxa"/>
              <w:bottom w:w="100" w:type="dxa"/>
              <w:end w:w="120" w:type="dxa"/>
            </w:tcMar>
          </w:tcPr>
          <w:p>
            <w:pPr>
              <w:spacing w:after="0"/>
            </w:pPr>
            <w:r>
              <w:rPr>
                <w:rFonts w:ascii="Arial" w:hAnsi="Arial"/>
                <w:b w:val="0"/>
                <w:i w:val="0"/>
                <w:color w:val="172233"/>
                <w:sz w:val="18"/>
              </w:rPr>
              <w:t>Every outcome write</w:t>
            </w:r>
          </w:p>
        </w:tc>
      </w:tr>
      <w:tr>
        <w:tc>
          <w:tcPr>
            <w:tcW w:type="dxa" w:w="2350"/>
            <w:vAlign w:val="center"/>
            <w:tcMar>
              <w:top w:w="100" w:type="dxa"/>
              <w:start w:w="120" w:type="dxa"/>
              <w:bottom w:w="100" w:type="dxa"/>
              <w:end w:w="120" w:type="dxa"/>
            </w:tcMar>
          </w:tcPr>
          <w:p>
            <w:pPr>
              <w:spacing w:after="0"/>
            </w:pPr>
            <w:r>
              <w:rPr>
                <w:rFonts w:ascii="Arial" w:hAnsi="Arial"/>
                <w:b w:val="0"/>
                <w:i w:val="0"/>
                <w:color w:val="172233"/>
                <w:sz w:val="18"/>
              </w:rPr>
              <w:t>Ascending endpoint_id locks</w:t>
            </w:r>
          </w:p>
        </w:tc>
        <w:tc>
          <w:tcPr>
            <w:tcW w:type="dxa" w:w="4050"/>
            <w:vAlign w:val="center"/>
            <w:tcMar>
              <w:top w:w="100" w:type="dxa"/>
              <w:start w:w="120" w:type="dxa"/>
              <w:bottom w:w="100" w:type="dxa"/>
              <w:end w:w="120" w:type="dxa"/>
            </w:tcMar>
          </w:tcPr>
          <w:p>
            <w:pPr>
              <w:spacing w:after="0"/>
            </w:pPr>
            <w:r>
              <w:rPr>
                <w:rFonts w:ascii="Arial" w:hAnsi="Arial"/>
                <w:b w:val="0"/>
                <w:i w:val="0"/>
                <w:color w:val="172233"/>
                <w:sz w:val="18"/>
              </w:rPr>
              <w:t>Deadlock during all-or-nothing quota admission</w:t>
            </w:r>
          </w:p>
        </w:tc>
        <w:tc>
          <w:tcPr>
            <w:tcW w:type="dxa" w:w="2960"/>
            <w:vAlign w:val="center"/>
            <w:tcMar>
              <w:top w:w="100" w:type="dxa"/>
              <w:start w:w="120" w:type="dxa"/>
              <w:bottom w:w="100" w:type="dxa"/>
              <w:end w:w="120" w:type="dxa"/>
            </w:tcMar>
          </w:tcPr>
          <w:p>
            <w:pPr>
              <w:spacing w:after="0"/>
            </w:pPr>
            <w:r>
              <w:rPr>
                <w:rFonts w:ascii="Arial" w:hAnsi="Arial"/>
                <w:b w:val="0"/>
                <w:i w:val="0"/>
                <w:color w:val="172233"/>
                <w:sz w:val="18"/>
              </w:rPr>
              <w:t>Rate-limit bucket acquisition</w:t>
            </w:r>
          </w:p>
        </w:tc>
      </w:tr>
    </w:tbl>
    <w:p>
      <w:pPr>
        <w:spacing w:after="20"/>
      </w:pPr>
    </w:p>
    <w:p>
      <w:pPr>
        <w:pStyle w:val="Heading2"/>
      </w:pPr>
      <w:r>
        <w:t>Atomic claim and quota admission</w:t>
      </w:r>
    </w:p>
    <w:p>
      <w:pPr>
        <w:spacing w:after="100"/>
      </w:pPr>
      <w:r>
        <w:rPr>
          <w:rFonts w:ascii="Arial" w:hAnsi="Arial"/>
          <w:b w:val="0"/>
          <w:i w:val="0"/>
          <w:color w:val="172233"/>
          <w:sz w:val="21"/>
        </w:rPr>
        <w:t>The worker first locks candidate jobs without waiting behind other workers. For each claimed patient, the same transaction loads the associated endpoint buckets, refills them using database time, and checks that every bucket has a token. Only fully admitted jobs remain leased; deferred jobs return to pending and extend their deadline for the time spent waiting on capacity.</w:t>
      </w:r>
    </w:p>
    <w:p>
      <w:pPr>
        <w:spacing w:after="100"/>
      </w:pPr>
      <w:r>
        <w:rPr>
          <w:rFonts w:ascii="Arial" w:hAnsi="Arial"/>
          <w:b w:val="0"/>
          <w:i w:val="0"/>
          <w:color w:val="172233"/>
          <w:sz w:val="21"/>
        </w:rPr>
        <w:t>Acquiring every endpoint token is all-or-nothing because the external request is patient-level. If a patient touches three endpoints and one has no budget, sending anyway would violate that endpoint's limit; spending two tokens and not sending would also be wrong. The transaction prevents both outcomes.</w:t>
      </w:r>
    </w:p>
    <w:p>
      <w:pPr>
        <w:pStyle w:val="Heading2"/>
      </w:pPr>
      <w:r>
        <w:t>Asynchronous lifecycle</w:t>
      </w:r>
    </w:p>
    <w:tbl>
      <w:tblPr>
        <w:tblStyle w:val="TableGrid"/>
        <w:tblW w:type="dxa" w:w="9360"/>
        <w:tblLayout w:type="fixed"/>
        <w:tblLook w:firstColumn="1" w:firstRow="1" w:lastColumn="0" w:lastRow="0" w:noHBand="0" w:noVBand="1" w:val="04A0"/>
        <w:jc w:val="left"/>
        <w:tblInd w:w="120" w:type="dxa"/>
        <w:tblInd w:w="120" w:type="dxa"/>
      </w:tblPr>
      <w:tblGrid>
        <w:gridCol w:w="2300"/>
        <w:gridCol w:w="4200"/>
        <w:gridCol w:w="2860"/>
      </w:tblGrid>
      <w:tr>
        <w:trPr>
          <w:tblHeader w:val="true"/>
        </w:trPr>
        <w:tc>
          <w:tcPr>
            <w:tcW w:type="dxa" w:w="2300"/>
            <w:vAlign w:val="center"/>
            <w:tcMar>
              <w:top w:w="100" w:type="dxa"/>
              <w:start w:w="120" w:type="dxa"/>
              <w:bottom w:w="100" w:type="dxa"/>
              <w:end w:w="120" w:type="dxa"/>
            </w:tcMar>
            <w:shd w:fill="123456"/>
          </w:tcPr>
          <w:p>
            <w:pPr>
              <w:spacing w:after="0"/>
            </w:pPr>
            <w:r>
              <w:rPr>
                <w:rFonts w:ascii="Arial" w:hAnsi="Arial"/>
                <w:b/>
                <w:i w:val="0"/>
                <w:color w:val="FFFFFF"/>
                <w:sz w:val="17"/>
              </w:rPr>
              <w:t>Observed outcome</w:t>
            </w:r>
          </w:p>
        </w:tc>
        <w:tc>
          <w:tcPr>
            <w:tcW w:type="dxa" w:w="4200"/>
            <w:vAlign w:val="center"/>
            <w:tcMar>
              <w:top w:w="100" w:type="dxa"/>
              <w:start w:w="120" w:type="dxa"/>
              <w:bottom w:w="100" w:type="dxa"/>
              <w:end w:w="120" w:type="dxa"/>
            </w:tcMar>
            <w:shd w:fill="123456"/>
          </w:tcPr>
          <w:p>
            <w:pPr>
              <w:spacing w:after="0"/>
            </w:pPr>
            <w:r>
              <w:rPr>
                <w:rFonts w:ascii="Arial" w:hAnsi="Arial"/>
                <w:b/>
                <w:i w:val="0"/>
                <w:color w:val="FFFFFF"/>
                <w:sz w:val="17"/>
              </w:rPr>
              <w:t>State transition</w:t>
            </w:r>
          </w:p>
        </w:tc>
        <w:tc>
          <w:tcPr>
            <w:tcW w:type="dxa" w:w="2860"/>
            <w:vAlign w:val="center"/>
            <w:tcMar>
              <w:top w:w="100" w:type="dxa"/>
              <w:start w:w="120" w:type="dxa"/>
              <w:bottom w:w="100" w:type="dxa"/>
              <w:end w:w="120" w:type="dxa"/>
            </w:tcMar>
            <w:shd w:fill="123456"/>
          </w:tcPr>
          <w:p>
            <w:pPr>
              <w:spacing w:after="0"/>
            </w:pPr>
            <w:r>
              <w:rPr>
                <w:rFonts w:ascii="Arial" w:hAnsi="Arial"/>
                <w:b/>
                <w:i w:val="0"/>
                <w:color w:val="FFFFFF"/>
                <w:sz w:val="17"/>
              </w:rPr>
              <w:t>Retry accounting</w:t>
            </w:r>
          </w:p>
        </w:tc>
      </w:tr>
      <w:tr>
        <w:tc>
          <w:tcPr>
            <w:tcW w:type="dxa" w:w="2300"/>
            <w:vAlign w:val="center"/>
            <w:tcMar>
              <w:top w:w="100" w:type="dxa"/>
              <w:start w:w="120" w:type="dxa"/>
              <w:bottom w:w="100" w:type="dxa"/>
              <w:end w:w="120" w:type="dxa"/>
            </w:tcMar>
          </w:tcPr>
          <w:p>
            <w:pPr>
              <w:spacing w:after="0"/>
            </w:pPr>
            <w:r>
              <w:rPr>
                <w:rFonts w:ascii="Arial" w:hAnsi="Arial"/>
                <w:b w:val="0"/>
                <w:i w:val="0"/>
                <w:color w:val="172233"/>
                <w:sz w:val="17"/>
              </w:rPr>
              <w:t>202 accepted</w:t>
            </w:r>
          </w:p>
        </w:tc>
        <w:tc>
          <w:tcPr>
            <w:tcW w:type="dxa" w:w="4200"/>
            <w:vAlign w:val="center"/>
            <w:tcMar>
              <w:top w:w="100" w:type="dxa"/>
              <w:start w:w="120" w:type="dxa"/>
              <w:bottom w:w="100" w:type="dxa"/>
              <w:end w:w="120" w:type="dxa"/>
            </w:tcMar>
          </w:tcPr>
          <w:p>
            <w:pPr>
              <w:spacing w:after="0"/>
            </w:pPr>
            <w:r>
              <w:rPr>
                <w:rFonts w:ascii="Arial" w:hAnsi="Arial"/>
                <w:b w:val="0"/>
                <w:i w:val="0"/>
                <w:color w:val="172233"/>
                <w:sz w:val="17"/>
              </w:rPr>
              <w:t>Store request ID, release lease, schedule poll</w:t>
            </w:r>
          </w:p>
        </w:tc>
        <w:tc>
          <w:tcPr>
            <w:tcW w:type="dxa" w:w="2860"/>
            <w:vAlign w:val="center"/>
            <w:tcMar>
              <w:top w:w="100" w:type="dxa"/>
              <w:start w:w="120" w:type="dxa"/>
              <w:bottom w:w="100" w:type="dxa"/>
              <w:end w:w="120" w:type="dxa"/>
            </w:tcMar>
          </w:tcPr>
          <w:p>
            <w:pPr>
              <w:spacing w:after="0"/>
            </w:pPr>
            <w:r>
              <w:rPr>
                <w:rFonts w:ascii="Arial" w:hAnsi="Arial"/>
                <w:b w:val="0"/>
                <w:i w:val="0"/>
                <w:color w:val="172233"/>
                <w:sz w:val="17"/>
              </w:rPr>
              <w:t>Counts one submitted attempt</w:t>
            </w:r>
          </w:p>
        </w:tc>
      </w:tr>
      <w:tr>
        <w:tc>
          <w:tcPr>
            <w:tcW w:type="dxa" w:w="2300"/>
            <w:shd w:fill="F3F6F8"/>
            <w:vAlign w:val="center"/>
            <w:tcMar>
              <w:top w:w="100" w:type="dxa"/>
              <w:start w:w="120" w:type="dxa"/>
              <w:bottom w:w="100" w:type="dxa"/>
              <w:end w:w="120" w:type="dxa"/>
            </w:tcMar>
          </w:tcPr>
          <w:p>
            <w:pPr>
              <w:spacing w:after="0"/>
            </w:pPr>
            <w:r>
              <w:rPr>
                <w:rFonts w:ascii="Arial" w:hAnsi="Arial"/>
                <w:b w:val="0"/>
                <w:i w:val="0"/>
                <w:color w:val="172233"/>
                <w:sz w:val="17"/>
              </w:rPr>
              <w:t>Still retrieving</w:t>
            </w:r>
          </w:p>
        </w:tc>
        <w:tc>
          <w:tcPr>
            <w:tcW w:type="dxa" w:w="4200"/>
            <w:shd w:fill="F3F6F8"/>
            <w:vAlign w:val="center"/>
            <w:tcMar>
              <w:top w:w="100" w:type="dxa"/>
              <w:start w:w="120" w:type="dxa"/>
              <w:bottom w:w="100" w:type="dxa"/>
              <w:end w:w="120" w:type="dxa"/>
            </w:tcMar>
          </w:tcPr>
          <w:p>
            <w:pPr>
              <w:spacing w:after="0"/>
            </w:pPr>
            <w:r>
              <w:rPr>
                <w:rFonts w:ascii="Arial" w:hAnsi="Arial"/>
                <w:b w:val="0"/>
                <w:i w:val="0"/>
                <w:color w:val="172233"/>
                <w:sz w:val="17"/>
              </w:rPr>
              <w:t>Release lease and schedule another poll</w:t>
            </w:r>
          </w:p>
        </w:tc>
        <w:tc>
          <w:tcPr>
            <w:tcW w:type="dxa" w:w="2860"/>
            <w:shd w:fill="F3F6F8"/>
            <w:vAlign w:val="center"/>
            <w:tcMar>
              <w:top w:w="100" w:type="dxa"/>
              <w:start w:w="120" w:type="dxa"/>
              <w:bottom w:w="100" w:type="dxa"/>
              <w:end w:w="120" w:type="dxa"/>
            </w:tcMar>
          </w:tcPr>
          <w:p>
            <w:pPr>
              <w:spacing w:after="0"/>
            </w:pPr>
            <w:r>
              <w:rPr>
                <w:rFonts w:ascii="Arial" w:hAnsi="Arial"/>
                <w:b w:val="0"/>
                <w:i w:val="0"/>
                <w:color w:val="172233"/>
                <w:sz w:val="17"/>
              </w:rPr>
              <w:t>No attempt spent</w:t>
            </w:r>
          </w:p>
        </w:tc>
      </w:tr>
      <w:tr>
        <w:tc>
          <w:tcPr>
            <w:tcW w:type="dxa" w:w="2300"/>
            <w:vAlign w:val="center"/>
            <w:tcMar>
              <w:top w:w="100" w:type="dxa"/>
              <w:start w:w="120" w:type="dxa"/>
              <w:bottom w:w="100" w:type="dxa"/>
              <w:end w:w="120" w:type="dxa"/>
            </w:tcMar>
          </w:tcPr>
          <w:p>
            <w:pPr>
              <w:spacing w:after="0"/>
            </w:pPr>
            <w:r>
              <w:rPr>
                <w:rFonts w:ascii="Arial" w:hAnsi="Arial"/>
                <w:b w:val="0"/>
                <w:i w:val="0"/>
                <w:color w:val="172233"/>
                <w:sz w:val="17"/>
              </w:rPr>
              <w:t>Success</w:t>
            </w:r>
          </w:p>
        </w:tc>
        <w:tc>
          <w:tcPr>
            <w:tcW w:type="dxa" w:w="4200"/>
            <w:vAlign w:val="center"/>
            <w:tcMar>
              <w:top w:w="100" w:type="dxa"/>
              <w:start w:w="120" w:type="dxa"/>
              <w:bottom w:w="100" w:type="dxa"/>
              <w:end w:w="120" w:type="dxa"/>
            </w:tcMar>
          </w:tcPr>
          <w:p>
            <w:pPr>
              <w:spacing w:after="0"/>
            </w:pPr>
            <w:r>
              <w:rPr>
                <w:rFonts w:ascii="Arial" w:hAnsi="Arial"/>
                <w:b w:val="0"/>
                <w:i w:val="0"/>
                <w:color w:val="172233"/>
                <w:sz w:val="17"/>
              </w:rPr>
              <w:t>Complete job and advance all active enrollment clocks</w:t>
            </w:r>
          </w:p>
        </w:tc>
        <w:tc>
          <w:tcPr>
            <w:tcW w:type="dxa" w:w="2860"/>
            <w:vAlign w:val="center"/>
            <w:tcMar>
              <w:top w:w="100" w:type="dxa"/>
              <w:start w:w="120" w:type="dxa"/>
              <w:bottom w:w="100" w:type="dxa"/>
              <w:end w:w="120" w:type="dxa"/>
            </w:tcMar>
          </w:tcPr>
          <w:p>
            <w:pPr>
              <w:spacing w:after="0"/>
            </w:pPr>
            <w:r>
              <w:rPr>
                <w:rFonts w:ascii="Arial" w:hAnsi="Arial"/>
                <w:b w:val="0"/>
                <w:i w:val="0"/>
                <w:color w:val="172233"/>
                <w:sz w:val="17"/>
              </w:rPr>
              <w:t>Terminal</w:t>
            </w:r>
          </w:p>
        </w:tc>
      </w:tr>
      <w:tr>
        <w:tc>
          <w:tcPr>
            <w:tcW w:type="dxa" w:w="2300"/>
            <w:shd w:fill="F3F6F8"/>
            <w:vAlign w:val="center"/>
            <w:tcMar>
              <w:top w:w="100" w:type="dxa"/>
              <w:start w:w="120" w:type="dxa"/>
              <w:bottom w:w="100" w:type="dxa"/>
              <w:end w:w="120" w:type="dxa"/>
            </w:tcMar>
          </w:tcPr>
          <w:p>
            <w:pPr>
              <w:spacing w:after="0"/>
            </w:pPr>
            <w:r>
              <w:rPr>
                <w:rFonts w:ascii="Arial" w:hAnsi="Arial"/>
                <w:b w:val="0"/>
                <w:i w:val="0"/>
                <w:color w:val="172233"/>
                <w:sz w:val="17"/>
              </w:rPr>
              <w:t>Transient failure</w:t>
            </w:r>
          </w:p>
        </w:tc>
        <w:tc>
          <w:tcPr>
            <w:tcW w:type="dxa" w:w="4200"/>
            <w:shd w:fill="F3F6F8"/>
            <w:vAlign w:val="center"/>
            <w:tcMar>
              <w:top w:w="100" w:type="dxa"/>
              <w:start w:w="120" w:type="dxa"/>
              <w:bottom w:w="100" w:type="dxa"/>
              <w:end w:w="120" w:type="dxa"/>
            </w:tcMar>
          </w:tcPr>
          <w:p>
            <w:pPr>
              <w:spacing w:after="0"/>
            </w:pPr>
            <w:r>
              <w:rPr>
                <w:rFonts w:ascii="Arial" w:hAnsi="Arial"/>
                <w:b w:val="0"/>
                <w:i w:val="0"/>
                <w:color w:val="172233"/>
                <w:sz w:val="17"/>
              </w:rPr>
              <w:t>Return to pending with exponential backoff</w:t>
            </w:r>
          </w:p>
        </w:tc>
        <w:tc>
          <w:tcPr>
            <w:tcW w:type="dxa" w:w="2860"/>
            <w:shd w:fill="F3F6F8"/>
            <w:vAlign w:val="center"/>
            <w:tcMar>
              <w:top w:w="100" w:type="dxa"/>
              <w:start w:w="120" w:type="dxa"/>
              <w:bottom w:w="100" w:type="dxa"/>
              <w:end w:w="120" w:type="dxa"/>
            </w:tcMar>
          </w:tcPr>
          <w:p>
            <w:pPr>
              <w:spacing w:after="0"/>
            </w:pPr>
            <w:r>
              <w:rPr>
                <w:rFonts w:ascii="Arial" w:hAnsi="Arial"/>
                <w:b w:val="0"/>
                <w:i w:val="0"/>
                <w:color w:val="172233"/>
                <w:sz w:val="17"/>
              </w:rPr>
              <w:t>Attempt spent; stop at budget</w:t>
            </w:r>
          </w:p>
        </w:tc>
      </w:tr>
      <w:tr>
        <w:tc>
          <w:tcPr>
            <w:tcW w:type="dxa" w:w="2300"/>
            <w:vAlign w:val="center"/>
            <w:tcMar>
              <w:top w:w="100" w:type="dxa"/>
              <w:start w:w="120" w:type="dxa"/>
              <w:bottom w:w="100" w:type="dxa"/>
              <w:end w:w="120" w:type="dxa"/>
            </w:tcMar>
          </w:tcPr>
          <w:p>
            <w:pPr>
              <w:spacing w:after="0"/>
            </w:pPr>
            <w:r>
              <w:rPr>
                <w:rFonts w:ascii="Arial" w:hAnsi="Arial"/>
                <w:b w:val="0"/>
                <w:i w:val="0"/>
                <w:color w:val="172233"/>
                <w:sz w:val="17"/>
              </w:rPr>
              <w:t>Permanent failure</w:t>
            </w:r>
          </w:p>
        </w:tc>
        <w:tc>
          <w:tcPr>
            <w:tcW w:type="dxa" w:w="4200"/>
            <w:vAlign w:val="center"/>
            <w:tcMar>
              <w:top w:w="100" w:type="dxa"/>
              <w:start w:w="120" w:type="dxa"/>
              <w:bottom w:w="100" w:type="dxa"/>
              <w:end w:w="120" w:type="dxa"/>
            </w:tcMar>
          </w:tcPr>
          <w:p>
            <w:pPr>
              <w:spacing w:after="0"/>
            </w:pPr>
            <w:r>
              <w:rPr>
                <w:rFonts w:ascii="Arial" w:hAnsi="Arial"/>
                <w:b w:val="0"/>
                <w:i w:val="0"/>
                <w:color w:val="172233"/>
                <w:sz w:val="17"/>
              </w:rPr>
              <w:t>Fail immediately</w:t>
            </w:r>
          </w:p>
        </w:tc>
        <w:tc>
          <w:tcPr>
            <w:tcW w:type="dxa" w:w="2860"/>
            <w:vAlign w:val="center"/>
            <w:tcMar>
              <w:top w:w="100" w:type="dxa"/>
              <w:start w:w="120" w:type="dxa"/>
              <w:bottom w:w="100" w:type="dxa"/>
              <w:end w:w="120" w:type="dxa"/>
            </w:tcMar>
          </w:tcPr>
          <w:p>
            <w:pPr>
              <w:spacing w:after="0"/>
            </w:pPr>
            <w:r>
              <w:rPr>
                <w:rFonts w:ascii="Arial" w:hAnsi="Arial"/>
                <w:b w:val="0"/>
                <w:i w:val="0"/>
                <w:color w:val="172233"/>
                <w:sz w:val="17"/>
              </w:rPr>
              <w:t>Terminal</w:t>
            </w:r>
          </w:p>
        </w:tc>
      </w:tr>
      <w:tr>
        <w:tc>
          <w:tcPr>
            <w:tcW w:type="dxa" w:w="2300"/>
            <w:shd w:fill="F3F6F8"/>
            <w:vAlign w:val="center"/>
            <w:tcMar>
              <w:top w:w="100" w:type="dxa"/>
              <w:start w:w="120" w:type="dxa"/>
              <w:bottom w:w="100" w:type="dxa"/>
              <w:end w:w="120" w:type="dxa"/>
            </w:tcMar>
          </w:tcPr>
          <w:p>
            <w:pPr>
              <w:spacing w:after="0"/>
            </w:pPr>
            <w:r>
              <w:rPr>
                <w:rFonts w:ascii="Arial" w:hAnsi="Arial"/>
                <w:b w:val="0"/>
                <w:i w:val="0"/>
                <w:color w:val="172233"/>
                <w:sz w:val="17"/>
              </w:rPr>
              <w:t>429 / no local quota</w:t>
            </w:r>
          </w:p>
        </w:tc>
        <w:tc>
          <w:tcPr>
            <w:tcW w:type="dxa" w:w="4200"/>
            <w:shd w:fill="F3F6F8"/>
            <w:vAlign w:val="center"/>
            <w:tcMar>
              <w:top w:w="100" w:type="dxa"/>
              <w:start w:w="120" w:type="dxa"/>
              <w:bottom w:w="100" w:type="dxa"/>
              <w:end w:w="120" w:type="dxa"/>
            </w:tcMar>
          </w:tcPr>
          <w:p>
            <w:pPr>
              <w:spacing w:after="0"/>
            </w:pPr>
            <w:r>
              <w:rPr>
                <w:rFonts w:ascii="Arial" w:hAnsi="Arial"/>
                <w:b w:val="0"/>
                <w:i w:val="0"/>
                <w:color w:val="172233"/>
                <w:sz w:val="17"/>
              </w:rPr>
              <w:t>Return to pending after cooldown</w:t>
            </w:r>
          </w:p>
        </w:tc>
        <w:tc>
          <w:tcPr>
            <w:tcW w:type="dxa" w:w="2860"/>
            <w:shd w:fill="F3F6F8"/>
            <w:vAlign w:val="center"/>
            <w:tcMar>
              <w:top w:w="100" w:type="dxa"/>
              <w:start w:w="120" w:type="dxa"/>
              <w:bottom w:w="100" w:type="dxa"/>
              <w:end w:w="120" w:type="dxa"/>
            </w:tcMar>
          </w:tcPr>
          <w:p>
            <w:pPr>
              <w:spacing w:after="0"/>
            </w:pPr>
            <w:r>
              <w:rPr>
                <w:rFonts w:ascii="Arial" w:hAnsi="Arial"/>
                <w:b w:val="0"/>
                <w:i w:val="0"/>
                <w:color w:val="172233"/>
                <w:sz w:val="17"/>
              </w:rPr>
              <w:t>No attempt spent</w:t>
            </w:r>
          </w:p>
        </w:tc>
      </w:tr>
      <w:tr>
        <w:tc>
          <w:tcPr>
            <w:tcW w:type="dxa" w:w="2300"/>
            <w:vAlign w:val="center"/>
            <w:tcMar>
              <w:top w:w="100" w:type="dxa"/>
              <w:start w:w="120" w:type="dxa"/>
              <w:bottom w:w="100" w:type="dxa"/>
              <w:end w:w="120" w:type="dxa"/>
            </w:tcMar>
          </w:tcPr>
          <w:p>
            <w:pPr>
              <w:spacing w:after="0"/>
            </w:pPr>
            <w:r>
              <w:rPr>
                <w:rFonts w:ascii="Arial" w:hAnsi="Arial"/>
                <w:b w:val="0"/>
                <w:i w:val="0"/>
                <w:color w:val="172233"/>
                <w:sz w:val="17"/>
              </w:rPr>
              <w:t>Expired deadline</w:t>
            </w:r>
          </w:p>
        </w:tc>
        <w:tc>
          <w:tcPr>
            <w:tcW w:type="dxa" w:w="4200"/>
            <w:vAlign w:val="center"/>
            <w:tcMar>
              <w:top w:w="100" w:type="dxa"/>
              <w:start w:w="120" w:type="dxa"/>
              <w:bottom w:w="100" w:type="dxa"/>
              <w:end w:w="120" w:type="dxa"/>
            </w:tcMar>
          </w:tcPr>
          <w:p>
            <w:pPr>
              <w:spacing w:after="0"/>
            </w:pPr>
            <w:r>
              <w:rPr>
                <w:rFonts w:ascii="Arial" w:hAnsi="Arial"/>
                <w:b w:val="0"/>
                <w:i w:val="0"/>
                <w:color w:val="172233"/>
                <w:sz w:val="17"/>
              </w:rPr>
              <w:t>Fail as timeout</w:t>
            </w:r>
          </w:p>
        </w:tc>
        <w:tc>
          <w:tcPr>
            <w:tcW w:type="dxa" w:w="2860"/>
            <w:vAlign w:val="center"/>
            <w:tcMar>
              <w:top w:w="100" w:type="dxa"/>
              <w:start w:w="120" w:type="dxa"/>
              <w:bottom w:w="100" w:type="dxa"/>
              <w:end w:w="120" w:type="dxa"/>
            </w:tcMar>
          </w:tcPr>
          <w:p>
            <w:pPr>
              <w:spacing w:after="0"/>
            </w:pPr>
            <w:r>
              <w:rPr>
                <w:rFonts w:ascii="Arial" w:hAnsi="Arial"/>
                <w:b w:val="0"/>
                <w:i w:val="0"/>
                <w:color w:val="172233"/>
                <w:sz w:val="17"/>
              </w:rPr>
              <w:t>Bounds poison jobs and endless polling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DDEFF1"/>
          </w:tcPr>
          <w:p>
            <w:pPr>
              <w:spacing w:after="0"/>
            </w:pPr>
            <w:r>
              <w:rPr>
                <w:rFonts w:ascii="Arial" w:hAnsi="Arial"/>
                <w:b/>
                <w:i w:val="0"/>
                <w:color w:val="007681"/>
                <w:sz w:val="21"/>
              </w:rPr>
              <w:t xml:space="preserve">Worker efficiency  </w:t>
            </w:r>
            <w:r>
              <w:rPr>
                <w:rFonts w:ascii="Arial" w:hAnsi="Arial"/>
                <w:b w:val="0"/>
                <w:i w:val="0"/>
                <w:color w:val="172233"/>
                <w:sz w:val="21"/>
              </w:rPr>
              <w:t>A worker holds a lease only while making one HTTP call. It does not occupy a worker slot while the EHR performs a long retrieval.</w:t>
            </w:r>
          </w:p>
        </w:tc>
      </w:tr>
    </w:tbl>
    <w:p>
      <w:pPr>
        <w:spacing w:after="40"/>
      </w:pPr>
    </w:p>
    <w:p>
      <w:r>
        <w:br w:type="page"/>
      </w:r>
    </w:p>
    <w:p>
      <w:pPr>
        <w:pStyle w:val="Heading1"/>
      </w:pPr>
      <w:r>
        <w:t>4. Scheduling, priority, and cost control</w:t>
      </w:r>
    </w:p>
    <w:p>
      <w:pPr>
        <w:pStyle w:val="Heading2"/>
      </w:pPr>
      <w:r>
        <w:t>Eligibility</w:t>
      </w:r>
    </w:p>
    <w:p>
      <w:pPr>
        <w:spacing w:after="100"/>
      </w:pPr>
      <w:r>
        <w:rPr>
          <w:rFonts w:ascii="Arial" w:hAnsi="Arial"/>
          <w:b w:val="0"/>
          <w:i w:val="0"/>
          <w:color w:val="172233"/>
          <w:sz w:val="21"/>
        </w:rPr>
        <w:t>An active enrollment is due when last_refresh_at is absent or when last_refresh_at plus the study refresh interval is no later than database time. The query groups by patient, takes the maximum applicable priority, and records every due study ID for audit.</w:t>
      </w:r>
    </w:p>
    <w:p>
      <w:pPr>
        <w:pStyle w:val="Heading2"/>
      </w:pPr>
      <w:r>
        <w:t>Priority and load spreading</w:t>
      </w:r>
    </w:p>
    <w:p>
      <w:pPr>
        <w:spacing w:after="100"/>
      </w:pPr>
      <w:r>
        <w:rPr>
          <w:rFonts w:ascii="Arial" w:hAnsi="Arial"/>
          <w:b w:val="0"/>
          <w:i w:val="0"/>
          <w:color w:val="172233"/>
          <w:sz w:val="21"/>
        </w:rPr>
        <w:t>Study priority is the baseline. Consent proximity raises urgency, while a user-triggered refresh applies an explicit high-priority override and bypasses jitter because a person is waiting. Scheduled work receives deterministic jitter within the configured window so large cohorts do not all become runnable at once.</w:t>
      </w:r>
    </w:p>
    <w:p>
      <w:pPr>
        <w:pStyle w:val="Heading2"/>
      </w:pPr>
      <w:r>
        <w:t>Retry classification</w:t>
      </w:r>
    </w:p>
    <w:p>
      <w:pPr>
        <w:spacing w:after="100"/>
      </w:pPr>
      <w:r>
        <w:rPr>
          <w:rFonts w:ascii="Arial" w:hAnsi="Arial"/>
          <w:b w:val="0"/>
          <w:i w:val="0"/>
          <w:color w:val="172233"/>
          <w:sz w:val="21"/>
        </w:rPr>
        <w:t>Transient failures indicate a source that may recover, so they use capped exponential backoff with deterministic jitter. Permanent 4xx-style failures stop immediately. A 429 represents our traffic rate rather than job validity, so it delays the job without consuming a retry attempt. Poll observation failures retain the external request ID and try the poll again rather than paying for a second refresh.</w:t>
      </w:r>
    </w:p>
    <w:p>
      <w:pPr>
        <w:pStyle w:val="Heading2"/>
      </w:pPr>
      <w:r>
        <w:t>Avoided calls</w:t>
      </w:r>
    </w:p>
    <w:p>
      <w:pPr>
        <w:pStyle w:val="ListBullet"/>
      </w:pPr>
      <w:r>
        <w:rPr>
          <w:rFonts w:ascii="Arial" w:hAnsi="Arial"/>
          <w:b w:val="0"/>
          <w:i w:val="0"/>
          <w:color w:val="172233"/>
          <w:sz w:val="21"/>
        </w:rPr>
        <w:t>Study coalescing makes one patient refresh satisfy several due obligations.</w:t>
      </w:r>
    </w:p>
    <w:p>
      <w:pPr>
        <w:pStyle w:val="ListBullet"/>
      </w:pPr>
      <w:r>
        <w:rPr>
          <w:rFonts w:ascii="Arial" w:hAnsi="Arial"/>
          <w:b w:val="0"/>
          <w:i w:val="0"/>
          <w:color w:val="172233"/>
          <w:sz w:val="21"/>
        </w:rPr>
        <w:t>Completion advances all active associations so a non-due study does not trigger a redundant call shortly afterward.</w:t>
      </w:r>
    </w:p>
    <w:p>
      <w:pPr>
        <w:pStyle w:val="ListBullet"/>
      </w:pPr>
      <w:r>
        <w:rPr>
          <w:rFonts w:ascii="Arial" w:hAnsi="Arial"/>
          <w:b w:val="0"/>
          <w:i w:val="0"/>
          <w:color w:val="172233"/>
          <w:sz w:val="21"/>
        </w:rPr>
        <w:t>The unique index prevents concurrent schedulers and manual triggers from duplicating active work.</w:t>
      </w:r>
    </w:p>
    <w:p>
      <w:pPr>
        <w:pStyle w:val="ListBullet"/>
      </w:pPr>
      <w:r>
        <w:rPr>
          <w:rFonts w:ascii="Arial" w:hAnsi="Arial"/>
          <w:b w:val="0"/>
          <w:i w:val="0"/>
          <w:color w:val="172233"/>
          <w:sz w:val="21"/>
        </w:rPr>
        <w:t>Stable idempotency keys protect ambiguous POST outcomes from becoming duplicate paid requests.</w:t>
      </w:r>
    </w:p>
    <w:p>
      <w:pPr>
        <w:pStyle w:val="ListBullet"/>
      </w:pPr>
      <w:r>
        <w:rPr>
          <w:rFonts w:ascii="Arial" w:hAnsi="Arial"/>
          <w:b w:val="0"/>
          <w:i w:val="0"/>
          <w:color w:val="172233"/>
          <w:sz w:val="21"/>
        </w:rPr>
        <w:t>Patient-level quarantine stops a permanently failing patient from being recreated every scheduler tick.</w:t>
      </w:r>
    </w:p>
    <w:p>
      <w:pPr>
        <w:pStyle w:val="Heading1"/>
      </w:pPr>
      <w:r>
        <w:t>Known trade-offs</w:t>
      </w:r>
    </w:p>
    <w:tbl>
      <w:tblPr>
        <w:tblStyle w:val="TableGrid"/>
        <w:tblW w:type="dxa" w:w="9360"/>
        <w:tblLayout w:type="fixed"/>
        <w:tblLook w:firstColumn="1" w:firstRow="1" w:lastColumn="0" w:lastRow="0" w:noHBand="0" w:noVBand="1" w:val="04A0"/>
        <w:jc w:val="left"/>
        <w:tblInd w:w="120" w:type="dxa"/>
        <w:tblInd w:w="120" w:type="dxa"/>
      </w:tblPr>
      <w:tblGrid>
        <w:gridCol w:w="2600"/>
        <w:gridCol w:w="3500"/>
        <w:gridCol w:w="3260"/>
      </w:tblGrid>
      <w:tr>
        <w:trPr>
          <w:tblHeader w:val="true"/>
        </w:trPr>
        <w:tc>
          <w:tcPr>
            <w:tcW w:type="dxa" w:w="2600"/>
            <w:vAlign w:val="center"/>
            <w:tcMar>
              <w:top w:w="100" w:type="dxa"/>
              <w:start w:w="120" w:type="dxa"/>
              <w:bottom w:w="100" w:type="dxa"/>
              <w:end w:w="120" w:type="dxa"/>
            </w:tcMar>
            <w:shd w:fill="123456"/>
          </w:tcPr>
          <w:p>
            <w:pPr>
              <w:spacing w:after="0"/>
            </w:pPr>
            <w:r>
              <w:rPr>
                <w:rFonts w:ascii="Arial" w:hAnsi="Arial"/>
                <w:b/>
                <w:i w:val="0"/>
                <w:color w:val="FFFFFF"/>
                <w:sz w:val="17"/>
              </w:rPr>
              <w:t>Trade-off</w:t>
            </w:r>
          </w:p>
        </w:tc>
        <w:tc>
          <w:tcPr>
            <w:tcW w:type="dxa" w:w="3500"/>
            <w:vAlign w:val="center"/>
            <w:tcMar>
              <w:top w:w="100" w:type="dxa"/>
              <w:start w:w="120" w:type="dxa"/>
              <w:bottom w:w="100" w:type="dxa"/>
              <w:end w:w="120" w:type="dxa"/>
            </w:tcMar>
            <w:shd w:fill="123456"/>
          </w:tcPr>
          <w:p>
            <w:pPr>
              <w:spacing w:after="0"/>
            </w:pPr>
            <w:r>
              <w:rPr>
                <w:rFonts w:ascii="Arial" w:hAnsi="Arial"/>
                <w:b/>
                <w:i w:val="0"/>
                <w:color w:val="FFFFFF"/>
                <w:sz w:val="17"/>
              </w:rPr>
              <w:t>Why acceptable here</w:t>
            </w:r>
          </w:p>
        </w:tc>
        <w:tc>
          <w:tcPr>
            <w:tcW w:type="dxa" w:w="3260"/>
            <w:vAlign w:val="center"/>
            <w:tcMar>
              <w:top w:w="100" w:type="dxa"/>
              <w:start w:w="120" w:type="dxa"/>
              <w:bottom w:w="100" w:type="dxa"/>
              <w:end w:w="120" w:type="dxa"/>
            </w:tcMar>
            <w:shd w:fill="123456"/>
          </w:tcPr>
          <w:p>
            <w:pPr>
              <w:spacing w:after="0"/>
            </w:pPr>
            <w:r>
              <w:rPr>
                <w:rFonts w:ascii="Arial" w:hAnsi="Arial"/>
                <w:b/>
                <w:i w:val="0"/>
                <w:color w:val="FFFFFF"/>
                <w:sz w:val="17"/>
              </w:rPr>
              <w:t>First scale fix</w:t>
            </w:r>
          </w:p>
        </w:tc>
      </w:tr>
      <w:tr>
        <w:tc>
          <w:tcPr>
            <w:tcW w:type="dxa" w:w="2600"/>
            <w:vAlign w:val="center"/>
            <w:tcMar>
              <w:top w:w="100" w:type="dxa"/>
              <w:start w:w="120" w:type="dxa"/>
              <w:bottom w:w="100" w:type="dxa"/>
              <w:end w:w="120" w:type="dxa"/>
            </w:tcMar>
          </w:tcPr>
          <w:p>
            <w:pPr>
              <w:spacing w:after="0"/>
            </w:pPr>
            <w:r>
              <w:rPr>
                <w:rFonts w:ascii="Arial" w:hAnsi="Arial"/>
                <w:b w:val="0"/>
                <w:i w:val="0"/>
                <w:color w:val="172233"/>
                <w:sz w:val="17"/>
              </w:rPr>
              <w:t>Hot token-bucket rows</w:t>
            </w:r>
          </w:p>
        </w:tc>
        <w:tc>
          <w:tcPr>
            <w:tcW w:type="dxa" w:w="3500"/>
            <w:vAlign w:val="center"/>
            <w:tcMar>
              <w:top w:w="100" w:type="dxa"/>
              <w:start w:w="120" w:type="dxa"/>
              <w:bottom w:w="100" w:type="dxa"/>
              <w:end w:w="120" w:type="dxa"/>
            </w:tcMar>
          </w:tcPr>
          <w:p>
            <w:pPr>
              <w:spacing w:after="0"/>
            </w:pPr>
            <w:r>
              <w:rPr>
                <w:rFonts w:ascii="Arial" w:hAnsi="Arial"/>
                <w:b w:val="0"/>
                <w:i w:val="0"/>
                <w:color w:val="172233"/>
                <w:sz w:val="17"/>
              </w:rPr>
              <w:t>Correct and simple at exercise worker counts</w:t>
            </w:r>
          </w:p>
        </w:tc>
        <w:tc>
          <w:tcPr>
            <w:tcW w:type="dxa" w:w="3260"/>
            <w:vAlign w:val="center"/>
            <w:tcMar>
              <w:top w:w="100" w:type="dxa"/>
              <w:start w:w="120" w:type="dxa"/>
              <w:bottom w:w="100" w:type="dxa"/>
              <w:end w:w="120" w:type="dxa"/>
            </w:tcMar>
          </w:tcPr>
          <w:p>
            <w:pPr>
              <w:spacing w:after="0"/>
            </w:pPr>
            <w:r>
              <w:rPr>
                <w:rFonts w:ascii="Arial" w:hAnsi="Arial"/>
                <w:b w:val="0"/>
                <w:i w:val="0"/>
                <w:color w:val="172233"/>
                <w:sz w:val="17"/>
              </w:rPr>
              <w:t>Lease quota to workers</w:t>
            </w:r>
          </w:p>
        </w:tc>
      </w:tr>
      <w:tr>
        <w:tc>
          <w:tcPr>
            <w:tcW w:type="dxa" w:w="2600"/>
            <w:shd w:fill="F3F6F8"/>
            <w:vAlign w:val="center"/>
            <w:tcMar>
              <w:top w:w="100" w:type="dxa"/>
              <w:start w:w="120" w:type="dxa"/>
              <w:bottom w:w="100" w:type="dxa"/>
              <w:end w:w="120" w:type="dxa"/>
            </w:tcMar>
          </w:tcPr>
          <w:p>
            <w:pPr>
              <w:spacing w:after="0"/>
            </w:pPr>
            <w:r>
              <w:rPr>
                <w:rFonts w:ascii="Arial" w:hAnsi="Arial"/>
                <w:b w:val="0"/>
                <w:i w:val="0"/>
                <w:color w:val="172233"/>
                <w:sz w:val="17"/>
              </w:rPr>
              <w:t>Eligibility sweep computes due time</w:t>
            </w:r>
          </w:p>
        </w:tc>
        <w:tc>
          <w:tcPr>
            <w:tcW w:type="dxa" w:w="3500"/>
            <w:shd w:fill="F3F6F8"/>
            <w:vAlign w:val="center"/>
            <w:tcMar>
              <w:top w:w="100" w:type="dxa"/>
              <w:start w:w="120" w:type="dxa"/>
              <w:bottom w:w="100" w:type="dxa"/>
              <w:end w:w="120" w:type="dxa"/>
            </w:tcMar>
          </w:tcPr>
          <w:p>
            <w:pPr>
              <w:spacing w:after="0"/>
            </w:pPr>
            <w:r>
              <w:rPr>
                <w:rFonts w:ascii="Arial" w:hAnsi="Arial"/>
                <w:b w:val="0"/>
                <w:i w:val="0"/>
                <w:color w:val="172233"/>
                <w:sz w:val="17"/>
              </w:rPr>
              <w:t>Small dataset and clear source of truth</w:t>
            </w:r>
          </w:p>
        </w:tc>
        <w:tc>
          <w:tcPr>
            <w:tcW w:type="dxa" w:w="3260"/>
            <w:shd w:fill="F3F6F8"/>
            <w:vAlign w:val="center"/>
            <w:tcMar>
              <w:top w:w="100" w:type="dxa"/>
              <w:start w:w="120" w:type="dxa"/>
              <w:bottom w:w="100" w:type="dxa"/>
              <w:end w:w="120" w:type="dxa"/>
            </w:tcMar>
          </w:tcPr>
          <w:p>
            <w:pPr>
              <w:spacing w:after="0"/>
            </w:pPr>
            <w:r>
              <w:rPr>
                <w:rFonts w:ascii="Arial" w:hAnsi="Arial"/>
                <w:b w:val="0"/>
                <w:i w:val="0"/>
                <w:color w:val="172233"/>
                <w:sz w:val="17"/>
              </w:rPr>
              <w:t>Indexed next_due_at</w:t>
            </w:r>
          </w:p>
        </w:tc>
      </w:tr>
      <w:tr>
        <w:tc>
          <w:tcPr>
            <w:tcW w:type="dxa" w:w="2600"/>
            <w:vAlign w:val="center"/>
            <w:tcMar>
              <w:top w:w="100" w:type="dxa"/>
              <w:start w:w="120" w:type="dxa"/>
              <w:bottom w:w="100" w:type="dxa"/>
              <w:end w:w="120" w:type="dxa"/>
            </w:tcMar>
          </w:tcPr>
          <w:p>
            <w:pPr>
              <w:spacing w:after="0"/>
            </w:pPr>
            <w:r>
              <w:rPr>
                <w:rFonts w:ascii="Arial" w:hAnsi="Arial"/>
                <w:b w:val="0"/>
                <w:i w:val="0"/>
                <w:color w:val="172233"/>
                <w:sz w:val="17"/>
              </w:rPr>
              <w:t>Fixed polling interval</w:t>
            </w:r>
          </w:p>
        </w:tc>
        <w:tc>
          <w:tcPr>
            <w:tcW w:type="dxa" w:w="3500"/>
            <w:vAlign w:val="center"/>
            <w:tcMar>
              <w:top w:w="100" w:type="dxa"/>
              <w:start w:w="120" w:type="dxa"/>
              <w:bottom w:w="100" w:type="dxa"/>
              <w:end w:w="120" w:type="dxa"/>
            </w:tcMar>
          </w:tcPr>
          <w:p>
            <w:pPr>
              <w:spacing w:after="0"/>
            </w:pPr>
            <w:r>
              <w:rPr>
                <w:rFonts w:ascii="Arial" w:hAnsi="Arial"/>
                <w:b w:val="0"/>
                <w:i w:val="0"/>
                <w:color w:val="172233"/>
                <w:sz w:val="17"/>
              </w:rPr>
              <w:t>Easy to reason about and test</w:t>
            </w:r>
          </w:p>
        </w:tc>
        <w:tc>
          <w:tcPr>
            <w:tcW w:type="dxa" w:w="3260"/>
            <w:vAlign w:val="center"/>
            <w:tcMar>
              <w:top w:w="100" w:type="dxa"/>
              <w:start w:w="120" w:type="dxa"/>
              <w:bottom w:w="100" w:type="dxa"/>
              <w:end w:w="120" w:type="dxa"/>
            </w:tcMar>
          </w:tcPr>
          <w:p>
            <w:pPr>
              <w:spacing w:after="0"/>
            </w:pPr>
            <w:r>
              <w:rPr>
                <w:rFonts w:ascii="Arial" w:hAnsi="Arial"/>
                <w:b w:val="0"/>
                <w:i w:val="0"/>
                <w:color w:val="172233"/>
                <w:sz w:val="17"/>
              </w:rPr>
              <w:t>Adaptive polling or webhooks</w:t>
            </w:r>
          </w:p>
        </w:tc>
      </w:tr>
      <w:tr>
        <w:tc>
          <w:tcPr>
            <w:tcW w:type="dxa" w:w="2600"/>
            <w:shd w:fill="F3F6F8"/>
            <w:vAlign w:val="center"/>
            <w:tcMar>
              <w:top w:w="100" w:type="dxa"/>
              <w:start w:w="120" w:type="dxa"/>
              <w:bottom w:w="100" w:type="dxa"/>
              <w:end w:w="120" w:type="dxa"/>
            </w:tcMar>
          </w:tcPr>
          <w:p>
            <w:pPr>
              <w:spacing w:after="0"/>
            </w:pPr>
            <w:r>
              <w:rPr>
                <w:rFonts w:ascii="Arial" w:hAnsi="Arial"/>
                <w:b w:val="0"/>
                <w:i w:val="0"/>
                <w:color w:val="172233"/>
                <w:sz w:val="17"/>
              </w:rPr>
              <w:t>No priority aging</w:t>
            </w:r>
          </w:p>
        </w:tc>
        <w:tc>
          <w:tcPr>
            <w:tcW w:type="dxa" w:w="3500"/>
            <w:shd w:fill="F3F6F8"/>
            <w:vAlign w:val="center"/>
            <w:tcMar>
              <w:top w:w="100" w:type="dxa"/>
              <w:start w:w="120" w:type="dxa"/>
              <w:bottom w:w="100" w:type="dxa"/>
              <w:end w:w="120" w:type="dxa"/>
            </w:tcMar>
          </w:tcPr>
          <w:p>
            <w:pPr>
              <w:spacing w:after="0"/>
            </w:pPr>
            <w:r>
              <w:rPr>
                <w:rFonts w:ascii="Arial" w:hAnsi="Arial"/>
                <w:b w:val="0"/>
                <w:i w:val="0"/>
                <w:color w:val="172233"/>
                <w:sz w:val="17"/>
              </w:rPr>
              <w:t>Short demonstration queue</w:t>
            </w:r>
          </w:p>
        </w:tc>
        <w:tc>
          <w:tcPr>
            <w:tcW w:type="dxa" w:w="3260"/>
            <w:shd w:fill="F3F6F8"/>
            <w:vAlign w:val="center"/>
            <w:tcMar>
              <w:top w:w="100" w:type="dxa"/>
              <w:start w:w="120" w:type="dxa"/>
              <w:bottom w:w="100" w:type="dxa"/>
              <w:end w:w="120" w:type="dxa"/>
            </w:tcMar>
          </w:tcPr>
          <w:p>
            <w:pPr>
              <w:spacing w:after="0"/>
            </w:pPr>
            <w:r>
              <w:rPr>
                <w:rFonts w:ascii="Arial" w:hAnsi="Arial"/>
                <w:b w:val="0"/>
                <w:i w:val="0"/>
                <w:color w:val="172233"/>
                <w:sz w:val="17"/>
              </w:rPr>
              <w:t>Age priority at high sustained load</w:t>
            </w:r>
          </w:p>
        </w:tc>
      </w:tr>
    </w:tbl>
    <w:p>
      <w:pPr>
        <w:spacing w:after="20"/>
      </w:pPr>
    </w:p>
    <w:p>
      <w:r>
        <w:br w:type="page"/>
      </w:r>
    </w:p>
    <w:p>
      <w:pPr>
        <w:pStyle w:val="Heading1"/>
      </w:pPr>
      <w:r>
        <w:t>5. Verification and handoff</w:t>
      </w:r>
    </w:p>
    <w:p>
      <w:pPr>
        <w:spacing w:after="100"/>
      </w:pPr>
      <w:r>
        <w:rPr>
          <w:rFonts w:ascii="Arial" w:hAnsi="Arial"/>
          <w:b w:val="0"/>
          <w:i w:val="0"/>
          <w:color w:val="172233"/>
          <w:sz w:val="21"/>
        </w:rPr>
        <w:t>I verify the design at three levels: database constraints, focused domain tests, and a live demonstration that runs the scheduler and multiple workers against PostgreSQL and the mock EHR.</w:t>
      </w:r>
    </w:p>
    <w:tbl>
      <w:tblPr>
        <w:tblStyle w:val="TableGrid"/>
        <w:tblW w:type="dxa" w:w="9360"/>
        <w:tblLayout w:type="fixed"/>
        <w:tblLook w:firstColumn="1" w:firstRow="1" w:lastColumn="0" w:lastRow="0" w:noHBand="0" w:noVBand="1" w:val="04A0"/>
        <w:jc w:val="left"/>
        <w:tblInd w:w="120" w:type="dxa"/>
        <w:tblInd w:w="120" w:type="dxa"/>
      </w:tblPr>
      <w:tblGrid>
        <w:gridCol w:w="3100"/>
        <w:gridCol w:w="6260"/>
      </w:tblGrid>
      <w:tr>
        <w:trPr>
          <w:tblHeader w:val="true"/>
        </w:trPr>
        <w:tc>
          <w:tcPr>
            <w:tcW w:type="dxa" w:w="3100"/>
            <w:vAlign w:val="center"/>
            <w:tcMar>
              <w:top w:w="100" w:type="dxa"/>
              <w:start w:w="120" w:type="dxa"/>
              <w:bottom w:w="100" w:type="dxa"/>
              <w:end w:w="120" w:type="dxa"/>
            </w:tcMar>
            <w:shd w:fill="123456"/>
          </w:tcPr>
          <w:p>
            <w:pPr>
              <w:spacing w:after="0"/>
            </w:pPr>
            <w:r>
              <w:rPr>
                <w:rFonts w:ascii="Arial" w:hAnsi="Arial"/>
                <w:b/>
                <w:i w:val="0"/>
                <w:color w:val="FFFFFF"/>
                <w:sz w:val="18"/>
              </w:rPr>
              <w:t>Check</w:t>
            </w:r>
          </w:p>
        </w:tc>
        <w:tc>
          <w:tcPr>
            <w:tcW w:type="dxa" w:w="6260"/>
            <w:vAlign w:val="center"/>
            <w:tcMar>
              <w:top w:w="100" w:type="dxa"/>
              <w:start w:w="120" w:type="dxa"/>
              <w:bottom w:w="100" w:type="dxa"/>
              <w:end w:w="120" w:type="dxa"/>
            </w:tcMar>
            <w:shd w:fill="123456"/>
          </w:tcPr>
          <w:p>
            <w:pPr>
              <w:spacing w:after="0"/>
            </w:pPr>
            <w:r>
              <w:rPr>
                <w:rFonts w:ascii="Arial" w:hAnsi="Arial"/>
                <w:b/>
                <w:i w:val="0"/>
                <w:color w:val="FFFFFF"/>
                <w:sz w:val="18"/>
              </w:rPr>
              <w:t>Evidence in the project</w:t>
            </w:r>
          </w:p>
        </w:tc>
      </w:tr>
      <w:tr>
        <w:tc>
          <w:tcPr>
            <w:tcW w:type="dxa" w:w="3100"/>
            <w:vAlign w:val="center"/>
            <w:tcMar>
              <w:top w:w="100" w:type="dxa"/>
              <w:start w:w="120" w:type="dxa"/>
              <w:bottom w:w="100" w:type="dxa"/>
              <w:end w:w="120" w:type="dxa"/>
            </w:tcMar>
          </w:tcPr>
          <w:p>
            <w:pPr>
              <w:spacing w:after="0"/>
            </w:pPr>
            <w:r>
              <w:rPr>
                <w:rFonts w:ascii="Arial" w:hAnsi="Arial"/>
                <w:b w:val="0"/>
                <w:i w:val="0"/>
                <w:color w:val="172233"/>
                <w:sz w:val="18"/>
              </w:rPr>
              <w:t>Build and type safety</w:t>
            </w:r>
          </w:p>
        </w:tc>
        <w:tc>
          <w:tcPr>
            <w:tcW w:type="dxa" w:w="6260"/>
            <w:vAlign w:val="center"/>
            <w:tcMar>
              <w:top w:w="100" w:type="dxa"/>
              <w:start w:w="120" w:type="dxa"/>
              <w:bottom w:w="100" w:type="dxa"/>
              <w:end w:w="120" w:type="dxa"/>
            </w:tcMar>
          </w:tcPr>
          <w:p>
            <w:pPr>
              <w:spacing w:after="0"/>
            </w:pPr>
            <w:r>
              <w:rPr>
                <w:rFonts w:ascii="Arial" w:hAnsi="Arial"/>
                <w:b w:val="0"/>
                <w:i w:val="0"/>
                <w:color w:val="172233"/>
                <w:sz w:val="18"/>
              </w:rPr>
              <w:t>TypeScript build and Vitest configuration</w:t>
            </w:r>
          </w:p>
        </w:tc>
      </w:tr>
      <w:tr>
        <w:tc>
          <w:tcPr>
            <w:tcW w:type="dxa" w:w="3100"/>
            <w:shd w:fill="F3F6F8"/>
            <w:vAlign w:val="center"/>
            <w:tcMar>
              <w:top w:w="100" w:type="dxa"/>
              <w:start w:w="120" w:type="dxa"/>
              <w:bottom w:w="100" w:type="dxa"/>
              <w:end w:w="120" w:type="dxa"/>
            </w:tcMar>
          </w:tcPr>
          <w:p>
            <w:pPr>
              <w:spacing w:after="0"/>
            </w:pPr>
            <w:r>
              <w:rPr>
                <w:rFonts w:ascii="Arial" w:hAnsi="Arial"/>
                <w:b w:val="0"/>
                <w:i w:val="0"/>
                <w:color w:val="172233"/>
                <w:sz w:val="18"/>
              </w:rPr>
              <w:t>Eligibility and coalescing</w:t>
            </w:r>
          </w:p>
        </w:tc>
        <w:tc>
          <w:tcPr>
            <w:tcW w:type="dxa" w:w="6260"/>
            <w:shd w:fill="F3F6F8"/>
            <w:vAlign w:val="center"/>
            <w:tcMar>
              <w:top w:w="100" w:type="dxa"/>
              <w:start w:w="120" w:type="dxa"/>
              <w:bottom w:w="100" w:type="dxa"/>
              <w:end w:w="120" w:type="dxa"/>
            </w:tcMar>
          </w:tcPr>
          <w:p>
            <w:pPr>
              <w:spacing w:after="0"/>
            </w:pPr>
            <w:r>
              <w:rPr>
                <w:rFonts w:ascii="Arial" w:hAnsi="Arial"/>
                <w:b w:val="0"/>
                <w:i w:val="0"/>
                <w:color w:val="172233"/>
                <w:sz w:val="18"/>
              </w:rPr>
              <w:t>test/eligibility.test.ts and test/schedule.test.ts</w:t>
            </w:r>
          </w:p>
        </w:tc>
      </w:tr>
      <w:tr>
        <w:tc>
          <w:tcPr>
            <w:tcW w:type="dxa" w:w="3100"/>
            <w:vAlign w:val="center"/>
            <w:tcMar>
              <w:top w:w="100" w:type="dxa"/>
              <w:start w:w="120" w:type="dxa"/>
              <w:bottom w:w="100" w:type="dxa"/>
              <w:end w:w="120" w:type="dxa"/>
            </w:tcMar>
          </w:tcPr>
          <w:p>
            <w:pPr>
              <w:spacing w:after="0"/>
            </w:pPr>
            <w:r>
              <w:rPr>
                <w:rFonts w:ascii="Arial" w:hAnsi="Arial"/>
                <w:b w:val="0"/>
                <w:i w:val="0"/>
                <w:color w:val="172233"/>
                <w:sz w:val="18"/>
              </w:rPr>
              <w:t>Atomic claiming and rate limits</w:t>
            </w:r>
          </w:p>
        </w:tc>
        <w:tc>
          <w:tcPr>
            <w:tcW w:type="dxa" w:w="6260"/>
            <w:vAlign w:val="center"/>
            <w:tcMar>
              <w:top w:w="100" w:type="dxa"/>
              <w:start w:w="120" w:type="dxa"/>
              <w:bottom w:w="100" w:type="dxa"/>
              <w:end w:w="120" w:type="dxa"/>
            </w:tcMar>
          </w:tcPr>
          <w:p>
            <w:pPr>
              <w:spacing w:after="0"/>
            </w:pPr>
            <w:r>
              <w:rPr>
                <w:rFonts w:ascii="Arial" w:hAnsi="Arial"/>
                <w:b w:val="0"/>
                <w:i w:val="0"/>
                <w:color w:val="172233"/>
                <w:sz w:val="18"/>
              </w:rPr>
              <w:t>test/claim.test.ts and test/robustness.test.ts</w:t>
            </w:r>
          </w:p>
        </w:tc>
      </w:tr>
      <w:tr>
        <w:tc>
          <w:tcPr>
            <w:tcW w:type="dxa" w:w="3100"/>
            <w:shd w:fill="F3F6F8"/>
            <w:vAlign w:val="center"/>
            <w:tcMar>
              <w:top w:w="100" w:type="dxa"/>
              <w:start w:w="120" w:type="dxa"/>
              <w:bottom w:w="100" w:type="dxa"/>
              <w:end w:w="120" w:type="dxa"/>
            </w:tcMar>
          </w:tcPr>
          <w:p>
            <w:pPr>
              <w:spacing w:after="0"/>
            </w:pPr>
            <w:r>
              <w:rPr>
                <w:rFonts w:ascii="Arial" w:hAnsi="Arial"/>
                <w:b w:val="0"/>
                <w:i w:val="0"/>
                <w:color w:val="172233"/>
                <w:sz w:val="18"/>
              </w:rPr>
              <w:t>Retry state machine and fencing</w:t>
            </w:r>
          </w:p>
        </w:tc>
        <w:tc>
          <w:tcPr>
            <w:tcW w:type="dxa" w:w="6260"/>
            <w:shd w:fill="F3F6F8"/>
            <w:vAlign w:val="center"/>
            <w:tcMar>
              <w:top w:w="100" w:type="dxa"/>
              <w:start w:w="120" w:type="dxa"/>
              <w:bottom w:w="100" w:type="dxa"/>
              <w:end w:w="120" w:type="dxa"/>
            </w:tcMar>
          </w:tcPr>
          <w:p>
            <w:pPr>
              <w:spacing w:after="0"/>
            </w:pPr>
            <w:r>
              <w:rPr>
                <w:rFonts w:ascii="Arial" w:hAnsi="Arial"/>
                <w:b w:val="0"/>
                <w:i w:val="0"/>
                <w:color w:val="172233"/>
                <w:sz w:val="18"/>
              </w:rPr>
              <w:t>test/complete.test.ts and test/worker.test.ts</w:t>
            </w:r>
          </w:p>
        </w:tc>
      </w:tr>
      <w:tr>
        <w:tc>
          <w:tcPr>
            <w:tcW w:type="dxa" w:w="3100"/>
            <w:vAlign w:val="center"/>
            <w:tcMar>
              <w:top w:w="100" w:type="dxa"/>
              <w:start w:w="120" w:type="dxa"/>
              <w:bottom w:w="100" w:type="dxa"/>
              <w:end w:w="120" w:type="dxa"/>
            </w:tcMar>
          </w:tcPr>
          <w:p>
            <w:pPr>
              <w:spacing w:after="0"/>
            </w:pPr>
            <w:r>
              <w:rPr>
                <w:rFonts w:ascii="Arial" w:hAnsi="Arial"/>
                <w:b w:val="0"/>
                <w:i w:val="0"/>
                <w:color w:val="172233"/>
                <w:sz w:val="18"/>
              </w:rPr>
              <w:t>End-to-end behavior</w:t>
            </w:r>
          </w:p>
        </w:tc>
        <w:tc>
          <w:tcPr>
            <w:tcW w:type="dxa" w:w="6260"/>
            <w:vAlign w:val="center"/>
            <w:tcMar>
              <w:top w:w="100" w:type="dxa"/>
              <w:start w:w="120" w:type="dxa"/>
              <w:bottom w:w="100" w:type="dxa"/>
              <w:end w:w="120" w:type="dxa"/>
            </w:tcMar>
          </w:tcPr>
          <w:p>
            <w:pPr>
              <w:spacing w:after="0"/>
            </w:pPr>
            <w:r>
              <w:rPr>
                <w:rFonts w:ascii="Arial" w:hAnsi="Arial"/>
                <w:b w:val="0"/>
                <w:i w:val="0"/>
                <w:color w:val="172233"/>
                <w:sz w:val="18"/>
              </w:rPr>
              <w:t>npm run demo reports outcomes and database invariants</w:t>
            </w:r>
          </w:p>
        </w:tc>
      </w:tr>
    </w:tbl>
    <w:p>
      <w:pPr>
        <w:spacing w:after="20"/>
      </w:pPr>
    </w:p>
    <w:p>
      <w:pPr>
        <w:pStyle w:val="Heading2"/>
      </w:pPr>
      <w:r>
        <w:t>Defects found by running the whole system</w:t>
      </w:r>
    </w:p>
    <w:p>
      <w:pPr>
        <w:pStyle w:val="ListBullet"/>
      </w:pPr>
      <w:r>
        <w:rPr>
          <w:rFonts w:ascii="Arial" w:hAnsi="Arial"/>
          <w:b w:val="0"/>
          <w:i w:val="0"/>
          <w:color w:val="172233"/>
          <w:sz w:val="21"/>
        </w:rPr>
        <w:t>A permanent job failure left the patient eligible, so the scheduler created a new paid job every tick. The fix quarantines recently failed patients while preserving a manual override.</w:t>
      </w:r>
    </w:p>
    <w:p>
      <w:pPr>
        <w:pStyle w:val="ListBullet"/>
      </w:pPr>
      <w:r>
        <w:rPr>
          <w:rFonts w:ascii="Arial" w:hAnsi="Arial"/>
          <w:b w:val="0"/>
          <w:i w:val="0"/>
          <w:color w:val="172233"/>
          <w:sz w:val="21"/>
        </w:rPr>
        <w:t>Initial load-spreading could place run_at after a deadline measured from creation. The fix measures the execution deadline from run_at.</w:t>
      </w:r>
    </w:p>
    <w:p>
      <w:pPr>
        <w:pStyle w:val="ListBullet"/>
      </w:pPr>
      <w:r>
        <w:rPr>
          <w:rFonts w:ascii="Arial" w:hAnsi="Arial"/>
          <w:b w:val="0"/>
          <w:i w:val="0"/>
          <w:color w:val="172233"/>
          <w:sz w:val="21"/>
        </w:rPr>
        <w:t>A throughput assertion conflicted with the configured endpoint limits. The test was replaced with assertions that match the actual capacity contract.</w:t>
      </w:r>
    </w:p>
    <w:p>
      <w:pPr>
        <w:pStyle w:val="Heading1"/>
      </w:pPr>
      <w:r>
        <w:t>Authorship note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AF2E6"/>
          </w:tcPr>
          <w:p>
            <w:pPr>
              <w:spacing w:after="0"/>
            </w:pPr>
            <w:r>
              <w:rPr>
                <w:rFonts w:ascii="Arial" w:hAnsi="Arial"/>
                <w:b/>
                <w:i w:val="0"/>
                <w:color w:val="007681"/>
                <w:sz w:val="21"/>
              </w:rPr>
              <w:t xml:space="preserve">Transparent collaboration  </w:t>
            </w:r>
            <w:r>
              <w:rPr>
                <w:rFonts w:ascii="Arial" w:hAnsi="Arial"/>
                <w:b w:val="0"/>
                <w:i w:val="0"/>
                <w:color w:val="172233"/>
                <w:sz w:val="21"/>
              </w:rPr>
              <w:t>I established the problem framing, conceptual schema, component boundaries, requirements, operating rules, and written design direction. Claude was used primarily to implement and refine the PostgreSQL setup and the transactional SQL that coordinates the durable queue, claims, leases, rate limits, and completion paths. I reviewed, ran, tested, and corrected the resulting system. A separate contribution statement provides the detailed split.</w:t>
            </w:r>
          </w:p>
        </w:tc>
      </w:tr>
    </w:tbl>
    <w:p>
      <w:pPr>
        <w:spacing w:after="40"/>
      </w:pPr>
    </w:p>
    <w:p>
      <w:pPr>
        <w:spacing w:after="100"/>
      </w:pPr>
      <w:r>
        <w:rPr>
          <w:rFonts w:ascii="Arial" w:hAnsi="Arial"/>
          <w:b w:val="0"/>
          <w:i/>
          <w:color w:val="4B5A70"/>
          <w:sz w:val="21"/>
        </w:rPr>
        <w:t>This document is written in the first person because it records the design I directed and can explain. It does not claim that I manually typed every implementation line.</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b w:val="0"/>
        <w:i w:val="0"/>
        <w:color w:val="4B5A70"/>
        <w:sz w:val="17"/>
      </w:rPr>
      <w:t xml:space="preserve">HealthEx candidate exercise  |  </w:t>
    </w:r>
    <w:r>
      <w:rPr>
        <w:rFonts w:ascii="Arial" w:hAnsi="Arial"/>
        <w:b w:val="0"/>
        <w:i w:val="0"/>
        <w:color w:val="4B5A7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i w:val="0"/>
        <w:color w:val="007681"/>
        <w:sz w:val="17"/>
      </w:rPr>
      <w:t>IMPLEMENTATION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768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2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4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4B5A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04"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04"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