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00"/>
      </w:pPr>
      <w:r>
        <w:rPr>
          <w:rFonts w:ascii="Arial" w:hAnsi="Arial"/>
          <w:b/>
          <w:i w:val="0"/>
          <w:color w:val="007681"/>
          <w:sz w:val="18"/>
        </w:rPr>
        <w:t>PART 2 | SCALING DESIGN</w:t>
      </w:r>
    </w:p>
    <w:p>
      <w:pPr>
        <w:pStyle w:val="Title"/>
      </w:pPr>
      <w:r>
        <w:t>Scaling from 5K to 10M patients</w:t>
      </w:r>
    </w:p>
    <w:p>
      <w:pPr>
        <w:pStyle w:val="Subtitle"/>
      </w:pPr>
      <w:r>
        <w:t>The architecture becomes endpoint-capacity-bound before it becomes database-bound</w:t>
      </w:r>
    </w:p>
    <w:p>
      <w:pPr>
        <w:spacing w:after="240"/>
        <w:pBdr>
          <w:bottom w:val="single" w:sz="18" w:space="1" w:color="007681"/>
        </w:pBdr>
      </w:pP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100" w:type="dxa"/>
              <w:start w:w="120" w:type="dxa"/>
              <w:bottom w:w="100" w:type="dxa"/>
              <w:end w:w="120" w:type="dxa"/>
            </w:tcMar>
            <w:shd w:fill="DDEFF1"/>
          </w:tcPr>
          <w:p>
            <w:pPr>
              <w:spacing w:after="0"/>
            </w:pPr>
            <w:r>
              <w:rPr>
                <w:rFonts w:ascii="Arial" w:hAnsi="Arial"/>
                <w:b/>
                <w:i w:val="0"/>
                <w:color w:val="007681"/>
                <w:sz w:val="21"/>
              </w:rPr>
              <w:t xml:space="preserve">Core conclusion  </w:t>
            </w:r>
            <w:r>
              <w:rPr>
                <w:rFonts w:ascii="Arial" w:hAnsi="Arial"/>
                <w:b w:val="0"/>
                <w:i w:val="0"/>
                <w:color w:val="172233"/>
                <w:sz w:val="21"/>
              </w:rPr>
              <w:t>At 10M daily patients the system must sustain about 116 refreshes/second. The hard ceiling is the aggregate EHR endpoint allowance: 100 requests/minute supports only 144,000 refreshes/day before status polling.</w:t>
            </w:r>
          </w:p>
        </w:tc>
      </w:tr>
    </w:tbl>
    <w:p>
      <w:pPr>
        <w:spacing w:after="40"/>
      </w:pPr>
    </w:p>
    <w:p>
      <w:pPr>
        <w:pStyle w:val="Heading1"/>
      </w:pPr>
      <w:r>
        <w:t>The arithmetic changes the design</w:t>
      </w:r>
    </w:p>
    <w:tbl>
      <w:tblPr>
        <w:tblStyle w:val="TableGrid"/>
        <w:tblW w:type="dxa" w:w="9360"/>
        <w:tblLayout w:type="fixed"/>
        <w:tblLook w:firstColumn="1" w:firstRow="1" w:lastColumn="0" w:lastRow="0" w:noHBand="0" w:noVBand="1" w:val="04A0"/>
        <w:jc w:val="left"/>
        <w:tblInd w:w="120" w:type="dxa"/>
        <w:tblInd w:w="120" w:type="dxa"/>
      </w:tblPr>
      <w:tblGrid>
        <w:gridCol w:w="2200"/>
        <w:gridCol w:w="2300"/>
        <w:gridCol w:w="4860"/>
      </w:tblGrid>
      <w:tr>
        <w:trPr>
          <w:tblHeader w:val="true"/>
        </w:trPr>
        <w:tc>
          <w:tcPr>
            <w:tcW w:type="dxa" w:w="2200"/>
            <w:vAlign w:val="center"/>
            <w:tcMar>
              <w:top w:w="100" w:type="dxa"/>
              <w:start w:w="120" w:type="dxa"/>
              <w:bottom w:w="100" w:type="dxa"/>
              <w:end w:w="120" w:type="dxa"/>
            </w:tcMar>
            <w:shd w:fill="123456"/>
          </w:tcPr>
          <w:p>
            <w:pPr>
              <w:spacing w:after="0"/>
            </w:pPr>
            <w:r>
              <w:rPr>
                <w:rFonts w:ascii="Arial" w:hAnsi="Arial"/>
                <w:b/>
                <w:i w:val="0"/>
                <w:color w:val="FFFFFF"/>
                <w:sz w:val="18"/>
              </w:rPr>
              <w:t>Population / cadence</w:t>
            </w:r>
          </w:p>
        </w:tc>
        <w:tc>
          <w:tcPr>
            <w:tcW w:type="dxa" w:w="2300"/>
            <w:vAlign w:val="center"/>
            <w:tcMar>
              <w:top w:w="100" w:type="dxa"/>
              <w:start w:w="120" w:type="dxa"/>
              <w:bottom w:w="100" w:type="dxa"/>
              <w:end w:w="120" w:type="dxa"/>
            </w:tcMar>
            <w:shd w:fill="123456"/>
          </w:tcPr>
          <w:p>
            <w:pPr>
              <w:spacing w:after="0"/>
            </w:pPr>
            <w:r>
              <w:rPr>
                <w:rFonts w:ascii="Arial" w:hAnsi="Arial"/>
                <w:b/>
                <w:i w:val="0"/>
                <w:color w:val="FFFFFF"/>
                <w:sz w:val="18"/>
              </w:rPr>
              <w:t>Refresh demand</w:t>
            </w:r>
          </w:p>
        </w:tc>
        <w:tc>
          <w:tcPr>
            <w:tcW w:type="dxa" w:w="4860"/>
            <w:vAlign w:val="center"/>
            <w:tcMar>
              <w:top w:w="100" w:type="dxa"/>
              <w:start w:w="120" w:type="dxa"/>
              <w:bottom w:w="100" w:type="dxa"/>
              <w:end w:w="120" w:type="dxa"/>
            </w:tcMar>
            <w:shd w:fill="123456"/>
          </w:tcPr>
          <w:p>
            <w:pPr>
              <w:spacing w:after="0"/>
            </w:pPr>
            <w:r>
              <w:rPr>
                <w:rFonts w:ascii="Arial" w:hAnsi="Arial"/>
                <w:b/>
                <w:i w:val="0"/>
                <w:color w:val="FFFFFF"/>
                <w:sz w:val="18"/>
              </w:rPr>
              <w:t>Implication</w:t>
            </w:r>
          </w:p>
        </w:tc>
      </w:tr>
      <w:tr>
        <w:tc>
          <w:tcPr>
            <w:tcW w:type="dxa" w:w="2200"/>
            <w:vAlign w:val="center"/>
            <w:tcMar>
              <w:top w:w="100" w:type="dxa"/>
              <w:start w:w="120" w:type="dxa"/>
              <w:bottom w:w="100" w:type="dxa"/>
              <w:end w:w="120" w:type="dxa"/>
            </w:tcMar>
          </w:tcPr>
          <w:p>
            <w:pPr>
              <w:spacing w:after="0"/>
            </w:pPr>
            <w:r>
              <w:rPr>
                <w:rFonts w:ascii="Arial" w:hAnsi="Arial"/>
                <w:b w:val="0"/>
                <w:i w:val="0"/>
                <w:color w:val="172233"/>
                <w:sz w:val="18"/>
              </w:rPr>
              <w:t>5K daily</w:t>
            </w:r>
          </w:p>
        </w:tc>
        <w:tc>
          <w:tcPr>
            <w:tcW w:type="dxa" w:w="2300"/>
            <w:vAlign w:val="center"/>
            <w:tcMar>
              <w:top w:w="100" w:type="dxa"/>
              <w:start w:w="120" w:type="dxa"/>
              <w:bottom w:w="100" w:type="dxa"/>
              <w:end w:w="120" w:type="dxa"/>
            </w:tcMar>
          </w:tcPr>
          <w:p>
            <w:pPr>
              <w:spacing w:after="0"/>
            </w:pPr>
            <w:r>
              <w:rPr>
                <w:rFonts w:ascii="Arial" w:hAnsi="Arial"/>
                <w:b w:val="0"/>
                <w:i w:val="0"/>
                <w:color w:val="172233"/>
                <w:sz w:val="18"/>
              </w:rPr>
              <w:t>0.06 refreshes/sec</w:t>
            </w:r>
          </w:p>
        </w:tc>
        <w:tc>
          <w:tcPr>
            <w:tcW w:type="dxa" w:w="4860"/>
            <w:vAlign w:val="center"/>
            <w:tcMar>
              <w:top w:w="100" w:type="dxa"/>
              <w:start w:w="120" w:type="dxa"/>
              <w:bottom w:w="100" w:type="dxa"/>
              <w:end w:w="120" w:type="dxa"/>
            </w:tcMar>
          </w:tcPr>
          <w:p>
            <w:pPr>
              <w:spacing w:after="0"/>
            </w:pPr>
            <w:r>
              <w:rPr>
                <w:rFonts w:ascii="Arial" w:hAnsi="Arial"/>
                <w:b w:val="0"/>
                <w:i w:val="0"/>
                <w:color w:val="172233"/>
                <w:sz w:val="18"/>
              </w:rPr>
              <w:t>Current PostgreSQL design has ample headroom</w:t>
            </w:r>
          </w:p>
        </w:tc>
      </w:tr>
      <w:tr>
        <w:tc>
          <w:tcPr>
            <w:tcW w:type="dxa" w:w="2200"/>
            <w:shd w:fill="F3F6F8"/>
            <w:vAlign w:val="center"/>
            <w:tcMar>
              <w:top w:w="100" w:type="dxa"/>
              <w:start w:w="120" w:type="dxa"/>
              <w:bottom w:w="100" w:type="dxa"/>
              <w:end w:w="120" w:type="dxa"/>
            </w:tcMar>
          </w:tcPr>
          <w:p>
            <w:pPr>
              <w:spacing w:after="0"/>
            </w:pPr>
            <w:r>
              <w:rPr>
                <w:rFonts w:ascii="Arial" w:hAnsi="Arial"/>
                <w:b w:val="0"/>
                <w:i w:val="0"/>
                <w:color w:val="172233"/>
                <w:sz w:val="18"/>
              </w:rPr>
              <w:t>10M daily</w:t>
            </w:r>
          </w:p>
        </w:tc>
        <w:tc>
          <w:tcPr>
            <w:tcW w:type="dxa" w:w="2300"/>
            <w:shd w:fill="F3F6F8"/>
            <w:vAlign w:val="center"/>
            <w:tcMar>
              <w:top w:w="100" w:type="dxa"/>
              <w:start w:w="120" w:type="dxa"/>
              <w:bottom w:w="100" w:type="dxa"/>
              <w:end w:w="120" w:type="dxa"/>
            </w:tcMar>
          </w:tcPr>
          <w:p>
            <w:pPr>
              <w:spacing w:after="0"/>
            </w:pPr>
            <w:r>
              <w:rPr>
                <w:rFonts w:ascii="Arial" w:hAnsi="Arial"/>
                <w:b w:val="0"/>
                <w:i w:val="0"/>
                <w:color w:val="172233"/>
                <w:sz w:val="18"/>
              </w:rPr>
              <w:t>116 refreshes/sec</w:t>
            </w:r>
          </w:p>
        </w:tc>
        <w:tc>
          <w:tcPr>
            <w:tcW w:type="dxa" w:w="4860"/>
            <w:shd w:fill="F3F6F8"/>
            <w:vAlign w:val="center"/>
            <w:tcMar>
              <w:top w:w="100" w:type="dxa"/>
              <w:start w:w="120" w:type="dxa"/>
              <w:bottom w:w="100" w:type="dxa"/>
              <w:end w:w="120" w:type="dxa"/>
            </w:tcMar>
          </w:tcPr>
          <w:p>
            <w:pPr>
              <w:spacing w:after="0"/>
            </w:pPr>
            <w:r>
              <w:rPr>
                <w:rFonts w:ascii="Arial" w:hAnsi="Arial"/>
                <w:b w:val="0"/>
                <w:i w:val="0"/>
                <w:color w:val="172233"/>
                <w:sz w:val="18"/>
              </w:rPr>
              <w:t>About 70 endpoints at 100/min must run continuously</w:t>
            </w:r>
          </w:p>
        </w:tc>
      </w:tr>
      <w:tr>
        <w:tc>
          <w:tcPr>
            <w:tcW w:type="dxa" w:w="2200"/>
            <w:vAlign w:val="center"/>
            <w:tcMar>
              <w:top w:w="100" w:type="dxa"/>
              <w:start w:w="120" w:type="dxa"/>
              <w:bottom w:w="100" w:type="dxa"/>
              <w:end w:w="120" w:type="dxa"/>
            </w:tcMar>
          </w:tcPr>
          <w:p>
            <w:pPr>
              <w:spacing w:after="0"/>
            </w:pPr>
            <w:r>
              <w:rPr>
                <w:rFonts w:ascii="Arial" w:hAnsi="Arial"/>
                <w:b w:val="0"/>
                <w:i w:val="0"/>
                <w:color w:val="172233"/>
                <w:sz w:val="18"/>
              </w:rPr>
              <w:t>30-second retrieval, 1-second poll</w:t>
            </w:r>
          </w:p>
        </w:tc>
        <w:tc>
          <w:tcPr>
            <w:tcW w:type="dxa" w:w="2300"/>
            <w:vAlign w:val="center"/>
            <w:tcMar>
              <w:top w:w="100" w:type="dxa"/>
              <w:start w:w="120" w:type="dxa"/>
              <w:bottom w:w="100" w:type="dxa"/>
              <w:end w:w="120" w:type="dxa"/>
            </w:tcMar>
          </w:tcPr>
          <w:p>
            <w:pPr>
              <w:spacing w:after="0"/>
            </w:pPr>
            <w:r>
              <w:rPr>
                <w:rFonts w:ascii="Arial" w:hAnsi="Arial"/>
                <w:b w:val="0"/>
                <w:i w:val="0"/>
                <w:color w:val="172233"/>
                <w:sz w:val="18"/>
              </w:rPr>
              <w:t>~30 polls per refresh</w:t>
            </w:r>
          </w:p>
        </w:tc>
        <w:tc>
          <w:tcPr>
            <w:tcW w:type="dxa" w:w="4860"/>
            <w:vAlign w:val="center"/>
            <w:tcMar>
              <w:top w:w="100" w:type="dxa"/>
              <w:start w:w="120" w:type="dxa"/>
              <w:bottom w:w="100" w:type="dxa"/>
              <w:end w:w="120" w:type="dxa"/>
            </w:tcMar>
          </w:tcPr>
          <w:p>
            <w:pPr>
              <w:spacing w:after="0"/>
            </w:pPr>
            <w:r>
              <w:rPr>
                <w:rFonts w:ascii="Arial" w:hAnsi="Arial"/>
                <w:b w:val="0"/>
                <w:i w:val="0"/>
                <w:color w:val="172233"/>
                <w:sz w:val="18"/>
              </w:rPr>
              <w:t>Polling can dominate both API cost and write volume</w:t>
            </w:r>
          </w:p>
        </w:tc>
      </w:tr>
    </w:tbl>
    <w:p>
      <w:pPr>
        <w:spacing w:after="20"/>
      </w:pPr>
    </w:p>
    <w:p>
      <w:pPr>
        <w:spacing w:after="100"/>
      </w:pPr>
      <w:r>
        <w:rPr>
          <w:rFonts w:ascii="Arial" w:hAnsi="Arial"/>
          <w:b w:val="0"/>
          <w:i w:val="0"/>
          <w:color w:val="172233"/>
          <w:sz w:val="21"/>
        </w:rPr>
        <w:t>I would scale in this order: eliminate unnecessary calls, remove queue hot spots, make eligibility proportional to due work, and shard only when measurements show a single database is saturated.</w:t>
      </w:r>
    </w:p>
    <w:p>
      <w:pPr>
        <w:pStyle w:val="Heading1"/>
      </w:pPr>
      <w:r>
        <w:t>Bottlenecks and targeted fixes</w:t>
      </w:r>
    </w:p>
    <w:tbl>
      <w:tblPr>
        <w:tblStyle w:val="TableGrid"/>
        <w:tblW w:type="dxa" w:w="9360"/>
        <w:tblLayout w:type="fixed"/>
        <w:tblLook w:firstColumn="1" w:firstRow="1" w:lastColumn="0" w:lastRow="0" w:noHBand="0" w:noVBand="1" w:val="04A0"/>
        <w:jc w:val="left"/>
        <w:tblInd w:w="120" w:type="dxa"/>
        <w:tblInd w:w="120" w:type="dxa"/>
      </w:tblPr>
      <w:tblGrid>
        <w:gridCol w:w="2350"/>
        <w:gridCol w:w="3920"/>
        <w:gridCol w:w="3090"/>
      </w:tblGrid>
      <w:tr>
        <w:trPr>
          <w:tblHeader w:val="true"/>
        </w:trPr>
        <w:tc>
          <w:tcPr>
            <w:tcW w:type="dxa" w:w="2350"/>
            <w:vAlign w:val="center"/>
            <w:tcMar>
              <w:top w:w="100" w:type="dxa"/>
              <w:start w:w="120" w:type="dxa"/>
              <w:bottom w:w="100" w:type="dxa"/>
              <w:end w:w="120" w:type="dxa"/>
            </w:tcMar>
            <w:shd w:fill="123456"/>
          </w:tcPr>
          <w:p>
            <w:pPr>
              <w:spacing w:after="0"/>
            </w:pPr>
            <w:r>
              <w:rPr>
                <w:rFonts w:ascii="Arial" w:hAnsi="Arial"/>
                <w:b/>
                <w:i w:val="0"/>
                <w:color w:val="FFFFFF"/>
                <w:sz w:val="16"/>
              </w:rPr>
              <w:t>Bottleneck</w:t>
            </w:r>
          </w:p>
        </w:tc>
        <w:tc>
          <w:tcPr>
            <w:tcW w:type="dxa" w:w="3920"/>
            <w:vAlign w:val="center"/>
            <w:tcMar>
              <w:top w:w="100" w:type="dxa"/>
              <w:start w:w="120" w:type="dxa"/>
              <w:bottom w:w="100" w:type="dxa"/>
              <w:end w:w="120" w:type="dxa"/>
            </w:tcMar>
            <w:shd w:fill="123456"/>
          </w:tcPr>
          <w:p>
            <w:pPr>
              <w:spacing w:after="0"/>
            </w:pPr>
            <w:r>
              <w:rPr>
                <w:rFonts w:ascii="Arial" w:hAnsi="Arial"/>
                <w:b/>
                <w:i w:val="0"/>
                <w:color w:val="FFFFFF"/>
                <w:sz w:val="16"/>
              </w:rPr>
              <w:t>Change</w:t>
            </w:r>
          </w:p>
        </w:tc>
        <w:tc>
          <w:tcPr>
            <w:tcW w:type="dxa" w:w="3090"/>
            <w:vAlign w:val="center"/>
            <w:tcMar>
              <w:top w:w="100" w:type="dxa"/>
              <w:start w:w="120" w:type="dxa"/>
              <w:bottom w:w="100" w:type="dxa"/>
              <w:end w:w="120" w:type="dxa"/>
            </w:tcMar>
            <w:shd w:fill="123456"/>
          </w:tcPr>
          <w:p>
            <w:pPr>
              <w:spacing w:after="0"/>
            </w:pPr>
            <w:r>
              <w:rPr>
                <w:rFonts w:ascii="Arial" w:hAnsi="Arial"/>
                <w:b/>
                <w:i w:val="0"/>
                <w:color w:val="FFFFFF"/>
                <w:sz w:val="16"/>
              </w:rPr>
              <w:t>Trade-off / trigger</w:t>
            </w:r>
          </w:p>
        </w:tc>
      </w:tr>
      <w:tr>
        <w:tc>
          <w:tcPr>
            <w:tcW w:type="dxa" w:w="2350"/>
            <w:vAlign w:val="center"/>
            <w:tcMar>
              <w:top w:w="100" w:type="dxa"/>
              <w:start w:w="120" w:type="dxa"/>
              <w:bottom w:w="100" w:type="dxa"/>
              <w:end w:w="120" w:type="dxa"/>
            </w:tcMar>
          </w:tcPr>
          <w:p>
            <w:pPr>
              <w:spacing w:after="0"/>
            </w:pPr>
            <w:r>
              <w:rPr>
                <w:rFonts w:ascii="Arial" w:hAnsi="Arial"/>
                <w:b w:val="0"/>
                <w:i w:val="0"/>
                <w:color w:val="172233"/>
                <w:sz w:val="16"/>
              </w:rPr>
              <w:t>Endpoint bucket row contention</w:t>
            </w:r>
          </w:p>
        </w:tc>
        <w:tc>
          <w:tcPr>
            <w:tcW w:type="dxa" w:w="3920"/>
            <w:vAlign w:val="center"/>
            <w:tcMar>
              <w:top w:w="100" w:type="dxa"/>
              <w:start w:w="120" w:type="dxa"/>
              <w:bottom w:w="100" w:type="dxa"/>
              <w:end w:w="120" w:type="dxa"/>
            </w:tcMar>
          </w:tcPr>
          <w:p>
            <w:pPr>
              <w:spacing w:after="0"/>
            </w:pPr>
            <w:r>
              <w:rPr>
                <w:rFonts w:ascii="Arial" w:hAnsi="Arial"/>
                <w:b w:val="0"/>
                <w:i w:val="0"/>
                <w:color w:val="172233"/>
                <w:sz w:val="16"/>
              </w:rPr>
              <w:t>Lease small token blocks to workers; optionally stripe a hot counter</w:t>
            </w:r>
          </w:p>
        </w:tc>
        <w:tc>
          <w:tcPr>
            <w:tcW w:type="dxa" w:w="3090"/>
            <w:vAlign w:val="center"/>
            <w:tcMar>
              <w:top w:w="100" w:type="dxa"/>
              <w:start w:w="120" w:type="dxa"/>
              <w:bottom w:w="100" w:type="dxa"/>
              <w:end w:w="120" w:type="dxa"/>
            </w:tcMar>
          </w:tcPr>
          <w:p>
            <w:pPr>
              <w:spacing w:after="0"/>
            </w:pPr>
            <w:r>
              <w:rPr>
                <w:rFonts w:ascii="Arial" w:hAnsi="Arial"/>
                <w:b w:val="0"/>
                <w:i w:val="0"/>
                <w:color w:val="172233"/>
                <w:sz w:val="16"/>
              </w:rPr>
              <w:t>Some leased quota sits unused; act when claim p99 rises with worker count</w:t>
            </w:r>
          </w:p>
        </w:tc>
      </w:tr>
      <w:tr>
        <w:tc>
          <w:tcPr>
            <w:tcW w:type="dxa" w:w="2350"/>
            <w:shd w:fill="F3F6F8"/>
            <w:vAlign w:val="center"/>
            <w:tcMar>
              <w:top w:w="100" w:type="dxa"/>
              <w:start w:w="120" w:type="dxa"/>
              <w:bottom w:w="100" w:type="dxa"/>
              <w:end w:w="120" w:type="dxa"/>
            </w:tcMar>
          </w:tcPr>
          <w:p>
            <w:pPr>
              <w:spacing w:after="0"/>
            </w:pPr>
            <w:r>
              <w:rPr>
                <w:rFonts w:ascii="Arial" w:hAnsi="Arial"/>
                <w:b w:val="0"/>
                <w:i w:val="0"/>
                <w:color w:val="172233"/>
                <w:sz w:val="16"/>
              </w:rPr>
              <w:t>Full enrollment sweep</w:t>
            </w:r>
          </w:p>
        </w:tc>
        <w:tc>
          <w:tcPr>
            <w:tcW w:type="dxa" w:w="3920"/>
            <w:shd w:fill="F3F6F8"/>
            <w:vAlign w:val="center"/>
            <w:tcMar>
              <w:top w:w="100" w:type="dxa"/>
              <w:start w:w="120" w:type="dxa"/>
              <w:bottom w:w="100" w:type="dxa"/>
              <w:end w:w="120" w:type="dxa"/>
            </w:tcMar>
          </w:tcPr>
          <w:p>
            <w:pPr>
              <w:spacing w:after="0"/>
            </w:pPr>
            <w:r>
              <w:rPr>
                <w:rFonts w:ascii="Arial" w:hAnsi="Arial"/>
                <w:b w:val="0"/>
                <w:i w:val="0"/>
                <w:color w:val="172233"/>
                <w:sz w:val="16"/>
              </w:rPr>
              <w:t>Persist and index next_due_at; shard scheduler by patient hash</w:t>
            </w:r>
          </w:p>
        </w:tc>
        <w:tc>
          <w:tcPr>
            <w:tcW w:type="dxa" w:w="3090"/>
            <w:shd w:fill="F3F6F8"/>
            <w:vAlign w:val="center"/>
            <w:tcMar>
              <w:top w:w="100" w:type="dxa"/>
              <w:start w:w="120" w:type="dxa"/>
              <w:bottom w:w="100" w:type="dxa"/>
              <w:end w:w="120" w:type="dxa"/>
            </w:tcMar>
          </w:tcPr>
          <w:p>
            <w:pPr>
              <w:spacing w:after="0"/>
            </w:pPr>
            <w:r>
              <w:rPr>
                <w:rFonts w:ascii="Arial" w:hAnsi="Arial"/>
                <w:b w:val="0"/>
                <w:i w:val="0"/>
                <w:color w:val="172233"/>
                <w:sz w:val="16"/>
              </w:rPr>
              <w:t>Denormalized time must be maintained; act when a tick exceeds its interval</w:t>
            </w:r>
          </w:p>
        </w:tc>
      </w:tr>
      <w:tr>
        <w:tc>
          <w:tcPr>
            <w:tcW w:type="dxa" w:w="2350"/>
            <w:vAlign w:val="center"/>
            <w:tcMar>
              <w:top w:w="100" w:type="dxa"/>
              <w:start w:w="120" w:type="dxa"/>
              <w:bottom w:w="100" w:type="dxa"/>
              <w:end w:w="120" w:type="dxa"/>
            </w:tcMar>
          </w:tcPr>
          <w:p>
            <w:pPr>
              <w:spacing w:after="0"/>
            </w:pPr>
            <w:r>
              <w:rPr>
                <w:rFonts w:ascii="Arial" w:hAnsi="Arial"/>
                <w:b w:val="0"/>
                <w:i w:val="0"/>
                <w:color w:val="172233"/>
                <w:sz w:val="16"/>
              </w:rPr>
              <w:t>Poll amplification</w:t>
            </w:r>
          </w:p>
        </w:tc>
        <w:tc>
          <w:tcPr>
            <w:tcW w:type="dxa" w:w="3920"/>
            <w:vAlign w:val="center"/>
            <w:tcMar>
              <w:top w:w="100" w:type="dxa"/>
              <w:start w:w="120" w:type="dxa"/>
              <w:bottom w:w="100" w:type="dxa"/>
              <w:end w:w="120" w:type="dxa"/>
            </w:tcMar>
          </w:tcPr>
          <w:p>
            <w:pPr>
              <w:spacing w:after="0"/>
            </w:pPr>
            <w:r>
              <w:rPr>
                <w:rFonts w:ascii="Arial" w:hAnsi="Arial"/>
                <w:b w:val="0"/>
                <w:i w:val="0"/>
                <w:color w:val="172233"/>
                <w:sz w:val="16"/>
              </w:rPr>
              <w:t>Prefer webhooks, then adaptive intervals and batch status</w:t>
            </w:r>
          </w:p>
        </w:tc>
        <w:tc>
          <w:tcPr>
            <w:tcW w:type="dxa" w:w="3090"/>
            <w:vAlign w:val="center"/>
            <w:tcMar>
              <w:top w:w="100" w:type="dxa"/>
              <w:start w:w="120" w:type="dxa"/>
              <w:bottom w:w="100" w:type="dxa"/>
              <w:end w:w="120" w:type="dxa"/>
            </w:tcMar>
          </w:tcPr>
          <w:p>
            <w:pPr>
              <w:spacing w:after="0"/>
            </w:pPr>
            <w:r>
              <w:rPr>
                <w:rFonts w:ascii="Arial" w:hAnsi="Arial"/>
                <w:b w:val="0"/>
                <w:i w:val="0"/>
                <w:color w:val="172233"/>
                <w:sz w:val="16"/>
              </w:rPr>
              <w:t>Vendor-dependent; act when polls exceed 70% of API spend</w:t>
            </w:r>
          </w:p>
        </w:tc>
      </w:tr>
      <w:tr>
        <w:tc>
          <w:tcPr>
            <w:tcW w:type="dxa" w:w="2350"/>
            <w:shd w:fill="F3F6F8"/>
            <w:vAlign w:val="center"/>
            <w:tcMar>
              <w:top w:w="100" w:type="dxa"/>
              <w:start w:w="120" w:type="dxa"/>
              <w:bottom w:w="100" w:type="dxa"/>
              <w:end w:w="120" w:type="dxa"/>
            </w:tcMar>
          </w:tcPr>
          <w:p>
            <w:pPr>
              <w:spacing w:after="0"/>
            </w:pPr>
            <w:r>
              <w:rPr>
                <w:rFonts w:ascii="Arial" w:hAnsi="Arial"/>
                <w:b w:val="0"/>
                <w:i w:val="0"/>
                <w:color w:val="172233"/>
                <w:sz w:val="16"/>
              </w:rPr>
              <w:t>Terminal job history</w:t>
            </w:r>
          </w:p>
        </w:tc>
        <w:tc>
          <w:tcPr>
            <w:tcW w:type="dxa" w:w="3920"/>
            <w:shd w:fill="F3F6F8"/>
            <w:vAlign w:val="center"/>
            <w:tcMar>
              <w:top w:w="100" w:type="dxa"/>
              <w:start w:w="120" w:type="dxa"/>
              <w:bottom w:w="100" w:type="dxa"/>
              <w:end w:w="120" w:type="dxa"/>
            </w:tcMar>
          </w:tcPr>
          <w:p>
            <w:pPr>
              <w:spacing w:after="0"/>
            </w:pPr>
            <w:r>
              <w:rPr>
                <w:rFonts w:ascii="Arial" w:hAnsi="Arial"/>
                <w:b w:val="0"/>
                <w:i w:val="0"/>
                <w:color w:val="172233"/>
                <w:sz w:val="16"/>
              </w:rPr>
              <w:t>Partition live/history data and archive by time</w:t>
            </w:r>
          </w:p>
        </w:tc>
        <w:tc>
          <w:tcPr>
            <w:tcW w:type="dxa" w:w="3090"/>
            <w:shd w:fill="F3F6F8"/>
            <w:vAlign w:val="center"/>
            <w:tcMar>
              <w:top w:w="100" w:type="dxa"/>
              <w:start w:w="120" w:type="dxa"/>
              <w:bottom w:w="100" w:type="dxa"/>
              <w:end w:w="120" w:type="dxa"/>
            </w:tcMar>
          </w:tcPr>
          <w:p>
            <w:pPr>
              <w:spacing w:after="0"/>
            </w:pPr>
            <w:r>
              <w:rPr>
                <w:rFonts w:ascii="Arial" w:hAnsi="Arial"/>
                <w:b w:val="0"/>
                <w:i w:val="0"/>
                <w:color w:val="172233"/>
                <w:sz w:val="16"/>
              </w:rPr>
              <w:t>Operational maintenance; act near tens of millions of rows</w:t>
            </w:r>
          </w:p>
        </w:tc>
      </w:tr>
      <w:tr>
        <w:tc>
          <w:tcPr>
            <w:tcW w:type="dxa" w:w="2350"/>
            <w:vAlign w:val="center"/>
            <w:tcMar>
              <w:top w:w="100" w:type="dxa"/>
              <w:start w:w="120" w:type="dxa"/>
              <w:bottom w:w="100" w:type="dxa"/>
              <w:end w:w="120" w:type="dxa"/>
            </w:tcMar>
          </w:tcPr>
          <w:p>
            <w:pPr>
              <w:spacing w:after="0"/>
            </w:pPr>
            <w:r>
              <w:rPr>
                <w:rFonts w:ascii="Arial" w:hAnsi="Arial"/>
                <w:b w:val="0"/>
                <w:i w:val="0"/>
                <w:color w:val="172233"/>
                <w:sz w:val="16"/>
              </w:rPr>
              <w:t>Connection pressure</w:t>
            </w:r>
          </w:p>
        </w:tc>
        <w:tc>
          <w:tcPr>
            <w:tcW w:type="dxa" w:w="3920"/>
            <w:vAlign w:val="center"/>
            <w:tcMar>
              <w:top w:w="100" w:type="dxa"/>
              <w:start w:w="120" w:type="dxa"/>
              <w:bottom w:w="100" w:type="dxa"/>
              <w:end w:w="120" w:type="dxa"/>
            </w:tcMar>
          </w:tcPr>
          <w:p>
            <w:pPr>
              <w:spacing w:after="0"/>
            </w:pPr>
            <w:r>
              <w:rPr>
                <w:rFonts w:ascii="Arial" w:hAnsi="Arial"/>
                <w:b w:val="0"/>
                <w:i w:val="0"/>
                <w:color w:val="172233"/>
                <w:sz w:val="16"/>
              </w:rPr>
              <w:t>PgBouncer transaction pooling</w:t>
            </w:r>
          </w:p>
        </w:tc>
        <w:tc>
          <w:tcPr>
            <w:tcW w:type="dxa" w:w="3090"/>
            <w:vAlign w:val="center"/>
            <w:tcMar>
              <w:top w:w="100" w:type="dxa"/>
              <w:start w:w="120" w:type="dxa"/>
              <w:bottom w:w="100" w:type="dxa"/>
              <w:end w:w="120" w:type="dxa"/>
            </w:tcMar>
          </w:tcPr>
          <w:p>
            <w:pPr>
              <w:spacing w:after="0"/>
            </w:pPr>
            <w:r>
              <w:rPr>
                <w:rFonts w:ascii="Arial" w:hAnsi="Arial"/>
                <w:b w:val="0"/>
                <w:i w:val="0"/>
                <w:color w:val="172233"/>
                <w:sz w:val="16"/>
              </w:rPr>
              <w:t>Avoid session-local state; act near max_connections</w:t>
            </w:r>
          </w:p>
        </w:tc>
      </w:tr>
      <w:tr>
        <w:tc>
          <w:tcPr>
            <w:tcW w:type="dxa" w:w="2350"/>
            <w:shd w:fill="F3F6F8"/>
            <w:vAlign w:val="center"/>
            <w:tcMar>
              <w:top w:w="100" w:type="dxa"/>
              <w:start w:w="120" w:type="dxa"/>
              <w:bottom w:w="100" w:type="dxa"/>
              <w:end w:w="120" w:type="dxa"/>
            </w:tcMar>
          </w:tcPr>
          <w:p>
            <w:pPr>
              <w:spacing w:after="0"/>
            </w:pPr>
            <w:r>
              <w:rPr>
                <w:rFonts w:ascii="Arial" w:hAnsi="Arial"/>
                <w:b w:val="0"/>
                <w:i w:val="0"/>
                <w:color w:val="172233"/>
                <w:sz w:val="16"/>
              </w:rPr>
              <w:t>Single-write-primary ceiling</w:t>
            </w:r>
          </w:p>
        </w:tc>
        <w:tc>
          <w:tcPr>
            <w:tcW w:type="dxa" w:w="3920"/>
            <w:shd w:fill="F3F6F8"/>
            <w:vAlign w:val="center"/>
            <w:tcMar>
              <w:top w:w="100" w:type="dxa"/>
              <w:start w:w="120" w:type="dxa"/>
              <w:bottom w:w="100" w:type="dxa"/>
              <w:end w:w="120" w:type="dxa"/>
            </w:tcMar>
          </w:tcPr>
          <w:p>
            <w:pPr>
              <w:spacing w:after="0"/>
            </w:pPr>
            <w:r>
              <w:rPr>
                <w:rFonts w:ascii="Arial" w:hAnsi="Arial"/>
                <w:b w:val="0"/>
                <w:i w:val="0"/>
                <w:color w:val="172233"/>
                <w:sz w:val="16"/>
              </w:rPr>
              <w:t>Shard by endpoint/failure domain</w:t>
            </w:r>
          </w:p>
        </w:tc>
        <w:tc>
          <w:tcPr>
            <w:tcW w:type="dxa" w:w="3090"/>
            <w:shd w:fill="F3F6F8"/>
            <w:vAlign w:val="center"/>
            <w:tcMar>
              <w:top w:w="100" w:type="dxa"/>
              <w:start w:w="120" w:type="dxa"/>
              <w:bottom w:w="100" w:type="dxa"/>
              <w:end w:w="120" w:type="dxa"/>
            </w:tcMar>
          </w:tcPr>
          <w:p>
            <w:pPr>
              <w:spacing w:after="0"/>
            </w:pPr>
            <w:r>
              <w:rPr>
                <w:rFonts w:ascii="Arial" w:hAnsi="Arial"/>
                <w:b w:val="0"/>
                <w:i w:val="0"/>
                <w:color w:val="172233"/>
                <w:sz w:val="16"/>
              </w:rPr>
              <w:t>Cross-endpoint patients become harder; do last</w:t>
            </w:r>
          </w:p>
        </w:tc>
      </w:tr>
    </w:tbl>
    <w:p>
      <w:pPr>
        <w:spacing w:after="20"/>
      </w:pPr>
    </w:p>
    <w:p>
      <w:pPr>
        <w:pStyle w:val="Heading1"/>
      </w:pPr>
      <w:r>
        <w:t>Target operating model</w:t>
      </w:r>
    </w:p>
    <w:tbl>
      <w:tblPr>
        <w:tblStyle w:val="TableGrid"/>
        <w:tblW w:type="dxa" w:w="9360"/>
        <w:tblLayout w:type="fixed"/>
        <w:tblLook w:firstColumn="1" w:firstRow="1" w:lastColumn="0" w:lastRow="0" w:noHBand="0" w:noVBand="1" w:val="04A0"/>
        <w:jc w:val="left"/>
        <w:tblInd w:w="120" w:type="dxa"/>
        <w:tblInd w:w="120" w:type="dxa"/>
      </w:tblPr>
      <w:tblGrid>
        <w:gridCol w:w="1700"/>
        <w:gridCol w:w="4480"/>
        <w:gridCol w:w="3180"/>
      </w:tblGrid>
      <w:tr>
        <w:trPr>
          <w:tblHeader w:val="true"/>
        </w:trPr>
        <w:tc>
          <w:tcPr>
            <w:tcW w:type="dxa" w:w="1700"/>
            <w:vAlign w:val="center"/>
            <w:tcMar>
              <w:top w:w="100" w:type="dxa"/>
              <w:start w:w="120" w:type="dxa"/>
              <w:bottom w:w="100" w:type="dxa"/>
              <w:end w:w="120" w:type="dxa"/>
            </w:tcMar>
            <w:shd w:fill="123456"/>
          </w:tcPr>
          <w:p>
            <w:pPr>
              <w:spacing w:after="0"/>
            </w:pPr>
            <w:r>
              <w:rPr>
                <w:rFonts w:ascii="Arial" w:hAnsi="Arial"/>
                <w:b/>
                <w:i w:val="0"/>
                <w:color w:val="FFFFFF"/>
                <w:sz w:val="17"/>
              </w:rPr>
              <w:t>Layer</w:t>
            </w:r>
          </w:p>
        </w:tc>
        <w:tc>
          <w:tcPr>
            <w:tcW w:type="dxa" w:w="4480"/>
            <w:vAlign w:val="center"/>
            <w:tcMar>
              <w:top w:w="100" w:type="dxa"/>
              <w:start w:w="120" w:type="dxa"/>
              <w:bottom w:w="100" w:type="dxa"/>
              <w:end w:w="120" w:type="dxa"/>
            </w:tcMar>
            <w:shd w:fill="123456"/>
          </w:tcPr>
          <w:p>
            <w:pPr>
              <w:spacing w:after="0"/>
            </w:pPr>
            <w:r>
              <w:rPr>
                <w:rFonts w:ascii="Arial" w:hAnsi="Arial"/>
                <w:b/>
                <w:i w:val="0"/>
                <w:color w:val="FFFFFF"/>
                <w:sz w:val="17"/>
              </w:rPr>
              <w:t>Scaled responsibility</w:t>
            </w:r>
          </w:p>
        </w:tc>
        <w:tc>
          <w:tcPr>
            <w:tcW w:type="dxa" w:w="3180"/>
            <w:vAlign w:val="center"/>
            <w:tcMar>
              <w:top w:w="100" w:type="dxa"/>
              <w:start w:w="120" w:type="dxa"/>
              <w:bottom w:w="100" w:type="dxa"/>
              <w:end w:w="120" w:type="dxa"/>
            </w:tcMar>
            <w:shd w:fill="123456"/>
          </w:tcPr>
          <w:p>
            <w:pPr>
              <w:spacing w:after="0"/>
            </w:pPr>
            <w:r>
              <w:rPr>
                <w:rFonts w:ascii="Arial" w:hAnsi="Arial"/>
                <w:b/>
                <w:i w:val="0"/>
                <w:color w:val="FFFFFF"/>
                <w:sz w:val="17"/>
              </w:rPr>
              <w:t>State placement</w:t>
            </w:r>
          </w:p>
        </w:tc>
      </w:tr>
      <w:tr>
        <w:tc>
          <w:tcPr>
            <w:tcW w:type="dxa" w:w="1700"/>
            <w:vAlign w:val="center"/>
            <w:tcMar>
              <w:top w:w="100" w:type="dxa"/>
              <w:start w:w="120" w:type="dxa"/>
              <w:bottom w:w="100" w:type="dxa"/>
              <w:end w:w="120" w:type="dxa"/>
            </w:tcMar>
          </w:tcPr>
          <w:p>
            <w:pPr>
              <w:spacing w:after="0"/>
            </w:pPr>
            <w:r>
              <w:rPr>
                <w:rFonts w:ascii="Arial" w:hAnsi="Arial"/>
                <w:b w:val="0"/>
                <w:i w:val="0"/>
                <w:color w:val="172233"/>
                <w:sz w:val="17"/>
              </w:rPr>
              <w:t>Admission</w:t>
            </w:r>
          </w:p>
        </w:tc>
        <w:tc>
          <w:tcPr>
            <w:tcW w:type="dxa" w:w="4480"/>
            <w:vAlign w:val="center"/>
            <w:tcMar>
              <w:top w:w="100" w:type="dxa"/>
              <w:start w:w="120" w:type="dxa"/>
              <w:bottom w:w="100" w:type="dxa"/>
              <w:end w:w="120" w:type="dxa"/>
            </w:tcMar>
          </w:tcPr>
          <w:p>
            <w:pPr>
              <w:spacing w:after="0"/>
            </w:pPr>
            <w:r>
              <w:rPr>
                <w:rFonts w:ascii="Arial" w:hAnsi="Arial"/>
                <w:b w:val="0"/>
                <w:i w:val="0"/>
                <w:color w:val="172233"/>
                <w:sz w:val="17"/>
              </w:rPr>
              <w:t>Per-endpoint quota leasing and circuit breaking</w:t>
            </w:r>
          </w:p>
        </w:tc>
        <w:tc>
          <w:tcPr>
            <w:tcW w:type="dxa" w:w="3180"/>
            <w:vAlign w:val="center"/>
            <w:tcMar>
              <w:top w:w="100" w:type="dxa"/>
              <w:start w:w="120" w:type="dxa"/>
              <w:bottom w:w="100" w:type="dxa"/>
              <w:end w:w="120" w:type="dxa"/>
            </w:tcMar>
          </w:tcPr>
          <w:p>
            <w:pPr>
              <w:spacing w:after="0"/>
            </w:pPr>
            <w:r>
              <w:rPr>
                <w:rFonts w:ascii="Arial" w:hAnsi="Arial"/>
                <w:b w:val="0"/>
                <w:i w:val="0"/>
                <w:color w:val="172233"/>
                <w:sz w:val="17"/>
              </w:rPr>
              <w:t>Endpoint-owned shard or quota service</w:t>
            </w:r>
          </w:p>
        </w:tc>
      </w:tr>
      <w:tr>
        <w:tc>
          <w:tcPr>
            <w:tcW w:type="dxa" w:w="1700"/>
            <w:shd w:fill="F3F6F8"/>
            <w:vAlign w:val="center"/>
            <w:tcMar>
              <w:top w:w="100" w:type="dxa"/>
              <w:start w:w="120" w:type="dxa"/>
              <w:bottom w:w="100" w:type="dxa"/>
              <w:end w:w="120" w:type="dxa"/>
            </w:tcMar>
          </w:tcPr>
          <w:p>
            <w:pPr>
              <w:spacing w:after="0"/>
            </w:pPr>
            <w:r>
              <w:rPr>
                <w:rFonts w:ascii="Arial" w:hAnsi="Arial"/>
                <w:b w:val="0"/>
                <w:i w:val="0"/>
                <w:color w:val="172233"/>
                <w:sz w:val="17"/>
              </w:rPr>
              <w:t>Scheduling</w:t>
            </w:r>
          </w:p>
        </w:tc>
        <w:tc>
          <w:tcPr>
            <w:tcW w:type="dxa" w:w="4480"/>
            <w:shd w:fill="F3F6F8"/>
            <w:vAlign w:val="center"/>
            <w:tcMar>
              <w:top w:w="100" w:type="dxa"/>
              <w:start w:w="120" w:type="dxa"/>
              <w:bottom w:w="100" w:type="dxa"/>
              <w:end w:w="120" w:type="dxa"/>
            </w:tcMar>
          </w:tcPr>
          <w:p>
            <w:pPr>
              <w:spacing w:after="0"/>
            </w:pPr>
            <w:r>
              <w:rPr>
                <w:rFonts w:ascii="Arial" w:hAnsi="Arial"/>
                <w:b w:val="0"/>
                <w:i w:val="0"/>
                <w:color w:val="172233"/>
                <w:sz w:val="17"/>
              </w:rPr>
              <w:t>Indexed next_due_at range scans over scheduler partitions</w:t>
            </w:r>
          </w:p>
        </w:tc>
        <w:tc>
          <w:tcPr>
            <w:tcW w:type="dxa" w:w="3180"/>
            <w:shd w:fill="F3F6F8"/>
            <w:vAlign w:val="center"/>
            <w:tcMar>
              <w:top w:w="100" w:type="dxa"/>
              <w:start w:w="120" w:type="dxa"/>
              <w:bottom w:w="100" w:type="dxa"/>
              <w:end w:w="120" w:type="dxa"/>
            </w:tcMar>
          </w:tcPr>
          <w:p>
            <w:pPr>
              <w:spacing w:after="0"/>
            </w:pPr>
            <w:r>
              <w:rPr>
                <w:rFonts w:ascii="Arial" w:hAnsi="Arial"/>
                <w:b w:val="0"/>
                <w:i w:val="0"/>
                <w:color w:val="172233"/>
                <w:sz w:val="17"/>
              </w:rPr>
              <w:t>Patient-study shard</w:t>
            </w:r>
          </w:p>
        </w:tc>
      </w:tr>
      <w:tr>
        <w:tc>
          <w:tcPr>
            <w:tcW w:type="dxa" w:w="1700"/>
            <w:vAlign w:val="center"/>
            <w:tcMar>
              <w:top w:w="100" w:type="dxa"/>
              <w:start w:w="120" w:type="dxa"/>
              <w:bottom w:w="100" w:type="dxa"/>
              <w:end w:w="120" w:type="dxa"/>
            </w:tcMar>
          </w:tcPr>
          <w:p>
            <w:pPr>
              <w:spacing w:after="0"/>
            </w:pPr>
            <w:r>
              <w:rPr>
                <w:rFonts w:ascii="Arial" w:hAnsi="Arial"/>
                <w:b w:val="0"/>
                <w:i w:val="0"/>
                <w:color w:val="172233"/>
                <w:sz w:val="17"/>
              </w:rPr>
              <w:t>Execution</w:t>
            </w:r>
          </w:p>
        </w:tc>
        <w:tc>
          <w:tcPr>
            <w:tcW w:type="dxa" w:w="4480"/>
            <w:vAlign w:val="center"/>
            <w:tcMar>
              <w:top w:w="100" w:type="dxa"/>
              <w:start w:w="120" w:type="dxa"/>
              <w:bottom w:w="100" w:type="dxa"/>
              <w:end w:w="120" w:type="dxa"/>
            </w:tcMar>
          </w:tcPr>
          <w:p>
            <w:pPr>
              <w:spacing w:after="0"/>
            </w:pPr>
            <w:r>
              <w:rPr>
                <w:rFonts w:ascii="Arial" w:hAnsi="Arial"/>
                <w:b w:val="0"/>
                <w:i w:val="0"/>
                <w:color w:val="172233"/>
                <w:sz w:val="17"/>
              </w:rPr>
              <w:t>Stateless autoscaled workers; webhook completion where available</w:t>
            </w:r>
          </w:p>
        </w:tc>
        <w:tc>
          <w:tcPr>
            <w:tcW w:type="dxa" w:w="3180"/>
            <w:vAlign w:val="center"/>
            <w:tcMar>
              <w:top w:w="100" w:type="dxa"/>
              <w:start w:w="120" w:type="dxa"/>
              <w:bottom w:w="100" w:type="dxa"/>
              <w:end w:w="120" w:type="dxa"/>
            </w:tcMar>
          </w:tcPr>
          <w:p>
            <w:pPr>
              <w:spacing w:after="0"/>
            </w:pPr>
            <w:r>
              <w:rPr>
                <w:rFonts w:ascii="Arial" w:hAnsi="Arial"/>
                <w:b w:val="0"/>
                <w:i w:val="0"/>
                <w:color w:val="172233"/>
                <w:sz w:val="17"/>
              </w:rPr>
              <w:t>Durable job record remains authoritative</w:t>
            </w:r>
          </w:p>
        </w:tc>
      </w:tr>
      <w:tr>
        <w:tc>
          <w:tcPr>
            <w:tcW w:type="dxa" w:w="1700"/>
            <w:shd w:fill="F3F6F8"/>
            <w:vAlign w:val="center"/>
            <w:tcMar>
              <w:top w:w="100" w:type="dxa"/>
              <w:start w:w="120" w:type="dxa"/>
              <w:bottom w:w="100" w:type="dxa"/>
              <w:end w:w="120" w:type="dxa"/>
            </w:tcMar>
          </w:tcPr>
          <w:p>
            <w:pPr>
              <w:spacing w:after="0"/>
            </w:pPr>
            <w:r>
              <w:rPr>
                <w:rFonts w:ascii="Arial" w:hAnsi="Arial"/>
                <w:b w:val="0"/>
                <w:i w:val="0"/>
                <w:color w:val="172233"/>
                <w:sz w:val="17"/>
              </w:rPr>
              <w:t>History</w:t>
            </w:r>
          </w:p>
        </w:tc>
        <w:tc>
          <w:tcPr>
            <w:tcW w:type="dxa" w:w="4480"/>
            <w:shd w:fill="F3F6F8"/>
            <w:vAlign w:val="center"/>
            <w:tcMar>
              <w:top w:w="100" w:type="dxa"/>
              <w:start w:w="120" w:type="dxa"/>
              <w:bottom w:w="100" w:type="dxa"/>
              <w:end w:w="120" w:type="dxa"/>
            </w:tcMar>
          </w:tcPr>
          <w:p>
            <w:pPr>
              <w:spacing w:after="0"/>
            </w:pPr>
            <w:r>
              <w:rPr>
                <w:rFonts w:ascii="Arial" w:hAnsi="Arial"/>
                <w:b w:val="0"/>
                <w:i w:val="0"/>
                <w:color w:val="172233"/>
                <w:sz w:val="17"/>
              </w:rPr>
              <w:t>Partitioned and archived terminal jobs</w:t>
            </w:r>
          </w:p>
        </w:tc>
        <w:tc>
          <w:tcPr>
            <w:tcW w:type="dxa" w:w="3180"/>
            <w:shd w:fill="F3F6F8"/>
            <w:vAlign w:val="center"/>
            <w:tcMar>
              <w:top w:w="100" w:type="dxa"/>
              <w:start w:w="120" w:type="dxa"/>
              <w:bottom w:w="100" w:type="dxa"/>
              <w:end w:w="120" w:type="dxa"/>
            </w:tcMar>
          </w:tcPr>
          <w:p>
            <w:pPr>
              <w:spacing w:after="0"/>
            </w:pPr>
            <w:r>
              <w:rPr>
                <w:rFonts w:ascii="Arial" w:hAnsi="Arial"/>
                <w:b w:val="0"/>
                <w:i w:val="0"/>
                <w:color w:val="172233"/>
                <w:sz w:val="17"/>
              </w:rPr>
              <w:t>Cold analytical storage after retention window</w:t>
            </w:r>
          </w:p>
        </w:tc>
      </w:tr>
    </w:tbl>
    <w:p>
      <w:pPr>
        <w:spacing w:after="20"/>
      </w:pPr>
    </w:p>
    <w:p>
      <w:pPr>
        <w:pStyle w:val="Heading2"/>
      </w:pPr>
      <w:r>
        <w:t>Sharding choice</w:t>
      </w:r>
    </w:p>
    <w:p>
      <w:pPr>
        <w:spacing w:after="100"/>
      </w:pPr>
      <w:r>
        <w:rPr>
          <w:rFonts w:ascii="Arial" w:hAnsi="Arial"/>
          <w:b w:val="0"/>
          <w:i w:val="0"/>
          <w:color w:val="172233"/>
          <w:sz w:val="21"/>
        </w:rPr>
        <w:t>I would shard by endpoint because it is already the quota and outage domain. A shard owns its queue, capacity, circuit breaker, and blast radius. Initially route cross-endpoint patients by a primary endpoint; add global admission only if their measured share justifies it.</w:t>
      </w:r>
    </w:p>
    <w:p>
      <w:pPr>
        <w:pStyle w:val="Heading2"/>
      </w:pPr>
      <w:r>
        <w:t>Cost and reliability invariants</w:t>
      </w:r>
    </w:p>
    <w:p>
      <w:pPr>
        <w:pStyle w:val="ListBullet"/>
        <w:spacing w:after="40"/>
      </w:pPr>
      <w:r>
        <w:rPr>
          <w:rFonts w:ascii="Arial" w:hAnsi="Arial"/>
          <w:b w:val="0"/>
          <w:i w:val="0"/>
          <w:color w:val="172233"/>
          <w:sz w:val="21"/>
        </w:rPr>
        <w:t>Preserve patient-level coalescing: avoided paid calls are recovered capacity.</w:t>
      </w:r>
    </w:p>
    <w:p>
      <w:pPr>
        <w:pStyle w:val="ListBullet"/>
        <w:spacing w:after="40"/>
      </w:pPr>
      <w:r>
        <w:rPr>
          <w:rFonts w:ascii="Arial" w:hAnsi="Arial"/>
          <w:b w:val="0"/>
          <w:i w:val="0"/>
          <w:color w:val="172233"/>
          <w:sz w:val="21"/>
        </w:rPr>
        <w:t>Add per-endpoint circuit breakers, priority aging, and queue backpressure.</w:t>
      </w:r>
    </w:p>
    <w:p>
      <w:pPr>
        <w:pStyle w:val="ListBullet"/>
        <w:spacing w:after="40"/>
      </w:pPr>
      <w:r>
        <w:rPr>
          <w:rFonts w:ascii="Arial" w:hAnsi="Arial"/>
          <w:b w:val="0"/>
          <w:i w:val="0"/>
          <w:color w:val="172233"/>
          <w:sz w:val="21"/>
        </w:rPr>
        <w:t>Keep leases, fencing, failure classification, database time, and deterministic jitter.</w:t>
      </w:r>
    </w:p>
    <w:p>
      <w:pPr>
        <w:pStyle w:val="ListBullet"/>
        <w:spacing w:after="40"/>
      </w:pPr>
      <w:r>
        <w:rPr>
          <w:rFonts w:ascii="Arial" w:hAnsi="Arial"/>
          <w:b w:val="0"/>
          <w:i w:val="0"/>
          <w:color w:val="172233"/>
          <w:sz w:val="21"/>
        </w:rPr>
        <w:t>Use endpoint-specific deadlines and observed latency for polling policy.</w:t>
      </w:r>
    </w:p>
    <w:p>
      <w:pPr>
        <w:pStyle w:val="Heading2"/>
      </w:pPr>
      <w:r>
        <w:t>Incremental migration</w:t>
      </w:r>
    </w:p>
    <w:tbl>
      <w:tblPr>
        <w:tblStyle w:val="TableGrid"/>
        <w:tblW w:type="dxa" w:w="9360"/>
        <w:tblLayout w:type="fixed"/>
        <w:tblLook w:firstColumn="1" w:firstRow="1" w:lastColumn="0" w:lastRow="0" w:noHBand="0" w:noVBand="1" w:val="04A0"/>
        <w:jc w:val="left"/>
        <w:tblInd w:w="120" w:type="dxa"/>
        <w:tblInd w:w="120" w:type="dxa"/>
      </w:tblPr>
      <w:tblGrid>
        <w:gridCol w:w="800"/>
        <w:gridCol w:w="4140"/>
        <w:gridCol w:w="4420"/>
      </w:tblGrid>
      <w:tr>
        <w:trPr>
          <w:tblHeader w:val="true"/>
        </w:trPr>
        <w:tc>
          <w:tcPr>
            <w:tcW w:type="dxa" w:w="800"/>
            <w:vAlign w:val="center"/>
            <w:tcMar>
              <w:top w:w="100" w:type="dxa"/>
              <w:start w:w="120" w:type="dxa"/>
              <w:bottom w:w="100" w:type="dxa"/>
              <w:end w:w="120" w:type="dxa"/>
            </w:tcMar>
            <w:shd w:fill="123456"/>
          </w:tcPr>
          <w:p>
            <w:pPr>
              <w:spacing w:after="0"/>
            </w:pPr>
            <w:r>
              <w:rPr>
                <w:rFonts w:ascii="Arial" w:hAnsi="Arial"/>
                <w:b/>
                <w:i w:val="0"/>
                <w:color w:val="FFFFFF"/>
                <w:sz w:val="17"/>
              </w:rPr>
              <w:t>Order</w:t>
            </w:r>
          </w:p>
        </w:tc>
        <w:tc>
          <w:tcPr>
            <w:tcW w:type="dxa" w:w="4140"/>
            <w:vAlign w:val="center"/>
            <w:tcMar>
              <w:top w:w="100" w:type="dxa"/>
              <w:start w:w="120" w:type="dxa"/>
              <w:bottom w:w="100" w:type="dxa"/>
              <w:end w:w="120" w:type="dxa"/>
            </w:tcMar>
            <w:shd w:fill="123456"/>
          </w:tcPr>
          <w:p>
            <w:pPr>
              <w:spacing w:after="0"/>
            </w:pPr>
            <w:r>
              <w:rPr>
                <w:rFonts w:ascii="Arial" w:hAnsi="Arial"/>
                <w:b/>
                <w:i w:val="0"/>
                <w:color w:val="FFFFFF"/>
                <w:sz w:val="17"/>
              </w:rPr>
              <w:t>Change</w:t>
            </w:r>
          </w:p>
        </w:tc>
        <w:tc>
          <w:tcPr>
            <w:tcW w:type="dxa" w:w="4420"/>
            <w:vAlign w:val="center"/>
            <w:tcMar>
              <w:top w:w="100" w:type="dxa"/>
              <w:start w:w="120" w:type="dxa"/>
              <w:bottom w:w="100" w:type="dxa"/>
              <w:end w:w="120" w:type="dxa"/>
            </w:tcMar>
            <w:shd w:fill="123456"/>
          </w:tcPr>
          <w:p>
            <w:pPr>
              <w:spacing w:after="0"/>
            </w:pPr>
            <w:r>
              <w:rPr>
                <w:rFonts w:ascii="Arial" w:hAnsi="Arial"/>
                <w:b/>
                <w:i w:val="0"/>
                <w:color w:val="FFFFFF"/>
                <w:sz w:val="17"/>
              </w:rPr>
              <w:t>Measurement</w:t>
            </w:r>
          </w:p>
        </w:tc>
      </w:tr>
      <w:tr>
        <w:tc>
          <w:tcPr>
            <w:tcW w:type="dxa" w:w="800"/>
            <w:vAlign w:val="center"/>
            <w:tcMar>
              <w:top w:w="100" w:type="dxa"/>
              <w:start w:w="120" w:type="dxa"/>
              <w:bottom w:w="100" w:type="dxa"/>
              <w:end w:w="120" w:type="dxa"/>
            </w:tcMar>
          </w:tcPr>
          <w:p>
            <w:pPr>
              <w:spacing w:after="0"/>
            </w:pPr>
            <w:r>
              <w:rPr>
                <w:rFonts w:ascii="Arial" w:hAnsi="Arial"/>
                <w:b w:val="0"/>
                <w:i w:val="0"/>
                <w:color w:val="172233"/>
                <w:sz w:val="17"/>
              </w:rPr>
              <w:t>1</w:t>
            </w:r>
          </w:p>
        </w:tc>
        <w:tc>
          <w:tcPr>
            <w:tcW w:type="dxa" w:w="4140"/>
            <w:vAlign w:val="center"/>
            <w:tcMar>
              <w:top w:w="100" w:type="dxa"/>
              <w:start w:w="120" w:type="dxa"/>
              <w:bottom w:w="100" w:type="dxa"/>
              <w:end w:w="120" w:type="dxa"/>
            </w:tcMar>
          </w:tcPr>
          <w:p>
            <w:pPr>
              <w:spacing w:after="0"/>
            </w:pPr>
            <w:r>
              <w:rPr>
                <w:rFonts w:ascii="Arial" w:hAnsi="Arial"/>
                <w:b w:val="0"/>
                <w:i w:val="0"/>
                <w:color w:val="172233"/>
                <w:sz w:val="17"/>
              </w:rPr>
              <w:t>next_due_at + covering index</w:t>
            </w:r>
          </w:p>
        </w:tc>
        <w:tc>
          <w:tcPr>
            <w:tcW w:type="dxa" w:w="4420"/>
            <w:vAlign w:val="center"/>
            <w:tcMar>
              <w:top w:w="100" w:type="dxa"/>
              <w:start w:w="120" w:type="dxa"/>
              <w:bottom w:w="100" w:type="dxa"/>
              <w:end w:w="120" w:type="dxa"/>
            </w:tcMar>
          </w:tcPr>
          <w:p>
            <w:pPr>
              <w:spacing w:after="0"/>
            </w:pPr>
            <w:r>
              <w:rPr>
                <w:rFonts w:ascii="Arial" w:hAnsi="Arial"/>
                <w:b w:val="0"/>
                <w:i w:val="0"/>
                <w:color w:val="172233"/>
                <w:sz w:val="17"/>
              </w:rPr>
              <w:t>Scheduler tick approaches cadence</w:t>
            </w:r>
          </w:p>
        </w:tc>
      </w:tr>
      <w:tr>
        <w:tc>
          <w:tcPr>
            <w:tcW w:type="dxa" w:w="800"/>
            <w:shd w:fill="F3F6F8"/>
            <w:vAlign w:val="center"/>
            <w:tcMar>
              <w:top w:w="100" w:type="dxa"/>
              <w:start w:w="120" w:type="dxa"/>
              <w:bottom w:w="100" w:type="dxa"/>
              <w:end w:w="120" w:type="dxa"/>
            </w:tcMar>
          </w:tcPr>
          <w:p>
            <w:pPr>
              <w:spacing w:after="0"/>
            </w:pPr>
            <w:r>
              <w:rPr>
                <w:rFonts w:ascii="Arial" w:hAnsi="Arial"/>
                <w:b w:val="0"/>
                <w:i w:val="0"/>
                <w:color w:val="172233"/>
                <w:sz w:val="17"/>
              </w:rPr>
              <w:t>2</w:t>
            </w:r>
          </w:p>
        </w:tc>
        <w:tc>
          <w:tcPr>
            <w:tcW w:type="dxa" w:w="4140"/>
            <w:shd w:fill="F3F6F8"/>
            <w:vAlign w:val="center"/>
            <w:tcMar>
              <w:top w:w="100" w:type="dxa"/>
              <w:start w:w="120" w:type="dxa"/>
              <w:bottom w:w="100" w:type="dxa"/>
              <w:end w:w="120" w:type="dxa"/>
            </w:tcMar>
          </w:tcPr>
          <w:p>
            <w:pPr>
              <w:spacing w:after="0"/>
            </w:pPr>
            <w:r>
              <w:rPr>
                <w:rFonts w:ascii="Arial" w:hAnsi="Arial"/>
                <w:b w:val="0"/>
                <w:i w:val="0"/>
                <w:color w:val="172233"/>
                <w:sz w:val="17"/>
              </w:rPr>
              <w:t>Leased endpoint quota</w:t>
            </w:r>
          </w:p>
        </w:tc>
        <w:tc>
          <w:tcPr>
            <w:tcW w:type="dxa" w:w="4420"/>
            <w:shd w:fill="F3F6F8"/>
            <w:vAlign w:val="center"/>
            <w:tcMar>
              <w:top w:w="100" w:type="dxa"/>
              <w:start w:w="120" w:type="dxa"/>
              <w:bottom w:w="100" w:type="dxa"/>
              <w:end w:w="120" w:type="dxa"/>
            </w:tcMar>
          </w:tcPr>
          <w:p>
            <w:pPr>
              <w:spacing w:after="0"/>
            </w:pPr>
            <w:r>
              <w:rPr>
                <w:rFonts w:ascii="Arial" w:hAnsi="Arial"/>
                <w:b w:val="0"/>
                <w:i w:val="0"/>
                <w:color w:val="172233"/>
                <w:sz w:val="17"/>
              </w:rPr>
              <w:t>Claim p99 rises as workers scale</w:t>
            </w:r>
          </w:p>
        </w:tc>
      </w:tr>
      <w:tr>
        <w:tc>
          <w:tcPr>
            <w:tcW w:type="dxa" w:w="800"/>
            <w:vAlign w:val="center"/>
            <w:tcMar>
              <w:top w:w="100" w:type="dxa"/>
              <w:start w:w="120" w:type="dxa"/>
              <w:bottom w:w="100" w:type="dxa"/>
              <w:end w:w="120" w:type="dxa"/>
            </w:tcMar>
          </w:tcPr>
          <w:p>
            <w:pPr>
              <w:spacing w:after="0"/>
            </w:pPr>
            <w:r>
              <w:rPr>
                <w:rFonts w:ascii="Arial" w:hAnsi="Arial"/>
                <w:b w:val="0"/>
                <w:i w:val="0"/>
                <w:color w:val="172233"/>
                <w:sz w:val="17"/>
              </w:rPr>
              <w:t>3</w:t>
            </w:r>
          </w:p>
        </w:tc>
        <w:tc>
          <w:tcPr>
            <w:tcW w:type="dxa" w:w="4140"/>
            <w:vAlign w:val="center"/>
            <w:tcMar>
              <w:top w:w="100" w:type="dxa"/>
              <w:start w:w="120" w:type="dxa"/>
              <w:bottom w:w="100" w:type="dxa"/>
              <w:end w:w="120" w:type="dxa"/>
            </w:tcMar>
          </w:tcPr>
          <w:p>
            <w:pPr>
              <w:spacing w:after="0"/>
            </w:pPr>
            <w:r>
              <w:rPr>
                <w:rFonts w:ascii="Arial" w:hAnsi="Arial"/>
                <w:b w:val="0"/>
                <w:i w:val="0"/>
                <w:color w:val="172233"/>
                <w:sz w:val="17"/>
              </w:rPr>
              <w:t>Adaptive polling / webhooks</w:t>
            </w:r>
          </w:p>
        </w:tc>
        <w:tc>
          <w:tcPr>
            <w:tcW w:type="dxa" w:w="4420"/>
            <w:vAlign w:val="center"/>
            <w:tcMar>
              <w:top w:w="100" w:type="dxa"/>
              <w:start w:w="120" w:type="dxa"/>
              <w:bottom w:w="100" w:type="dxa"/>
              <w:end w:w="120" w:type="dxa"/>
            </w:tcMar>
          </w:tcPr>
          <w:p>
            <w:pPr>
              <w:spacing w:after="0"/>
            </w:pPr>
            <w:r>
              <w:rPr>
                <w:rFonts w:ascii="Arial" w:hAnsi="Arial"/>
                <w:b w:val="0"/>
                <w:i w:val="0"/>
                <w:color w:val="172233"/>
                <w:sz w:val="17"/>
              </w:rPr>
              <w:t>Poll calls dominate API spend</w:t>
            </w:r>
          </w:p>
        </w:tc>
      </w:tr>
      <w:tr>
        <w:tc>
          <w:tcPr>
            <w:tcW w:type="dxa" w:w="800"/>
            <w:shd w:fill="F3F6F8"/>
            <w:vAlign w:val="center"/>
            <w:tcMar>
              <w:top w:w="100" w:type="dxa"/>
              <w:start w:w="120" w:type="dxa"/>
              <w:bottom w:w="100" w:type="dxa"/>
              <w:end w:w="120" w:type="dxa"/>
            </w:tcMar>
          </w:tcPr>
          <w:p>
            <w:pPr>
              <w:spacing w:after="0"/>
            </w:pPr>
            <w:r>
              <w:rPr>
                <w:rFonts w:ascii="Arial" w:hAnsi="Arial"/>
                <w:b w:val="0"/>
                <w:i w:val="0"/>
                <w:color w:val="172233"/>
                <w:sz w:val="17"/>
              </w:rPr>
              <w:t>4</w:t>
            </w:r>
          </w:p>
        </w:tc>
        <w:tc>
          <w:tcPr>
            <w:tcW w:type="dxa" w:w="4140"/>
            <w:shd w:fill="F3F6F8"/>
            <w:vAlign w:val="center"/>
            <w:tcMar>
              <w:top w:w="100" w:type="dxa"/>
              <w:start w:w="120" w:type="dxa"/>
              <w:bottom w:w="100" w:type="dxa"/>
              <w:end w:w="120" w:type="dxa"/>
            </w:tcMar>
          </w:tcPr>
          <w:p>
            <w:pPr>
              <w:spacing w:after="0"/>
            </w:pPr>
            <w:r>
              <w:rPr>
                <w:rFonts w:ascii="Arial" w:hAnsi="Arial"/>
                <w:b w:val="0"/>
                <w:i w:val="0"/>
                <w:color w:val="172233"/>
                <w:sz w:val="17"/>
              </w:rPr>
              <w:t>Partition and archive refresh_jobs</w:t>
            </w:r>
          </w:p>
        </w:tc>
        <w:tc>
          <w:tcPr>
            <w:tcW w:type="dxa" w:w="4420"/>
            <w:shd w:fill="F3F6F8"/>
            <w:vAlign w:val="center"/>
            <w:tcMar>
              <w:top w:w="100" w:type="dxa"/>
              <w:start w:w="120" w:type="dxa"/>
              <w:bottom w:w="100" w:type="dxa"/>
              <w:end w:w="120" w:type="dxa"/>
            </w:tcMar>
          </w:tcPr>
          <w:p>
            <w:pPr>
              <w:spacing w:after="0"/>
            </w:pPr>
            <w:r>
              <w:rPr>
                <w:rFonts w:ascii="Arial" w:hAnsi="Arial"/>
                <w:b w:val="0"/>
                <w:i w:val="0"/>
                <w:color w:val="172233"/>
                <w:sz w:val="17"/>
              </w:rPr>
              <w:t>History affects vacuum/index cost</w:t>
            </w:r>
          </w:p>
        </w:tc>
      </w:tr>
      <w:tr>
        <w:tc>
          <w:tcPr>
            <w:tcW w:type="dxa" w:w="800"/>
            <w:vAlign w:val="center"/>
            <w:tcMar>
              <w:top w:w="100" w:type="dxa"/>
              <w:start w:w="120" w:type="dxa"/>
              <w:bottom w:w="100" w:type="dxa"/>
              <w:end w:w="120" w:type="dxa"/>
            </w:tcMar>
          </w:tcPr>
          <w:p>
            <w:pPr>
              <w:spacing w:after="0"/>
            </w:pPr>
            <w:r>
              <w:rPr>
                <w:rFonts w:ascii="Arial" w:hAnsi="Arial"/>
                <w:b w:val="0"/>
                <w:i w:val="0"/>
                <w:color w:val="172233"/>
                <w:sz w:val="17"/>
              </w:rPr>
              <w:t>5</w:t>
            </w:r>
          </w:p>
        </w:tc>
        <w:tc>
          <w:tcPr>
            <w:tcW w:type="dxa" w:w="4140"/>
            <w:vAlign w:val="center"/>
            <w:tcMar>
              <w:top w:w="100" w:type="dxa"/>
              <w:start w:w="120" w:type="dxa"/>
              <w:bottom w:w="100" w:type="dxa"/>
              <w:end w:w="120" w:type="dxa"/>
            </w:tcMar>
          </w:tcPr>
          <w:p>
            <w:pPr>
              <w:spacing w:after="0"/>
            </w:pPr>
            <w:r>
              <w:rPr>
                <w:rFonts w:ascii="Arial" w:hAnsi="Arial"/>
                <w:b w:val="0"/>
                <w:i w:val="0"/>
                <w:color w:val="172233"/>
                <w:sz w:val="17"/>
              </w:rPr>
              <w:t>PgBouncer</w:t>
            </w:r>
          </w:p>
        </w:tc>
        <w:tc>
          <w:tcPr>
            <w:tcW w:type="dxa" w:w="4420"/>
            <w:vAlign w:val="center"/>
            <w:tcMar>
              <w:top w:w="100" w:type="dxa"/>
              <w:start w:w="120" w:type="dxa"/>
              <w:bottom w:w="100" w:type="dxa"/>
              <w:end w:w="120" w:type="dxa"/>
            </w:tcMar>
          </w:tcPr>
          <w:p>
            <w:pPr>
              <w:spacing w:after="0"/>
            </w:pPr>
            <w:r>
              <w:rPr>
                <w:rFonts w:ascii="Arial" w:hAnsi="Arial"/>
                <w:b w:val="0"/>
                <w:i w:val="0"/>
                <w:color w:val="172233"/>
                <w:sz w:val="17"/>
              </w:rPr>
              <w:t>Connections approach database limit</w:t>
            </w:r>
          </w:p>
        </w:tc>
      </w:tr>
      <w:tr>
        <w:tc>
          <w:tcPr>
            <w:tcW w:type="dxa" w:w="800"/>
            <w:shd w:fill="F3F6F8"/>
            <w:vAlign w:val="center"/>
            <w:tcMar>
              <w:top w:w="100" w:type="dxa"/>
              <w:start w:w="120" w:type="dxa"/>
              <w:bottom w:w="100" w:type="dxa"/>
              <w:end w:w="120" w:type="dxa"/>
            </w:tcMar>
          </w:tcPr>
          <w:p>
            <w:pPr>
              <w:spacing w:after="0"/>
            </w:pPr>
            <w:r>
              <w:rPr>
                <w:rFonts w:ascii="Arial" w:hAnsi="Arial"/>
                <w:b w:val="0"/>
                <w:i w:val="0"/>
                <w:color w:val="172233"/>
                <w:sz w:val="17"/>
              </w:rPr>
              <w:t>6</w:t>
            </w:r>
          </w:p>
        </w:tc>
        <w:tc>
          <w:tcPr>
            <w:tcW w:type="dxa" w:w="4140"/>
            <w:shd w:fill="F3F6F8"/>
            <w:vAlign w:val="center"/>
            <w:tcMar>
              <w:top w:w="100" w:type="dxa"/>
              <w:start w:w="120" w:type="dxa"/>
              <w:bottom w:w="100" w:type="dxa"/>
              <w:end w:w="120" w:type="dxa"/>
            </w:tcMar>
          </w:tcPr>
          <w:p>
            <w:pPr>
              <w:spacing w:after="0"/>
            </w:pPr>
            <w:r>
              <w:rPr>
                <w:rFonts w:ascii="Arial" w:hAnsi="Arial"/>
                <w:b w:val="0"/>
                <w:i w:val="0"/>
                <w:color w:val="172233"/>
                <w:sz w:val="17"/>
              </w:rPr>
              <w:t>Endpoint sharding</w:t>
            </w:r>
          </w:p>
        </w:tc>
        <w:tc>
          <w:tcPr>
            <w:tcW w:type="dxa" w:w="4420"/>
            <w:shd w:fill="F3F6F8"/>
            <w:vAlign w:val="center"/>
            <w:tcMar>
              <w:top w:w="100" w:type="dxa"/>
              <w:start w:w="120" w:type="dxa"/>
              <w:bottom w:w="100" w:type="dxa"/>
              <w:end w:w="120" w:type="dxa"/>
            </w:tcMar>
          </w:tcPr>
          <w:p>
            <w:pPr>
              <w:spacing w:after="0"/>
            </w:pPr>
            <w:r>
              <w:rPr>
                <w:rFonts w:ascii="Arial" w:hAnsi="Arial"/>
                <w:b w:val="0"/>
                <w:i w:val="0"/>
                <w:color w:val="172233"/>
                <w:sz w:val="17"/>
              </w:rPr>
              <w:t>Primary write throughput actually saturates</w:t>
            </w:r>
          </w:p>
        </w:tc>
      </w:tr>
    </w:tbl>
    <w:p>
      <w:pPr>
        <w:spacing w:after="20"/>
      </w:pPr>
    </w:p>
    <w:p>
      <w:pPr>
        <w:pStyle w:val="Heading2"/>
      </w:pPr>
      <w:r>
        <w:t>Open questions before committing</w:t>
      </w:r>
    </w:p>
    <w:p>
      <w:pPr>
        <w:spacing w:after="100"/>
      </w:pPr>
      <w:r>
        <w:rPr>
          <w:rFonts w:ascii="Arial" w:hAnsi="Arial"/>
          <w:b w:val="0"/>
          <w:i w:val="0"/>
          <w:color w:val="172233"/>
          <w:sz w:val="21"/>
        </w:rPr>
        <w:t>I would first measure endpoint distribution, webhook support, the fraction of patients spanning endpoints, the real freshness SLA, and the downstream handling of permanent failure. Those answers determine whether sharding is required and whether its coordination cost is justified.</w:t>
      </w:r>
    </w:p>
    <w:p>
      <w:pPr>
        <w:spacing w:after="40"/>
      </w:pPr>
      <w:r>
        <w:rPr>
          <w:rFonts w:ascii="Arial" w:hAnsi="Arial"/>
          <w:b/>
          <w:i w:val="0"/>
          <w:color w:val="172233"/>
          <w:sz w:val="21"/>
        </w:rPr>
        <w:t>Decision rule:</w:t>
      </w:r>
      <w:r>
        <w:rPr>
          <w:rFonts w:ascii="Arial" w:hAnsi="Arial"/>
          <w:b w:val="0"/>
          <w:i w:val="0"/>
          <w:color w:val="172233"/>
          <w:sz w:val="21"/>
        </w:rPr>
        <w:t xml:space="preserve"> do not begin with sharding. The earlier changes are cheaper and reversible and may remove the need for distributed writes.</w:t>
      </w:r>
    </w:p>
    <w:sectPr w:rsidR="00FC693F" w:rsidRPr="0006063C" w:rsidSect="00034616">
      <w:headerReference w:type="default" r:id="rId9"/>
      <w:footerReference w:type="default" r:id="rId10"/>
      <w:pgSz w:w="12240" w:h="15840"/>
      <w:pgMar w:top="1123"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Arial" w:hAnsi="Arial"/>
        <w:b w:val="0"/>
        <w:i w:val="0"/>
        <w:color w:val="4B5A70"/>
        <w:sz w:val="17"/>
      </w:rPr>
      <w:t xml:space="preserve">HealthEx candidate exercise  |  </w:t>
    </w:r>
    <w:r>
      <w:rPr>
        <w:rFonts w:ascii="Arial" w:hAnsi="Arial"/>
        <w:b w:val="0"/>
        <w:i w:val="0"/>
        <w:color w:val="4B5A70"/>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Pr>
    <w:r>
      <w:rPr>
        <w:rFonts w:ascii="Arial" w:hAnsi="Arial"/>
        <w:b/>
        <w:i w:val="0"/>
        <w:color w:val="007681"/>
        <w:sz w:val="17"/>
      </w:rPr>
      <w:t>SCALING DESIGN | 5K TO 10M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7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123456"/>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7681"/>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1234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123456"/>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4B5A7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04" w:hanging="259"/>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ind w:left="504" w:hanging="259"/>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