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8"/>
        <w:tblOverlap w:val="never"/>
        <w:tblW w:w="11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1"/>
        <w:gridCol w:w="6639"/>
      </w:tblGrid>
      <w:tr w:rsidR="004E7F84" w:rsidRPr="007B4A2D" w14:paraId="4E827C0B" w14:textId="77777777" w:rsidTr="00AA5FCF">
        <w:trPr>
          <w:trHeight w:val="14130"/>
        </w:trPr>
        <w:tc>
          <w:tcPr>
            <w:tcW w:w="50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 w:horzAnchor="margin" w:tblpXSpec="right" w:tblpY="1366"/>
              <w:tblOverlap w:val="never"/>
              <w:tblW w:w="368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4"/>
            </w:tblGrid>
            <w:tr w:rsidR="004E7F84" w:rsidRPr="007B4A2D" w14:paraId="338463B3" w14:textId="77777777" w:rsidTr="00D97299">
              <w:trPr>
                <w:trHeight w:val="10639"/>
              </w:trPr>
              <w:tc>
                <w:tcPr>
                  <w:tcW w:w="36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244668" w14:textId="77777777" w:rsidR="00D97299" w:rsidRDefault="00D97299" w:rsidP="00C6598E">
                  <w:pPr>
                    <w:spacing w:after="120" w:line="240" w:lineRule="auto"/>
                    <w:rPr>
                      <w:rFonts w:ascii="Franklin Gothic Medium Cond" w:eastAsia="Times New Roman" w:hAnsi="Franklin Gothic Medium Cond" w:cs="Calibri"/>
                      <w:spacing w:val="28"/>
                      <w:sz w:val="32"/>
                      <w:szCs w:val="28"/>
                    </w:rPr>
                  </w:pPr>
                </w:p>
                <w:p w14:paraId="026BD5C3" w14:textId="1AFEB9A2" w:rsidR="004E7F84" w:rsidRPr="007B4A2D" w:rsidRDefault="004E7F84" w:rsidP="00AA5FCF">
                  <w:pPr>
                    <w:spacing w:after="120" w:line="240" w:lineRule="auto"/>
                    <w:jc w:val="right"/>
                    <w:rPr>
                      <w:rFonts w:ascii="Franklin Gothic Medium Cond" w:eastAsia="Times New Roman" w:hAnsi="Franklin Gothic Medium Cond" w:cs="Calibri"/>
                      <w:sz w:val="28"/>
                      <w:szCs w:val="24"/>
                    </w:rPr>
                  </w:pPr>
                  <w:r w:rsidRPr="007B4A2D">
                    <w:rPr>
                      <w:rFonts w:ascii="Franklin Gothic Medium Cond" w:eastAsia="Times New Roman" w:hAnsi="Franklin Gothic Medium Cond" w:cs="Calibri"/>
                      <w:spacing w:val="28"/>
                      <w:sz w:val="32"/>
                      <w:szCs w:val="28"/>
                    </w:rPr>
                    <w:t>EDUCATION</w:t>
                  </w:r>
                </w:p>
                <w:p w14:paraId="02BBD530" w14:textId="1559DD0B" w:rsidR="00C6598E" w:rsidRDefault="00C6598E" w:rsidP="00AA5FC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Cs w:val="21"/>
                    </w:rPr>
                    <w:t>Bachelor of the Arts</w:t>
                  </w:r>
                  <w:r w:rsidR="004E7F84" w:rsidRPr="007B4A2D">
                    <w:rPr>
                      <w:rFonts w:ascii="Calibri" w:eastAsia="Times New Roman" w:hAnsi="Calibri" w:cs="Calibri"/>
                      <w:szCs w:val="21"/>
                    </w:rPr>
                    <w:t xml:space="preserve"> </w:t>
                  </w:r>
                </w:p>
                <w:p w14:paraId="7DF457CD" w14:textId="7FFE2D7E" w:rsidR="004E7F84" w:rsidRPr="007B4A2D" w:rsidRDefault="004E7F84" w:rsidP="00AA5FC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8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szCs w:val="21"/>
                    </w:rPr>
                    <w:t>Film</w:t>
                  </w:r>
                  <w:r w:rsidR="00C6598E">
                    <w:rPr>
                      <w:rFonts w:ascii="Calibri" w:eastAsia="Times New Roman" w:hAnsi="Calibri" w:cs="Calibri"/>
                      <w:szCs w:val="21"/>
                    </w:rPr>
                    <w:t xml:space="preserve"> </w:t>
                  </w:r>
                  <w:r w:rsidRPr="007B4A2D">
                    <w:rPr>
                      <w:rFonts w:ascii="Calibri" w:eastAsia="Times New Roman" w:hAnsi="Calibri" w:cs="Calibri"/>
                      <w:szCs w:val="21"/>
                    </w:rPr>
                    <w:t>Production</w:t>
                  </w:r>
                </w:p>
                <w:p w14:paraId="4B2A452D" w14:textId="77777777" w:rsidR="00C6598E" w:rsidRDefault="004E7F84" w:rsidP="00AA5FC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Cs w:val="21"/>
                    </w:rPr>
                  </w:pPr>
                  <w:r w:rsidRPr="007B4A2D">
                    <w:rPr>
                      <w:rFonts w:ascii="Calibri" w:eastAsia="Times New Roman" w:hAnsi="Calibri" w:cs="Calibri"/>
                      <w:szCs w:val="21"/>
                    </w:rPr>
                    <w:t xml:space="preserve">University of Texas </w:t>
                  </w:r>
                </w:p>
                <w:p w14:paraId="7926A771" w14:textId="77777777" w:rsidR="00C6598E" w:rsidRDefault="004E7F84" w:rsidP="00C6598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8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szCs w:val="21"/>
                    </w:rPr>
                    <w:t>Austin TX</w:t>
                  </w:r>
                </w:p>
                <w:p w14:paraId="2AAB0E3E" w14:textId="72D53A33" w:rsidR="004E7F84" w:rsidRPr="007B4A2D" w:rsidRDefault="004E7F84" w:rsidP="00C6598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8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szCs w:val="21"/>
                    </w:rPr>
                    <w:t>2001-2005</w:t>
                  </w:r>
                </w:p>
                <w:p w14:paraId="4664C8B4" w14:textId="37C772BA" w:rsidR="00C6598E" w:rsidRPr="00F74589" w:rsidRDefault="004E7F84" w:rsidP="00AA5FCF">
                  <w:pPr>
                    <w:spacing w:after="0" w:line="360" w:lineRule="atLeast"/>
                    <w:rPr>
                      <w:rFonts w:ascii="Calibri" w:eastAsia="Times New Roman" w:hAnsi="Calibri" w:cs="Calibri"/>
                      <w:szCs w:val="21"/>
                    </w:rPr>
                  </w:pPr>
                  <w:r w:rsidRPr="007B4A2D">
                    <w:rPr>
                      <w:rFonts w:ascii="Calibri" w:eastAsia="Times New Roman" w:hAnsi="Calibri" w:cs="Calibri"/>
                      <w:szCs w:val="21"/>
                    </w:rPr>
                    <w:t> </w:t>
                  </w:r>
                </w:p>
                <w:p w14:paraId="3390692C" w14:textId="10FE8961" w:rsidR="00D97299" w:rsidRPr="00F74589" w:rsidRDefault="004E7F84" w:rsidP="00F74589">
                  <w:pPr>
                    <w:spacing w:after="120" w:line="240" w:lineRule="auto"/>
                    <w:jc w:val="right"/>
                    <w:rPr>
                      <w:rFonts w:ascii="Franklin Gothic Medium Cond" w:eastAsia="Times New Roman" w:hAnsi="Franklin Gothic Medium Cond" w:cs="Calibri"/>
                      <w:sz w:val="28"/>
                      <w:szCs w:val="24"/>
                    </w:rPr>
                  </w:pPr>
                  <w:r w:rsidRPr="007B4A2D">
                    <w:rPr>
                      <w:rFonts w:ascii="Franklin Gothic Medium Cond" w:eastAsia="Times New Roman" w:hAnsi="Franklin Gothic Medium Cond" w:cs="Calibri"/>
                      <w:spacing w:val="28"/>
                      <w:sz w:val="32"/>
                      <w:szCs w:val="28"/>
                    </w:rPr>
                    <w:t>SKILLS</w:t>
                  </w:r>
                </w:p>
                <w:p w14:paraId="2BBE2858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High volume experience</w:t>
                  </w:r>
                </w:p>
                <w:p w14:paraId="391E7F4D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Traditional &amp; modern wines</w:t>
                  </w:r>
                </w:p>
                <w:p w14:paraId="620683D0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Times New Roman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Pre-prohibition &amp; craft cocktails</w:t>
                  </w:r>
                </w:p>
                <w:p w14:paraId="2EFBB069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Classic &amp; contemporary cuisine</w:t>
                  </w:r>
                </w:p>
                <w:p w14:paraId="08AB6A90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Management &amp; administration</w:t>
                  </w:r>
                </w:p>
                <w:p w14:paraId="3323D58E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Times New Roman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Payroll, books &amp; accounting</w:t>
                  </w:r>
                </w:p>
                <w:p w14:paraId="00C467C1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Times New Roman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Programming &amp; web design</w:t>
                  </w:r>
                </w:p>
                <w:p w14:paraId="09CD0F50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Times New Roman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POS, IT &amp; office technology</w:t>
                  </w:r>
                </w:p>
                <w:p w14:paraId="1AD12C62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Times New Roman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Private events, sales &amp; PR</w:t>
                  </w:r>
                </w:p>
                <w:p w14:paraId="65A0730B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Times New Roman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Writing and communication</w:t>
                  </w:r>
                </w:p>
                <w:p w14:paraId="576A6179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Times New Roman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Team dynamics and leadership</w:t>
                  </w:r>
                </w:p>
                <w:p w14:paraId="272A337A" w14:textId="77777777" w:rsidR="00F74589" w:rsidRPr="0095705E" w:rsidRDefault="00F74589" w:rsidP="00F7458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95705E">
                    <w:rPr>
                      <w:rFonts w:ascii="Calibri" w:eastAsia="Times New Roman" w:hAnsi="Calibri" w:cs="Calibri"/>
                    </w:rPr>
                    <w:t>Spanish, French &amp; German</w:t>
                  </w:r>
                </w:p>
                <w:p w14:paraId="46F5F49D" w14:textId="1AFEB08B" w:rsidR="00C6598E" w:rsidRPr="00C6598E" w:rsidRDefault="00C6598E" w:rsidP="00AA5FCF">
                  <w:pPr>
                    <w:spacing w:after="120" w:line="240" w:lineRule="auto"/>
                    <w:rPr>
                      <w:rFonts w:ascii="Calibri" w:eastAsia="Times New Roman" w:hAnsi="Calibri" w:cs="Calibri"/>
                      <w:szCs w:val="21"/>
                    </w:rPr>
                  </w:pPr>
                </w:p>
                <w:p w14:paraId="4D682647" w14:textId="77777777" w:rsidR="004E7F84" w:rsidRPr="007B4A2D" w:rsidRDefault="004E7F84" w:rsidP="00AA5FCF">
                  <w:pPr>
                    <w:spacing w:after="120" w:line="240" w:lineRule="auto"/>
                    <w:jc w:val="right"/>
                    <w:rPr>
                      <w:rFonts w:ascii="Franklin Gothic Medium Cond" w:eastAsia="Times New Roman" w:hAnsi="Franklin Gothic Medium Cond" w:cs="Calibri"/>
                      <w:sz w:val="28"/>
                      <w:szCs w:val="24"/>
                    </w:rPr>
                  </w:pPr>
                  <w:r w:rsidRPr="007B4A2D">
                    <w:rPr>
                      <w:rFonts w:ascii="Franklin Gothic Medium Cond" w:eastAsia="Times New Roman" w:hAnsi="Franklin Gothic Medium Cond" w:cs="Calibri"/>
                      <w:spacing w:val="28"/>
                      <w:sz w:val="32"/>
                      <w:szCs w:val="28"/>
                    </w:rPr>
                    <w:t>HOSPITALITY</w:t>
                  </w:r>
                </w:p>
                <w:p w14:paraId="53E8E2BA" w14:textId="71D96FFA" w:rsidR="00F74589" w:rsidRPr="0095705E" w:rsidRDefault="005F3EF1" w:rsidP="00F74589">
                  <w:pPr>
                    <w:jc w:val="right"/>
                    <w:rPr>
                      <w:rFonts w:ascii="Helvetica" w:eastAsia="Times New Roman" w:hAnsi="Helvetica" w:cs="Times New Roman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I’ve lived many places &amp; worked with many amazing peopl</w:t>
                  </w:r>
                  <w:bookmarkStart w:id="0" w:name="_GoBack"/>
                  <w:bookmarkEnd w:id="0"/>
                  <w:r>
                    <w:rPr>
                      <w:rFonts w:ascii="Calibri" w:eastAsia="Times New Roman" w:hAnsi="Calibri" w:cs="Calibri"/>
                    </w:rPr>
                    <w:t>e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 xml:space="preserve">. </w:t>
                  </w:r>
                  <w:r>
                    <w:rPr>
                      <w:rFonts w:ascii="Calibri" w:eastAsia="Times New Roman" w:hAnsi="Calibri" w:cs="Calibri"/>
                    </w:rPr>
                    <w:t xml:space="preserve"> I 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>am</w:t>
                  </w:r>
                  <w:r>
                    <w:rPr>
                      <w:rFonts w:ascii="Calibri" w:eastAsia="Times New Roman" w:hAnsi="Calibri" w:cs="Calibri"/>
                    </w:rPr>
                    <w:t xml:space="preserve"> 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 xml:space="preserve">proud that </w:t>
                  </w:r>
                  <w:r w:rsidR="006515C4">
                    <w:rPr>
                      <w:rFonts w:ascii="Calibri" w:eastAsia="Times New Roman" w:hAnsi="Calibri" w:cs="Calibri"/>
                    </w:rPr>
                    <w:t>my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 xml:space="preserve"> passion</w:t>
                  </w:r>
                  <w:r w:rsidR="006515C4">
                    <w:rPr>
                      <w:rFonts w:ascii="Calibri" w:eastAsia="Times New Roman" w:hAnsi="Calibri" w:cs="Calibri"/>
                    </w:rPr>
                    <w:t xml:space="preserve"> for memorable experiences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 xml:space="preserve"> has </w:t>
                  </w:r>
                  <w:r>
                    <w:rPr>
                      <w:rFonts w:ascii="Calibri" w:eastAsia="Times New Roman" w:hAnsi="Calibri" w:cs="Calibri"/>
                    </w:rPr>
                    <w:t xml:space="preserve">made me an asset 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>to the the</w:t>
                  </w:r>
                  <w:r>
                    <w:rPr>
                      <w:rFonts w:ascii="Calibri" w:eastAsia="Times New Roman" w:hAnsi="Calibri" w:cs="Calibri"/>
                    </w:rPr>
                    <w:t xml:space="preserve"> wonderful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 xml:space="preserve"> places</w:t>
                  </w:r>
                  <w:r>
                    <w:rPr>
                      <w:rFonts w:ascii="Calibri" w:eastAsia="Times New Roman" w:hAnsi="Calibri" w:cs="Calibri"/>
                    </w:rPr>
                    <w:t xml:space="preserve"> 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 xml:space="preserve">in which I've </w:t>
                  </w:r>
                  <w:r>
                    <w:rPr>
                      <w:rFonts w:ascii="Calibri" w:eastAsia="Times New Roman" w:hAnsi="Calibri" w:cs="Calibri"/>
                    </w:rPr>
                    <w:t xml:space="preserve">been able 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>to hone my craft</w:t>
                  </w:r>
                  <w:r>
                    <w:rPr>
                      <w:rFonts w:ascii="Calibri" w:eastAsia="Times New Roman" w:hAnsi="Calibri" w:cs="Calibri"/>
                    </w:rPr>
                    <w:t xml:space="preserve">, and made me memorable to the many people with whom  I’ve had the  chance to 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 xml:space="preserve">form </w:t>
                  </w:r>
                  <w:r w:rsidR="006515C4">
                    <w:rPr>
                      <w:rFonts w:ascii="Calibri" w:eastAsia="Times New Roman" w:hAnsi="Calibri" w:cs="Calibri"/>
                    </w:rPr>
                    <w:t xml:space="preserve">friendships &amp; </w:t>
                  </w:r>
                  <w:r>
                    <w:rPr>
                      <w:rFonts w:ascii="Calibri" w:eastAsia="Times New Roman" w:hAnsi="Calibri" w:cs="Calibri"/>
                    </w:rPr>
                    <w:t>lifelong</w:t>
                  </w:r>
                  <w:r w:rsidR="00F74589" w:rsidRPr="0095705E">
                    <w:rPr>
                      <w:rFonts w:ascii="Calibri" w:eastAsia="Times New Roman" w:hAnsi="Calibri" w:cs="Calibri"/>
                    </w:rPr>
                    <w:t xml:space="preserve"> bonds.</w:t>
                  </w:r>
                </w:p>
                <w:p w14:paraId="3667313A" w14:textId="0F28EECC" w:rsidR="00C6598E" w:rsidRPr="00C6598E" w:rsidRDefault="004E7F84" w:rsidP="00AA5FCF">
                  <w:pPr>
                    <w:spacing w:after="120" w:line="240" w:lineRule="auto"/>
                    <w:rPr>
                      <w:rFonts w:ascii="Calibri" w:eastAsia="Times New Roman" w:hAnsi="Calibri" w:cs="Calibri"/>
                      <w:spacing w:val="28"/>
                      <w:sz w:val="32"/>
                      <w:szCs w:val="28"/>
                    </w:rPr>
                  </w:pPr>
                  <w:r w:rsidRPr="007B4A2D">
                    <w:rPr>
                      <w:rFonts w:ascii="Calibri" w:eastAsia="Times New Roman" w:hAnsi="Calibri" w:cs="Calibri"/>
                      <w:spacing w:val="28"/>
                      <w:sz w:val="32"/>
                      <w:szCs w:val="28"/>
                    </w:rPr>
                    <w:t> </w:t>
                  </w:r>
                </w:p>
                <w:p w14:paraId="09594DB0" w14:textId="77777777" w:rsidR="004E7F84" w:rsidRPr="007B4A2D" w:rsidRDefault="004E7F84" w:rsidP="00AA5FCF">
                  <w:pPr>
                    <w:spacing w:after="120" w:line="240" w:lineRule="auto"/>
                    <w:jc w:val="right"/>
                    <w:rPr>
                      <w:rFonts w:ascii="Franklin Gothic Medium Cond" w:eastAsia="Times New Roman" w:hAnsi="Franklin Gothic Medium Cond" w:cs="Calibri"/>
                      <w:sz w:val="28"/>
                      <w:szCs w:val="24"/>
                    </w:rPr>
                  </w:pPr>
                  <w:r w:rsidRPr="007B4A2D">
                    <w:rPr>
                      <w:rFonts w:ascii="Franklin Gothic Medium Cond" w:eastAsia="Times New Roman" w:hAnsi="Franklin Gothic Medium Cond" w:cs="Calibri"/>
                      <w:spacing w:val="28"/>
                      <w:sz w:val="32"/>
                      <w:szCs w:val="28"/>
                    </w:rPr>
                    <w:t>Contact</w:t>
                  </w:r>
                </w:p>
                <w:p w14:paraId="42061601" w14:textId="77777777" w:rsidR="004E7F84" w:rsidRPr="007B4A2D" w:rsidRDefault="004E7F84" w:rsidP="00AA5FC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8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szCs w:val="21"/>
                    </w:rPr>
                    <w:t>313-418-3485</w:t>
                  </w:r>
                </w:p>
                <w:p w14:paraId="7E86FF9F" w14:textId="671E55F3" w:rsidR="004E7F84" w:rsidRPr="007B4A2D" w:rsidRDefault="000D5230" w:rsidP="00AA5FC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hyperlink r:id="rId6" w:history="1">
                    <w:r w:rsidR="00C6598E" w:rsidRPr="00805CCB">
                      <w:rPr>
                        <w:rStyle w:val="Hyperlink"/>
                        <w:rFonts w:ascii="Calibri" w:eastAsia="Times New Roman" w:hAnsi="Calibri" w:cs="Calibri"/>
                        <w:b/>
                        <w:bCs/>
                        <w:szCs w:val="21"/>
                      </w:rPr>
                      <w:t>coopercommajames@gmail.com</w:t>
                    </w:r>
                  </w:hyperlink>
                </w:p>
                <w:p w14:paraId="1C09801C" w14:textId="77777777" w:rsidR="004E7F84" w:rsidRPr="007B4A2D" w:rsidRDefault="004E7F84" w:rsidP="00AA5FC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</w:tbl>
          <w:p w14:paraId="78F1A656" w14:textId="77777777" w:rsidR="004E7F84" w:rsidRDefault="004E7F84" w:rsidP="00AA5FCF"/>
          <w:p w14:paraId="6987290D" w14:textId="77777777" w:rsidR="004E7F84" w:rsidRPr="007B4A2D" w:rsidRDefault="004E7F84" w:rsidP="004E7F84">
            <w:pPr>
              <w:spacing w:after="120" w:line="276" w:lineRule="atLeast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B4A2D">
              <w:rPr>
                <w:rFonts w:ascii="Calibri" w:eastAsia="Times New Roman" w:hAnsi="Calibri" w:cs="Calibri"/>
                <w:spacing w:val="28"/>
                <w:sz w:val="48"/>
                <w:szCs w:val="48"/>
              </w:rPr>
              <w:t> </w:t>
            </w:r>
          </w:p>
        </w:tc>
        <w:tc>
          <w:tcPr>
            <w:tcW w:w="6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BC7E" w14:textId="77777777" w:rsidR="00D97299" w:rsidRDefault="00D97299" w:rsidP="00AA5FCF">
            <w:pPr>
              <w:spacing w:after="120" w:line="240" w:lineRule="auto"/>
              <w:rPr>
                <w:rFonts w:ascii="Franklin Gothic Medium Cond" w:eastAsia="Times New Roman" w:hAnsi="Franklin Gothic Medium Cond" w:cs="Calibri"/>
                <w:spacing w:val="112"/>
                <w:sz w:val="70"/>
                <w:szCs w:val="72"/>
              </w:rPr>
            </w:pPr>
          </w:p>
          <w:p w14:paraId="013EC2A6" w14:textId="2FB673EB" w:rsidR="004E7F84" w:rsidRPr="007B4A2D" w:rsidRDefault="004E7F84" w:rsidP="00AA5FCF">
            <w:pPr>
              <w:spacing w:after="120" w:line="240" w:lineRule="auto"/>
              <w:rPr>
                <w:rFonts w:ascii="Franklin Gothic Medium Cond" w:eastAsia="Times New Roman" w:hAnsi="Franklin Gothic Medium Cond" w:cs="Calibri"/>
                <w:szCs w:val="24"/>
              </w:rPr>
            </w:pPr>
            <w:r w:rsidRPr="007B4A2D">
              <w:rPr>
                <w:rFonts w:ascii="Franklin Gothic Medium Cond" w:eastAsia="Times New Roman" w:hAnsi="Franklin Gothic Medium Cond" w:cs="Calibri"/>
                <w:spacing w:val="112"/>
                <w:sz w:val="70"/>
                <w:szCs w:val="72"/>
              </w:rPr>
              <w:t>JAMES</w:t>
            </w:r>
            <w:r w:rsidRPr="007B4A2D">
              <w:rPr>
                <w:rFonts w:ascii="Franklin Gothic Medium Cond" w:eastAsia="Times New Roman" w:hAnsi="Franklin Gothic Medium Cond" w:cs="Calibri"/>
                <w:spacing w:val="112"/>
                <w:sz w:val="34"/>
                <w:szCs w:val="36"/>
              </w:rPr>
              <w:t> </w:t>
            </w:r>
            <w:r w:rsidRPr="007B4A2D">
              <w:rPr>
                <w:rFonts w:ascii="Franklin Gothic Medium Cond" w:eastAsia="Times New Roman" w:hAnsi="Franklin Gothic Medium Cond" w:cs="Calibri"/>
                <w:spacing w:val="112"/>
                <w:sz w:val="70"/>
                <w:szCs w:val="72"/>
              </w:rPr>
              <w:t>COOPER</w:t>
            </w:r>
          </w:p>
          <w:tbl>
            <w:tblPr>
              <w:tblStyle w:val="TableGrid"/>
              <w:tblpPr w:leftFromText="180" w:rightFromText="180" w:vertAnchor="text" w:horzAnchor="margin" w:tblpY="12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36"/>
            </w:tblGrid>
            <w:tr w:rsidR="004E7F84" w14:paraId="0D38D176" w14:textId="77777777" w:rsidTr="00D97299">
              <w:trPr>
                <w:trHeight w:val="12217"/>
              </w:trPr>
              <w:tc>
                <w:tcPr>
                  <w:tcW w:w="4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C9A1D" w14:textId="7F166489" w:rsidR="00F74589" w:rsidRPr="0095705E" w:rsidRDefault="00F74589" w:rsidP="00F74589">
                  <w:pPr>
                    <w:spacing w:after="320"/>
                    <w:rPr>
                      <w:rFonts w:ascii="Calibri" w:eastAsia="Times New Roman" w:hAnsi="Calibri" w:cs="Calibri"/>
                    </w:rPr>
                  </w:pPr>
                  <w:r w:rsidRPr="0095705E">
                    <w:rPr>
                      <w:rFonts w:ascii="Calibri" w:eastAsia="Times New Roman" w:hAnsi="Calibri" w:cs="Calibri"/>
                      <w:i/>
                      <w:iCs/>
                    </w:rPr>
                    <w:t>Experienced bartender and sommelier</w:t>
                  </w:r>
                  <w:r>
                    <w:rPr>
                      <w:rFonts w:ascii="Calibri" w:eastAsia="Times New Roman" w:hAnsi="Calibri" w:cs="Calibri"/>
                      <w:i/>
                      <w:iCs/>
                    </w:rPr>
                    <w:t>.</w:t>
                  </w:r>
                  <w:r w:rsidRPr="0095705E">
                    <w:rPr>
                      <w:rFonts w:ascii="Calibri" w:eastAsia="Times New Roman" w:hAnsi="Calibri" w:cs="Calibri"/>
                      <w:i/>
                      <w:iCs/>
                    </w:rPr>
                    <w:t xml:space="preserve"> Advanced knowledge of beer and cocktails. Engaged, informed, motivated.</w:t>
                  </w:r>
                </w:p>
                <w:p w14:paraId="1A4B9603" w14:textId="0C282432" w:rsidR="004E7F84" w:rsidRDefault="004E7F84" w:rsidP="00F74589">
                  <w:pPr>
                    <w:spacing w:before="40" w:after="120"/>
                    <w:rPr>
                      <w:rFonts w:ascii="Franklin Gothic Medium Cond" w:eastAsia="Times New Roman" w:hAnsi="Franklin Gothic Medium Cond" w:cs="Calibri"/>
                      <w:spacing w:val="28"/>
                      <w:sz w:val="28"/>
                      <w:szCs w:val="28"/>
                    </w:rPr>
                  </w:pPr>
                  <w:r w:rsidRPr="007B4A2D">
                    <w:rPr>
                      <w:rFonts w:ascii="Franklin Gothic Medium Cond" w:eastAsia="Times New Roman" w:hAnsi="Franklin Gothic Medium Cond" w:cs="Calibri"/>
                      <w:spacing w:val="28"/>
                      <w:sz w:val="28"/>
                      <w:szCs w:val="28"/>
                    </w:rPr>
                    <w:t>PROFESSIONAL</w:t>
                  </w:r>
                  <w:r w:rsidRPr="007B4A2D">
                    <w:rPr>
                      <w:rFonts w:ascii="Franklin Gothic Medium Cond" w:eastAsia="Times New Roman" w:hAnsi="Franklin Gothic Medium Cond" w:cs="Calibri"/>
                      <w:spacing w:val="28"/>
                      <w:sz w:val="8"/>
                      <w:szCs w:val="8"/>
                    </w:rPr>
                    <w:t> </w:t>
                  </w:r>
                  <w:r w:rsidRPr="007B4A2D">
                    <w:rPr>
                      <w:rFonts w:ascii="Franklin Gothic Medium Cond" w:eastAsia="Times New Roman" w:hAnsi="Franklin Gothic Medium Cond" w:cs="Calibri"/>
                      <w:spacing w:val="28"/>
                      <w:sz w:val="28"/>
                      <w:szCs w:val="28"/>
                    </w:rPr>
                    <w:t>EXPERIENCE</w:t>
                  </w:r>
                </w:p>
                <w:p w14:paraId="7E297018" w14:textId="0D57B699" w:rsidR="00B7172B" w:rsidRPr="007B4A2D" w:rsidRDefault="00B7172B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Anfora</w:t>
                  </w:r>
                  <w:proofErr w:type="spellEnd"/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 xml:space="preserve"> – 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New York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, NY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     </w:t>
                  </w:r>
                </w:p>
                <w:p w14:paraId="16BE5476" w14:textId="06D30E5F" w:rsidR="00B7172B" w:rsidRPr="007B4A2D" w:rsidRDefault="00B7172B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Bartender   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                           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October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 xml:space="preserve"> 2017 – 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present </w:t>
                  </w:r>
                </w:p>
                <w:p w14:paraId="7B015BBE" w14:textId="6AD78AC1" w:rsidR="00B7172B" w:rsidRPr="005012AE" w:rsidRDefault="005012AE" w:rsidP="00F74589">
                  <w:pPr>
                    <w:spacing w:before="40" w:after="120" w:line="259" w:lineRule="auto"/>
                    <w:rPr>
                      <w:rFonts w:ascii="Calibri" w:eastAsia="Times New Roman" w:hAnsi="Calibri" w:cs="Calibri"/>
                    </w:rPr>
                  </w:pPr>
                  <w:r w:rsidRPr="00905E5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High volume service of an eccentric collection of modern and old world wines. Full bar service with seasonal craft cocktails. Closing, EON &amp; sales reports, and cash handling.</w:t>
                  </w:r>
                </w:p>
                <w:p w14:paraId="60C6AD1B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Denizen – 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Brooklyn, NY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     </w:t>
                  </w:r>
                </w:p>
                <w:p w14:paraId="40EBD19B" w14:textId="0CA5FDD3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Bartender   </w:t>
                  </w:r>
                  <w:r w:rsidR="00DC542C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                           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Feb 2017 – </w:t>
                  </w:r>
                  <w:r w:rsidR="00DC542C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20"/>
                      <w:szCs w:val="20"/>
                    </w:rPr>
                    <w:t>Oct 2018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    </w:t>
                  </w:r>
                </w:p>
                <w:p w14:paraId="31D4F742" w14:textId="5ADBA7C2" w:rsidR="004E7F84" w:rsidRPr="007B4A2D" w:rsidRDefault="004E7F84" w:rsidP="00F74589">
                  <w:pPr>
                    <w:spacing w:after="240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Pairin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g modern and classic wines with innovative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Michelin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recommended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menu 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selections by three alumni of Danny Meyer’s ‘The Modern’. </w:t>
                  </w:r>
                </w:p>
                <w:p w14:paraId="521E718C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Vertical – 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Detroit, MI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          </w:t>
                  </w:r>
                </w:p>
                <w:p w14:paraId="74F6E824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Bartender 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                              June 2016 – March 2017</w:t>
                  </w:r>
                </w:p>
                <w:p w14:paraId="3F349694" w14:textId="1912ED64" w:rsidR="004E7F84" w:rsidRPr="007B4A2D" w:rsidRDefault="00F74589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E</w:t>
                  </w:r>
                  <w:r w:rsidR="004E7F84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xtensive</w:t>
                  </w:r>
                  <w:r w:rsidR="004E7F84"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list of over 600 bottles and 72 glass pours. 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Seasonal cocktai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ls</w:t>
                  </w:r>
                  <w:r w:rsidR="004E7F84"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. 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Vertical is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included on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r w:rsidR="004E7F84"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Wine Enthusiast’s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100 </w:t>
                  </w:r>
                  <w:r w:rsidR="004E7F84"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best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U.S.</w:t>
                  </w:r>
                  <w:r w:rsidR="004E7F84"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wine restaurants. </w:t>
                  </w:r>
                </w:p>
                <w:p w14:paraId="5F817C03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</w:t>
                  </w:r>
                </w:p>
                <w:p w14:paraId="057F6D8A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Motor City Wine – 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Detroit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, 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MI</w:t>
                  </w:r>
                </w:p>
                <w:p w14:paraId="0499F092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Manager/Bartender   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           June 2013 – June 2016</w:t>
                  </w:r>
                </w:p>
                <w:p w14:paraId="20AED5AD" w14:textId="5081B4B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Serving a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dynamic 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wine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menu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at</w:t>
                  </w:r>
                  <w:r w:rsidR="00F74589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this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trendy ‘New Detroit’ institution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.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Keyholder, </w:t>
                  </w:r>
                  <w:r w:rsidR="00F74589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register and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r w:rsidR="00F74589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safe</w:t>
                  </w:r>
                  <w:r w:rsidR="0016480A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.</w:t>
                  </w:r>
                </w:p>
                <w:p w14:paraId="6E481002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</w:t>
                  </w:r>
                </w:p>
                <w:p w14:paraId="5D9B057A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Detroit Symphony Orchestra –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Detroit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, 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MI</w:t>
                  </w:r>
                </w:p>
                <w:p w14:paraId="1F2DF0C4" w14:textId="44250E75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Private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Events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Bartender  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   Aug 2011 – Aug 2013</w:t>
                  </w:r>
                </w:p>
                <w:p w14:paraId="2D378091" w14:textId="56015356" w:rsidR="004E7F84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Planning and hosting pre-concert and private events for premium sponsors in th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e exclusive donor’s lounge. </w:t>
                  </w:r>
                </w:p>
                <w:p w14:paraId="0BE6E18A" w14:textId="77777777" w:rsidR="0016480A" w:rsidRPr="007B4A2D" w:rsidRDefault="0016480A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  <w:p w14:paraId="454BFCEA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Arnaud’s/French 75 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– New Orleans, LA</w:t>
                  </w:r>
                </w:p>
                <w:p w14:paraId="0F32665E" w14:textId="6F3E5946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Front Waiter/Bar Back 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         May 2008 – Aug</w:t>
                  </w:r>
                  <w:r w:rsidR="00D97299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2010</w:t>
                  </w:r>
                </w:p>
                <w:p w14:paraId="1B8DD0F5" w14:textId="7A895E23" w:rsidR="004E7F84" w:rsidRPr="007B4A2D" w:rsidRDefault="00D97299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Classic</w:t>
                  </w:r>
                  <w:r w:rsidR="004E7F84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fine dining</w:t>
                  </w:r>
                  <w:r w:rsidR="004E7F84"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service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i</w:t>
                  </w:r>
                  <w:r w:rsidR="004E7F84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n one of Nola’s most highly regarded restaurants</w:t>
                  </w:r>
                  <w:r w:rsidR="004E7F84"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. Serving pre-prohibition cocktails at the legendary French 75 bar.</w:t>
                  </w:r>
                </w:p>
                <w:p w14:paraId="2A96124F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</w:p>
                <w:p w14:paraId="5A49293B" w14:textId="77777777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proofErr w:type="spellStart"/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Yaffa</w:t>
                  </w:r>
                  <w:proofErr w:type="spellEnd"/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 xml:space="preserve"> Cafe </w:t>
                  </w: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– New York, NY</w:t>
                  </w:r>
                </w:p>
                <w:p w14:paraId="43BF8FAE" w14:textId="1230DD20" w:rsidR="004E7F84" w:rsidRPr="007B4A2D" w:rsidRDefault="004E7F84" w:rsidP="00F74589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7B4A2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sz w:val="18"/>
                      <w:szCs w:val="18"/>
                    </w:rPr>
                    <w:t>Bartender                                     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Jan 2005 – Feb</w:t>
                  </w:r>
                  <w:r w:rsidR="00D97299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7B4A2D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2008</w:t>
                  </w:r>
                </w:p>
                <w:p w14:paraId="26F7D87C" w14:textId="77777777" w:rsidR="004E7F84" w:rsidRPr="00123575" w:rsidRDefault="004E7F84" w:rsidP="00F74589">
                  <w:pPr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7B4A2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Bartending high volume weekend shifts at this iconic East Village hot spot.</w:t>
                  </w:r>
                </w:p>
              </w:tc>
            </w:tr>
          </w:tbl>
          <w:p w14:paraId="57C8491F" w14:textId="77777777" w:rsidR="004E7F84" w:rsidRDefault="004E7F84" w:rsidP="00AA5FCF">
            <w:pPr>
              <w:spacing w:after="320" w:line="240" w:lineRule="auto"/>
              <w:rPr>
                <w:rFonts w:ascii="Calibri" w:eastAsia="Times New Roman" w:hAnsi="Calibri" w:cs="Calibri"/>
                <w:i/>
                <w:iCs/>
              </w:rPr>
            </w:pPr>
          </w:p>
          <w:p w14:paraId="39AA1F60" w14:textId="24A24FAE" w:rsidR="004E7F84" w:rsidRPr="007B4A2D" w:rsidRDefault="004E7F84" w:rsidP="00AA5FC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7EDD877C" w14:textId="77777777" w:rsidR="00D06397" w:rsidRDefault="00D06397" w:rsidP="0016480A"/>
    <w:sectPr w:rsidR="00D06397" w:rsidSect="00D972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08793" w14:textId="77777777" w:rsidR="000D5230" w:rsidRDefault="000D5230" w:rsidP="004E7F84">
      <w:pPr>
        <w:spacing w:after="0" w:line="240" w:lineRule="auto"/>
      </w:pPr>
      <w:r>
        <w:separator/>
      </w:r>
    </w:p>
  </w:endnote>
  <w:endnote w:type="continuationSeparator" w:id="0">
    <w:p w14:paraId="0F75C46E" w14:textId="77777777" w:rsidR="000D5230" w:rsidRDefault="000D5230" w:rsidP="004E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63E7B" w14:textId="77777777" w:rsidR="000D5230" w:rsidRDefault="000D5230" w:rsidP="004E7F84">
      <w:pPr>
        <w:spacing w:after="0" w:line="240" w:lineRule="auto"/>
      </w:pPr>
      <w:r>
        <w:separator/>
      </w:r>
    </w:p>
  </w:footnote>
  <w:footnote w:type="continuationSeparator" w:id="0">
    <w:p w14:paraId="096C2D3E" w14:textId="77777777" w:rsidR="000D5230" w:rsidRDefault="000D5230" w:rsidP="004E7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F84"/>
    <w:rsid w:val="000D37A4"/>
    <w:rsid w:val="000D5230"/>
    <w:rsid w:val="000E0AB0"/>
    <w:rsid w:val="0012327F"/>
    <w:rsid w:val="0016480A"/>
    <w:rsid w:val="0021604D"/>
    <w:rsid w:val="003D468B"/>
    <w:rsid w:val="004E7F84"/>
    <w:rsid w:val="005012AE"/>
    <w:rsid w:val="005F3EF1"/>
    <w:rsid w:val="00613067"/>
    <w:rsid w:val="006515C4"/>
    <w:rsid w:val="00A00EAB"/>
    <w:rsid w:val="00AB610D"/>
    <w:rsid w:val="00B7172B"/>
    <w:rsid w:val="00BC7D5B"/>
    <w:rsid w:val="00C6598E"/>
    <w:rsid w:val="00D06397"/>
    <w:rsid w:val="00D97299"/>
    <w:rsid w:val="00DC542C"/>
    <w:rsid w:val="00F74589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A374"/>
  <w15:chartTrackingRefBased/>
  <w15:docId w15:val="{9A02F02D-CEA6-4118-AF44-F1F780CF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F84"/>
    <w:rPr>
      <w:color w:val="0000FF"/>
      <w:u w:val="single"/>
    </w:rPr>
  </w:style>
  <w:style w:type="table" w:styleId="TableGrid">
    <w:name w:val="Table Grid"/>
    <w:basedOn w:val="TableNormal"/>
    <w:uiPriority w:val="39"/>
    <w:rsid w:val="004E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F84"/>
  </w:style>
  <w:style w:type="paragraph" w:styleId="Footer">
    <w:name w:val="footer"/>
    <w:basedOn w:val="Normal"/>
    <w:link w:val="FooterChar"/>
    <w:uiPriority w:val="99"/>
    <w:unhideWhenUsed/>
    <w:rsid w:val="004E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F84"/>
  </w:style>
  <w:style w:type="paragraph" w:styleId="Revision">
    <w:name w:val="Revision"/>
    <w:hidden/>
    <w:uiPriority w:val="99"/>
    <w:semiHidden/>
    <w:rsid w:val="00D9729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659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opercommajame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FedEx Office</dc:creator>
  <cp:keywords/>
  <dc:description/>
  <cp:lastModifiedBy>leo.paz@mail.com</cp:lastModifiedBy>
  <cp:revision>3</cp:revision>
  <cp:lastPrinted>2018-09-29T00:23:00Z</cp:lastPrinted>
  <dcterms:created xsi:type="dcterms:W3CDTF">2019-01-06T21:56:00Z</dcterms:created>
  <dcterms:modified xsi:type="dcterms:W3CDTF">2019-01-19T17:12:00Z</dcterms:modified>
</cp:coreProperties>
</file>