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84"/>
        <w:tblW w:w="14305" w:type="dxa"/>
        <w:tblLayout w:type="fixed"/>
        <w:tblLook w:val="04A0" w:firstRow="1" w:lastRow="0" w:firstColumn="1" w:lastColumn="0" w:noHBand="0" w:noVBand="1"/>
      </w:tblPr>
      <w:tblGrid>
        <w:gridCol w:w="1165"/>
        <w:gridCol w:w="4050"/>
        <w:gridCol w:w="4770"/>
        <w:gridCol w:w="1170"/>
        <w:gridCol w:w="1890"/>
        <w:gridCol w:w="1260"/>
      </w:tblGrid>
      <w:tr w:rsidR="00985A5B" w:rsidRPr="002C24F2" w14:paraId="60B1E0EE" w14:textId="77777777" w:rsidTr="00985A5B">
        <w:tc>
          <w:tcPr>
            <w:tcW w:w="1165" w:type="dxa"/>
          </w:tcPr>
          <w:p w14:paraId="15218864" w14:textId="7CF172F3" w:rsidR="00985A5B" w:rsidRPr="002C24F2" w:rsidRDefault="00985A5B" w:rsidP="00C121C3">
            <w:pPr>
              <w:ind w:firstLine="0"/>
              <w:jc w:val="left"/>
              <w:rPr>
                <w:b/>
              </w:rPr>
            </w:pPr>
            <w:r>
              <w:rPr>
                <w:b/>
              </w:rPr>
              <w:t>Parameter</w:t>
            </w:r>
          </w:p>
        </w:tc>
        <w:tc>
          <w:tcPr>
            <w:tcW w:w="4050" w:type="dxa"/>
          </w:tcPr>
          <w:p w14:paraId="427A16D4" w14:textId="50C1BF90" w:rsidR="00985A5B" w:rsidRPr="002C24F2" w:rsidRDefault="00985A5B" w:rsidP="003C5976">
            <w:pPr>
              <w:ind w:firstLine="0"/>
              <w:rPr>
                <w:b/>
              </w:rPr>
            </w:pPr>
            <w:r>
              <w:rPr>
                <w:b/>
              </w:rPr>
              <w:t>Definition</w:t>
            </w:r>
          </w:p>
        </w:tc>
        <w:tc>
          <w:tcPr>
            <w:tcW w:w="4770" w:type="dxa"/>
          </w:tcPr>
          <w:p w14:paraId="4DB4E09F" w14:textId="78906490" w:rsidR="00985A5B" w:rsidRDefault="00985A5B" w:rsidP="00497599">
            <w:pPr>
              <w:ind w:firstLine="0"/>
              <w:rPr>
                <w:b/>
              </w:rPr>
            </w:pPr>
            <w:r>
              <w:rPr>
                <w:b/>
              </w:rPr>
              <w:t>Technical Description</w:t>
            </w:r>
          </w:p>
        </w:tc>
        <w:tc>
          <w:tcPr>
            <w:tcW w:w="1170" w:type="dxa"/>
          </w:tcPr>
          <w:p w14:paraId="60CAAD30" w14:textId="5D4F7E80" w:rsidR="00985A5B" w:rsidRDefault="00985A5B" w:rsidP="00497599">
            <w:pPr>
              <w:ind w:firstLine="0"/>
              <w:rPr>
                <w:b/>
              </w:rPr>
            </w:pPr>
            <w:r>
              <w:rPr>
                <w:b/>
              </w:rPr>
              <w:t>Units</w:t>
            </w:r>
          </w:p>
        </w:tc>
        <w:tc>
          <w:tcPr>
            <w:tcW w:w="1890" w:type="dxa"/>
          </w:tcPr>
          <w:p w14:paraId="5A62F309" w14:textId="6851A014" w:rsidR="00985A5B" w:rsidRPr="002C24F2" w:rsidRDefault="00985A5B" w:rsidP="00497599">
            <w:pPr>
              <w:ind w:firstLine="0"/>
              <w:rPr>
                <w:b/>
              </w:rPr>
            </w:pPr>
            <w:r>
              <w:rPr>
                <w:b/>
              </w:rPr>
              <w:t>Resolution</w:t>
            </w:r>
          </w:p>
        </w:tc>
        <w:tc>
          <w:tcPr>
            <w:tcW w:w="1260" w:type="dxa"/>
          </w:tcPr>
          <w:p w14:paraId="327D6C96" w14:textId="4E926AC0" w:rsidR="00985A5B" w:rsidRDefault="00985A5B" w:rsidP="00497599">
            <w:pPr>
              <w:ind w:firstLine="0"/>
              <w:rPr>
                <w:b/>
              </w:rPr>
            </w:pPr>
            <w:r>
              <w:rPr>
                <w:b/>
              </w:rPr>
              <w:t>Data Source</w:t>
            </w:r>
          </w:p>
        </w:tc>
      </w:tr>
      <w:tr w:rsidR="00985A5B" w14:paraId="773A900B" w14:textId="77777777" w:rsidTr="00985A5B">
        <w:tc>
          <w:tcPr>
            <w:tcW w:w="1165" w:type="dxa"/>
          </w:tcPr>
          <w:p w14:paraId="5349BD45" w14:textId="0AF619DD" w:rsidR="00985A5B" w:rsidRPr="00B920BA" w:rsidRDefault="00985A5B" w:rsidP="00D906A9">
            <w:pPr>
              <w:ind w:firstLine="0"/>
              <w:jc w:val="left"/>
              <w:rPr>
                <w:b/>
                <w:sz w:val="18"/>
                <w:szCs w:val="18"/>
              </w:rPr>
            </w:pPr>
            <w:r w:rsidRPr="00B920BA">
              <w:rPr>
                <w:b/>
                <w:sz w:val="18"/>
                <w:szCs w:val="18"/>
              </w:rPr>
              <w:t>Area</w:t>
            </w:r>
          </w:p>
        </w:tc>
        <w:tc>
          <w:tcPr>
            <w:tcW w:w="4050" w:type="dxa"/>
          </w:tcPr>
          <w:p w14:paraId="4EEEF0FC" w14:textId="6A6DDAAC" w:rsidR="00985A5B" w:rsidRPr="00985A5B" w:rsidRDefault="00985A5B" w:rsidP="00985A5B">
            <w:pPr>
              <w:ind w:firstLine="0"/>
              <w:jc w:val="left"/>
              <w:rPr>
                <w:sz w:val="18"/>
                <w:szCs w:val="18"/>
              </w:rPr>
            </w:pPr>
            <w:r>
              <w:rPr>
                <w:sz w:val="18"/>
                <w:szCs w:val="18"/>
              </w:rPr>
              <w:t>Represents</w:t>
            </w:r>
            <w:r w:rsidRPr="00985A5B">
              <w:rPr>
                <w:sz w:val="18"/>
                <w:szCs w:val="18"/>
              </w:rPr>
              <w:t xml:space="preserve"> harvested area, which is the total area planted and harvested within a year, and may include multicropping or multiple harvests and differ from total arable land or reported physical area</w:t>
            </w:r>
          </w:p>
        </w:tc>
        <w:tc>
          <w:tcPr>
            <w:tcW w:w="4770" w:type="dxa"/>
          </w:tcPr>
          <w:p w14:paraId="1626B782" w14:textId="3CBC0F8E" w:rsidR="00985A5B" w:rsidRPr="008341CA" w:rsidRDefault="002A23F0" w:rsidP="002A23F0">
            <w:pPr>
              <w:ind w:firstLine="0"/>
              <w:jc w:val="left"/>
              <w:rPr>
                <w:sz w:val="18"/>
                <w:szCs w:val="18"/>
              </w:rPr>
            </w:pPr>
            <w:r w:rsidRPr="002A23F0">
              <w:rPr>
                <w:sz w:val="18"/>
                <w:szCs w:val="18"/>
              </w:rPr>
              <w:t xml:space="preserve">The total </w:t>
            </w:r>
            <w:r>
              <w:rPr>
                <w:sz w:val="18"/>
                <w:szCs w:val="18"/>
              </w:rPr>
              <w:t>crop</w:t>
            </w:r>
            <w:r w:rsidRPr="002A23F0">
              <w:rPr>
                <w:sz w:val="18"/>
                <w:szCs w:val="18"/>
              </w:rPr>
              <w:t xml:space="preserve">land supply </w:t>
            </w:r>
            <w:r>
              <w:rPr>
                <w:sz w:val="18"/>
                <w:szCs w:val="18"/>
              </w:rPr>
              <w:t xml:space="preserve">grows </w:t>
            </w:r>
            <w:r w:rsidRPr="002A23F0">
              <w:rPr>
                <w:sz w:val="18"/>
                <w:szCs w:val="18"/>
              </w:rPr>
              <w:t>over time driven by exogenous trends on the availability of area for agriculture as well as endogenous responses to changes in area demand</w:t>
            </w:r>
            <w:r>
              <w:rPr>
                <w:sz w:val="18"/>
                <w:szCs w:val="18"/>
              </w:rPr>
              <w:t>. Each year, the amount of total crop area is fixed, and it</w:t>
            </w:r>
            <w:r w:rsidR="00985A5B">
              <w:rPr>
                <w:sz w:val="18"/>
                <w:szCs w:val="18"/>
              </w:rPr>
              <w:t xml:space="preserve"> is efficiently allocated to different crops based on crop area demand, a function of crop price, and the price of land.  </w:t>
            </w:r>
          </w:p>
        </w:tc>
        <w:tc>
          <w:tcPr>
            <w:tcW w:w="1170" w:type="dxa"/>
          </w:tcPr>
          <w:p w14:paraId="3F9FC31F" w14:textId="2F1A11B9" w:rsidR="00985A5B" w:rsidRPr="008341CA" w:rsidRDefault="00985A5B" w:rsidP="00D906A9">
            <w:pPr>
              <w:ind w:firstLine="0"/>
              <w:rPr>
                <w:sz w:val="18"/>
                <w:szCs w:val="18"/>
              </w:rPr>
            </w:pPr>
            <w:r w:rsidRPr="008341CA">
              <w:rPr>
                <w:sz w:val="18"/>
                <w:szCs w:val="18"/>
              </w:rPr>
              <w:t>thousand hectares</w:t>
            </w:r>
          </w:p>
        </w:tc>
        <w:tc>
          <w:tcPr>
            <w:tcW w:w="1890" w:type="dxa"/>
          </w:tcPr>
          <w:p w14:paraId="6F0D525A" w14:textId="68613ED6" w:rsidR="00985A5B" w:rsidRPr="008341CA" w:rsidRDefault="00985A5B" w:rsidP="00D906A9">
            <w:pPr>
              <w:ind w:firstLine="0"/>
              <w:rPr>
                <w:sz w:val="18"/>
                <w:szCs w:val="18"/>
              </w:rPr>
            </w:pPr>
            <w:r w:rsidRPr="008341CA">
              <w:rPr>
                <w:sz w:val="18"/>
                <w:szCs w:val="18"/>
              </w:rPr>
              <w:t>national, FPU</w:t>
            </w:r>
            <w:r w:rsidRPr="008341CA">
              <w:rPr>
                <w:sz w:val="18"/>
                <w:szCs w:val="18"/>
                <w:vertAlign w:val="superscript"/>
              </w:rPr>
              <w:t>†</w:t>
            </w:r>
            <w:r w:rsidRPr="008341CA">
              <w:rPr>
                <w:sz w:val="18"/>
                <w:szCs w:val="18"/>
              </w:rPr>
              <w:t>, SPAM*</w:t>
            </w:r>
          </w:p>
        </w:tc>
        <w:tc>
          <w:tcPr>
            <w:tcW w:w="1260" w:type="dxa"/>
          </w:tcPr>
          <w:p w14:paraId="021F1249" w14:textId="1786068F" w:rsidR="00985A5B" w:rsidRPr="008341CA" w:rsidRDefault="00985A5B" w:rsidP="00D906A9">
            <w:pPr>
              <w:ind w:firstLine="0"/>
              <w:rPr>
                <w:sz w:val="18"/>
                <w:szCs w:val="18"/>
              </w:rPr>
            </w:pPr>
            <w:r>
              <w:rPr>
                <w:sz w:val="18"/>
                <w:szCs w:val="18"/>
              </w:rPr>
              <w:t>FAOSTAT commodity balances</w:t>
            </w:r>
          </w:p>
        </w:tc>
      </w:tr>
      <w:tr w:rsidR="00985A5B" w14:paraId="023FC7EE" w14:textId="77777777" w:rsidTr="00985A5B">
        <w:tc>
          <w:tcPr>
            <w:tcW w:w="1165" w:type="dxa"/>
          </w:tcPr>
          <w:p w14:paraId="7FC6F3D2" w14:textId="175D1FDE" w:rsidR="00985A5B" w:rsidRPr="00B920BA" w:rsidRDefault="00985A5B" w:rsidP="00D906A9">
            <w:pPr>
              <w:ind w:firstLine="0"/>
              <w:jc w:val="left"/>
              <w:rPr>
                <w:b/>
                <w:sz w:val="18"/>
                <w:szCs w:val="18"/>
              </w:rPr>
            </w:pPr>
            <w:r w:rsidRPr="00B920BA">
              <w:rPr>
                <w:b/>
                <w:sz w:val="18"/>
                <w:szCs w:val="18"/>
              </w:rPr>
              <w:t>Yield</w:t>
            </w:r>
          </w:p>
        </w:tc>
        <w:tc>
          <w:tcPr>
            <w:tcW w:w="4050" w:type="dxa"/>
          </w:tcPr>
          <w:p w14:paraId="0E84B5D4" w14:textId="74838D8A" w:rsidR="00985A5B" w:rsidRPr="008341CA" w:rsidRDefault="00985A5B" w:rsidP="00526395">
            <w:pPr>
              <w:ind w:firstLine="0"/>
              <w:jc w:val="left"/>
              <w:rPr>
                <w:sz w:val="18"/>
                <w:szCs w:val="18"/>
              </w:rPr>
            </w:pPr>
            <w:r w:rsidRPr="008341CA">
              <w:rPr>
                <w:sz w:val="18"/>
                <w:szCs w:val="18"/>
              </w:rPr>
              <w:t>Measure of productivity, amount harvested per area</w:t>
            </w:r>
            <w:r>
              <w:rPr>
                <w:sz w:val="18"/>
                <w:szCs w:val="18"/>
              </w:rPr>
              <w:t xml:space="preserve"> (ha)</w:t>
            </w:r>
            <w:r w:rsidRPr="008341CA">
              <w:rPr>
                <w:sz w:val="18"/>
                <w:szCs w:val="18"/>
              </w:rPr>
              <w:t>. Differe</w:t>
            </w:r>
            <w:r>
              <w:rPr>
                <w:sz w:val="18"/>
                <w:szCs w:val="18"/>
              </w:rPr>
              <w:t>ntiates rain fed from irrigated.</w:t>
            </w:r>
          </w:p>
        </w:tc>
        <w:tc>
          <w:tcPr>
            <w:tcW w:w="4770" w:type="dxa"/>
          </w:tcPr>
          <w:p w14:paraId="3FA30AC3" w14:textId="47E9813E" w:rsidR="00985A5B" w:rsidRPr="008341CA" w:rsidRDefault="00985A5B" w:rsidP="00526395">
            <w:pPr>
              <w:ind w:firstLine="0"/>
              <w:jc w:val="left"/>
              <w:rPr>
                <w:sz w:val="18"/>
                <w:szCs w:val="18"/>
              </w:rPr>
            </w:pPr>
            <w:r w:rsidRPr="003C5976">
              <w:rPr>
                <w:sz w:val="18"/>
                <w:szCs w:val="18"/>
              </w:rPr>
              <w:t>Crop yields are a function of commodity prices, prices of inputs, available water, climate, and exogenous trend factors.</w:t>
            </w:r>
          </w:p>
        </w:tc>
        <w:tc>
          <w:tcPr>
            <w:tcW w:w="1170" w:type="dxa"/>
          </w:tcPr>
          <w:p w14:paraId="14404748" w14:textId="665AACC6" w:rsidR="00985A5B" w:rsidRPr="008341CA" w:rsidRDefault="00985A5B" w:rsidP="00D906A9">
            <w:pPr>
              <w:ind w:firstLine="0"/>
              <w:rPr>
                <w:sz w:val="18"/>
                <w:szCs w:val="18"/>
              </w:rPr>
            </w:pPr>
            <w:r w:rsidRPr="008341CA">
              <w:rPr>
                <w:sz w:val="18"/>
                <w:szCs w:val="18"/>
              </w:rPr>
              <w:t>mt/ha</w:t>
            </w:r>
          </w:p>
        </w:tc>
        <w:tc>
          <w:tcPr>
            <w:tcW w:w="1890" w:type="dxa"/>
          </w:tcPr>
          <w:p w14:paraId="00FB50A7" w14:textId="21D7161A" w:rsidR="00985A5B" w:rsidRPr="008341CA" w:rsidRDefault="00985A5B" w:rsidP="00D906A9">
            <w:pPr>
              <w:ind w:firstLine="0"/>
              <w:rPr>
                <w:sz w:val="18"/>
                <w:szCs w:val="18"/>
              </w:rPr>
            </w:pPr>
            <w:r w:rsidRPr="008341CA">
              <w:rPr>
                <w:sz w:val="18"/>
                <w:szCs w:val="18"/>
              </w:rPr>
              <w:t>national, FPU</w:t>
            </w:r>
            <w:r w:rsidRPr="008341CA">
              <w:rPr>
                <w:sz w:val="18"/>
                <w:szCs w:val="18"/>
                <w:vertAlign w:val="superscript"/>
              </w:rPr>
              <w:t>†</w:t>
            </w:r>
            <w:r w:rsidRPr="008341CA">
              <w:rPr>
                <w:sz w:val="18"/>
                <w:szCs w:val="18"/>
              </w:rPr>
              <w:t>, SPAM*</w:t>
            </w:r>
          </w:p>
        </w:tc>
        <w:tc>
          <w:tcPr>
            <w:tcW w:w="1260" w:type="dxa"/>
          </w:tcPr>
          <w:p w14:paraId="7D6B2427" w14:textId="46388676" w:rsidR="00985A5B" w:rsidRPr="008341CA" w:rsidRDefault="00985A5B" w:rsidP="00D906A9">
            <w:pPr>
              <w:ind w:firstLine="0"/>
              <w:rPr>
                <w:sz w:val="18"/>
                <w:szCs w:val="18"/>
              </w:rPr>
            </w:pPr>
            <w:r>
              <w:rPr>
                <w:sz w:val="18"/>
                <w:szCs w:val="18"/>
              </w:rPr>
              <w:t>FAOSTAT commodity balances</w:t>
            </w:r>
          </w:p>
        </w:tc>
      </w:tr>
      <w:tr w:rsidR="00985A5B" w14:paraId="438DCF3E" w14:textId="77777777" w:rsidTr="00985A5B">
        <w:tc>
          <w:tcPr>
            <w:tcW w:w="1165" w:type="dxa"/>
          </w:tcPr>
          <w:p w14:paraId="230EF95B" w14:textId="45C3568E" w:rsidR="00985A5B" w:rsidRPr="00B920BA" w:rsidRDefault="00985A5B" w:rsidP="00D906A9">
            <w:pPr>
              <w:ind w:firstLine="0"/>
              <w:jc w:val="left"/>
              <w:rPr>
                <w:b/>
                <w:sz w:val="18"/>
                <w:szCs w:val="18"/>
              </w:rPr>
            </w:pPr>
            <w:r>
              <w:rPr>
                <w:b/>
                <w:sz w:val="18"/>
                <w:szCs w:val="18"/>
              </w:rPr>
              <w:t>P</w:t>
            </w:r>
            <w:r w:rsidRPr="00B920BA">
              <w:rPr>
                <w:b/>
                <w:sz w:val="18"/>
                <w:szCs w:val="18"/>
              </w:rPr>
              <w:t>roduction</w:t>
            </w:r>
          </w:p>
        </w:tc>
        <w:tc>
          <w:tcPr>
            <w:tcW w:w="4050" w:type="dxa"/>
          </w:tcPr>
          <w:p w14:paraId="1080EB4F" w14:textId="43DF93CA" w:rsidR="00985A5B" w:rsidRPr="008341CA" w:rsidRDefault="00985A5B" w:rsidP="00526395">
            <w:pPr>
              <w:ind w:firstLine="0"/>
              <w:jc w:val="left"/>
              <w:rPr>
                <w:sz w:val="18"/>
                <w:szCs w:val="18"/>
              </w:rPr>
            </w:pPr>
            <w:r>
              <w:rPr>
                <w:sz w:val="18"/>
                <w:szCs w:val="18"/>
              </w:rPr>
              <w:t>Represents a</w:t>
            </w:r>
            <w:r w:rsidRPr="008341CA">
              <w:rPr>
                <w:sz w:val="18"/>
                <w:szCs w:val="18"/>
              </w:rPr>
              <w:t>rea harvested * yield</w:t>
            </w:r>
          </w:p>
        </w:tc>
        <w:tc>
          <w:tcPr>
            <w:tcW w:w="4770" w:type="dxa"/>
          </w:tcPr>
          <w:p w14:paraId="011C046F" w14:textId="0A14F1B4" w:rsidR="00985A5B" w:rsidRPr="008341CA" w:rsidRDefault="00985A5B" w:rsidP="00526395">
            <w:pPr>
              <w:ind w:firstLine="0"/>
              <w:jc w:val="left"/>
              <w:rPr>
                <w:sz w:val="18"/>
                <w:szCs w:val="18"/>
              </w:rPr>
            </w:pPr>
            <w:r>
              <w:rPr>
                <w:sz w:val="18"/>
                <w:szCs w:val="18"/>
              </w:rPr>
              <w:t xml:space="preserve">Modeled at subnational FPU level through area and yield response functions. </w:t>
            </w:r>
            <w:r w:rsidRPr="003C5976">
              <w:rPr>
                <w:sz w:val="18"/>
                <w:szCs w:val="18"/>
              </w:rPr>
              <w:t>Land used for crop production is divided into irrigated and rainfed systems, capturing the significant differences in yields observed across these cultivation systems and linking directly with the water models, which treat irrigated and rainfed water supplies separately.</w:t>
            </w:r>
            <w:r>
              <w:rPr>
                <w:sz w:val="18"/>
                <w:szCs w:val="18"/>
              </w:rPr>
              <w:t xml:space="preserve"> Production is the product of area and yield, with national production equal to the summation of individual FPU production.</w:t>
            </w:r>
          </w:p>
        </w:tc>
        <w:tc>
          <w:tcPr>
            <w:tcW w:w="1170" w:type="dxa"/>
          </w:tcPr>
          <w:p w14:paraId="3CCFE19C" w14:textId="6CE0A4B7" w:rsidR="00985A5B" w:rsidRPr="008341CA" w:rsidRDefault="00985A5B" w:rsidP="00D906A9">
            <w:pPr>
              <w:ind w:firstLine="0"/>
              <w:rPr>
                <w:sz w:val="18"/>
                <w:szCs w:val="18"/>
              </w:rPr>
            </w:pPr>
            <w:r w:rsidRPr="008341CA">
              <w:rPr>
                <w:sz w:val="18"/>
                <w:szCs w:val="18"/>
              </w:rPr>
              <w:t>thousand mts</w:t>
            </w:r>
          </w:p>
        </w:tc>
        <w:tc>
          <w:tcPr>
            <w:tcW w:w="1890" w:type="dxa"/>
          </w:tcPr>
          <w:p w14:paraId="0E0EE216" w14:textId="2E7BA703" w:rsidR="00985A5B" w:rsidRPr="008341CA" w:rsidRDefault="00985A5B" w:rsidP="00D906A9">
            <w:pPr>
              <w:ind w:firstLine="0"/>
              <w:rPr>
                <w:sz w:val="18"/>
                <w:szCs w:val="18"/>
              </w:rPr>
            </w:pPr>
            <w:r w:rsidRPr="008341CA">
              <w:rPr>
                <w:sz w:val="18"/>
                <w:szCs w:val="18"/>
              </w:rPr>
              <w:t>national, FPU</w:t>
            </w:r>
            <w:r w:rsidRPr="008341CA">
              <w:rPr>
                <w:sz w:val="18"/>
                <w:szCs w:val="18"/>
                <w:vertAlign w:val="superscript"/>
              </w:rPr>
              <w:t>†</w:t>
            </w:r>
            <w:r w:rsidRPr="008341CA">
              <w:rPr>
                <w:sz w:val="18"/>
                <w:szCs w:val="18"/>
              </w:rPr>
              <w:t>, SPAM*</w:t>
            </w:r>
          </w:p>
        </w:tc>
        <w:tc>
          <w:tcPr>
            <w:tcW w:w="1260" w:type="dxa"/>
          </w:tcPr>
          <w:p w14:paraId="2B71CD5D" w14:textId="492DE64F" w:rsidR="00985A5B" w:rsidRPr="008341CA" w:rsidRDefault="00985A5B" w:rsidP="00D906A9">
            <w:pPr>
              <w:ind w:firstLine="0"/>
              <w:rPr>
                <w:sz w:val="18"/>
                <w:szCs w:val="18"/>
              </w:rPr>
            </w:pPr>
            <w:r>
              <w:rPr>
                <w:sz w:val="18"/>
                <w:szCs w:val="18"/>
              </w:rPr>
              <w:t>calculated</w:t>
            </w:r>
          </w:p>
        </w:tc>
      </w:tr>
      <w:tr w:rsidR="00985A5B" w14:paraId="6B4725E3" w14:textId="77777777" w:rsidTr="00985A5B">
        <w:tc>
          <w:tcPr>
            <w:tcW w:w="1165" w:type="dxa"/>
          </w:tcPr>
          <w:p w14:paraId="32545A10" w14:textId="77777777" w:rsidR="00985A5B" w:rsidRPr="00B920BA" w:rsidRDefault="00985A5B" w:rsidP="00D906A9">
            <w:pPr>
              <w:ind w:firstLine="0"/>
              <w:jc w:val="left"/>
              <w:rPr>
                <w:b/>
                <w:sz w:val="18"/>
                <w:szCs w:val="18"/>
              </w:rPr>
            </w:pPr>
            <w:r w:rsidRPr="00B920BA">
              <w:rPr>
                <w:b/>
                <w:sz w:val="18"/>
                <w:szCs w:val="18"/>
              </w:rPr>
              <w:t>Net trade</w:t>
            </w:r>
          </w:p>
        </w:tc>
        <w:tc>
          <w:tcPr>
            <w:tcW w:w="4050" w:type="dxa"/>
          </w:tcPr>
          <w:p w14:paraId="690FD7CD" w14:textId="381CCC8A" w:rsidR="00985A5B" w:rsidRPr="008341CA" w:rsidRDefault="00985A5B" w:rsidP="00526395">
            <w:pPr>
              <w:ind w:firstLine="0"/>
              <w:jc w:val="left"/>
              <w:rPr>
                <w:sz w:val="18"/>
                <w:szCs w:val="18"/>
              </w:rPr>
            </w:pPr>
            <w:r>
              <w:rPr>
                <w:sz w:val="18"/>
                <w:szCs w:val="18"/>
              </w:rPr>
              <w:t xml:space="preserve">Represents amount traded, where positive values indicate greater exports than imports </w:t>
            </w:r>
          </w:p>
        </w:tc>
        <w:tc>
          <w:tcPr>
            <w:tcW w:w="4770" w:type="dxa"/>
          </w:tcPr>
          <w:p w14:paraId="58A6D7AE" w14:textId="3EA29117" w:rsidR="00985A5B" w:rsidRPr="008341CA" w:rsidRDefault="00985A5B" w:rsidP="00AD69E2">
            <w:pPr>
              <w:ind w:firstLine="0"/>
              <w:jc w:val="left"/>
              <w:rPr>
                <w:sz w:val="18"/>
                <w:szCs w:val="18"/>
              </w:rPr>
            </w:pPr>
            <w:r>
              <w:rPr>
                <w:sz w:val="18"/>
                <w:szCs w:val="18"/>
              </w:rPr>
              <w:t>Commodity trade by country is a function of domestic production, domestic deman</w:t>
            </w:r>
            <w:bookmarkStart w:id="0" w:name="_GoBack"/>
            <w:bookmarkEnd w:id="0"/>
            <w:r>
              <w:rPr>
                <w:sz w:val="18"/>
                <w:szCs w:val="18"/>
              </w:rPr>
              <w:t xml:space="preserve">d, and stock change. </w:t>
            </w:r>
          </w:p>
        </w:tc>
        <w:tc>
          <w:tcPr>
            <w:tcW w:w="1170" w:type="dxa"/>
          </w:tcPr>
          <w:p w14:paraId="1FD6B1F6" w14:textId="2AE2C4DB" w:rsidR="00985A5B" w:rsidRPr="008341CA" w:rsidRDefault="00985A5B" w:rsidP="00D906A9">
            <w:pPr>
              <w:ind w:firstLine="0"/>
              <w:rPr>
                <w:sz w:val="18"/>
                <w:szCs w:val="18"/>
              </w:rPr>
            </w:pPr>
            <w:r w:rsidRPr="008341CA">
              <w:rPr>
                <w:sz w:val="18"/>
                <w:szCs w:val="18"/>
              </w:rPr>
              <w:t>thousand mts</w:t>
            </w:r>
          </w:p>
        </w:tc>
        <w:tc>
          <w:tcPr>
            <w:tcW w:w="1890" w:type="dxa"/>
          </w:tcPr>
          <w:p w14:paraId="0A75DFB8" w14:textId="77777777" w:rsidR="00985A5B" w:rsidRPr="00B920BA" w:rsidRDefault="00985A5B" w:rsidP="00D906A9">
            <w:pPr>
              <w:ind w:firstLine="0"/>
              <w:rPr>
                <w:sz w:val="18"/>
                <w:szCs w:val="18"/>
              </w:rPr>
            </w:pPr>
            <w:r w:rsidRPr="00B920BA">
              <w:rPr>
                <w:sz w:val="18"/>
                <w:szCs w:val="18"/>
              </w:rPr>
              <w:t>national</w:t>
            </w:r>
          </w:p>
        </w:tc>
        <w:tc>
          <w:tcPr>
            <w:tcW w:w="1260" w:type="dxa"/>
          </w:tcPr>
          <w:p w14:paraId="7FF5F67A" w14:textId="4AD32D96" w:rsidR="00985A5B" w:rsidRPr="00B920BA" w:rsidRDefault="00985A5B" w:rsidP="00D906A9">
            <w:pPr>
              <w:ind w:firstLine="0"/>
              <w:rPr>
                <w:sz w:val="18"/>
                <w:szCs w:val="18"/>
              </w:rPr>
            </w:pPr>
            <w:r w:rsidRPr="00B920BA">
              <w:rPr>
                <w:sz w:val="18"/>
                <w:szCs w:val="18"/>
              </w:rPr>
              <w:t>FAOSTAT commodity balances</w:t>
            </w:r>
          </w:p>
        </w:tc>
      </w:tr>
      <w:tr w:rsidR="00985A5B" w14:paraId="72269B0B" w14:textId="77777777" w:rsidTr="00985A5B">
        <w:tc>
          <w:tcPr>
            <w:tcW w:w="1165" w:type="dxa"/>
          </w:tcPr>
          <w:p w14:paraId="7A4859DD" w14:textId="42089B3B" w:rsidR="00985A5B" w:rsidRPr="00B920BA" w:rsidRDefault="00985A5B" w:rsidP="00D906A9">
            <w:pPr>
              <w:ind w:firstLine="0"/>
              <w:jc w:val="left"/>
              <w:rPr>
                <w:b/>
                <w:sz w:val="18"/>
                <w:szCs w:val="18"/>
              </w:rPr>
            </w:pPr>
            <w:r w:rsidRPr="00B920BA">
              <w:rPr>
                <w:b/>
                <w:sz w:val="18"/>
                <w:szCs w:val="18"/>
              </w:rPr>
              <w:t>Household food demand</w:t>
            </w:r>
          </w:p>
        </w:tc>
        <w:tc>
          <w:tcPr>
            <w:tcW w:w="4050" w:type="dxa"/>
          </w:tcPr>
          <w:p w14:paraId="44AC604E" w14:textId="5C621A2D" w:rsidR="00985A5B" w:rsidRPr="008341CA" w:rsidRDefault="00985A5B" w:rsidP="00C739E3">
            <w:pPr>
              <w:ind w:firstLine="0"/>
              <w:jc w:val="left"/>
              <w:rPr>
                <w:sz w:val="18"/>
                <w:szCs w:val="18"/>
              </w:rPr>
            </w:pPr>
            <w:r>
              <w:rPr>
                <w:sz w:val="18"/>
                <w:szCs w:val="18"/>
              </w:rPr>
              <w:t>Represents the demand for, or availability of, food in domestic sector</w:t>
            </w:r>
          </w:p>
        </w:tc>
        <w:tc>
          <w:tcPr>
            <w:tcW w:w="4770" w:type="dxa"/>
          </w:tcPr>
          <w:p w14:paraId="7246E368" w14:textId="4F038991" w:rsidR="00985A5B" w:rsidRPr="008341CA" w:rsidRDefault="00985A5B" w:rsidP="00526395">
            <w:pPr>
              <w:ind w:firstLine="0"/>
              <w:jc w:val="left"/>
              <w:rPr>
                <w:sz w:val="18"/>
                <w:szCs w:val="18"/>
              </w:rPr>
            </w:pPr>
            <w:r w:rsidRPr="00526395">
              <w:rPr>
                <w:sz w:val="18"/>
                <w:szCs w:val="18"/>
              </w:rPr>
              <w:t>Function of the price of the commodity and the prices of other competing commodities, per capita income, and total population.</w:t>
            </w:r>
          </w:p>
        </w:tc>
        <w:tc>
          <w:tcPr>
            <w:tcW w:w="1170" w:type="dxa"/>
          </w:tcPr>
          <w:p w14:paraId="23F77544" w14:textId="13AD168D" w:rsidR="00985A5B" w:rsidRPr="008341CA" w:rsidRDefault="00985A5B" w:rsidP="00D906A9">
            <w:pPr>
              <w:ind w:firstLine="0"/>
              <w:rPr>
                <w:sz w:val="18"/>
                <w:szCs w:val="18"/>
              </w:rPr>
            </w:pPr>
            <w:r w:rsidRPr="008341CA">
              <w:rPr>
                <w:sz w:val="18"/>
                <w:szCs w:val="18"/>
              </w:rPr>
              <w:t>thousand mts</w:t>
            </w:r>
          </w:p>
        </w:tc>
        <w:tc>
          <w:tcPr>
            <w:tcW w:w="1890" w:type="dxa"/>
          </w:tcPr>
          <w:p w14:paraId="675A7EE1" w14:textId="6DE4D994" w:rsidR="00985A5B" w:rsidRPr="00B920BA" w:rsidRDefault="00985A5B" w:rsidP="00D906A9">
            <w:pPr>
              <w:ind w:firstLine="0"/>
              <w:rPr>
                <w:sz w:val="18"/>
                <w:szCs w:val="18"/>
              </w:rPr>
            </w:pPr>
            <w:r w:rsidRPr="00B920BA">
              <w:rPr>
                <w:sz w:val="18"/>
                <w:szCs w:val="18"/>
              </w:rPr>
              <w:t>national</w:t>
            </w:r>
          </w:p>
        </w:tc>
        <w:tc>
          <w:tcPr>
            <w:tcW w:w="1260" w:type="dxa"/>
          </w:tcPr>
          <w:p w14:paraId="32071E92" w14:textId="2288BF04" w:rsidR="00985A5B" w:rsidRPr="00B920BA" w:rsidRDefault="00985A5B" w:rsidP="00502902">
            <w:pPr>
              <w:ind w:firstLine="0"/>
              <w:rPr>
                <w:sz w:val="18"/>
                <w:szCs w:val="18"/>
              </w:rPr>
            </w:pPr>
            <w:r w:rsidRPr="00B920BA">
              <w:rPr>
                <w:sz w:val="18"/>
                <w:szCs w:val="18"/>
              </w:rPr>
              <w:t>FAOSTAT commodity balances</w:t>
            </w:r>
          </w:p>
        </w:tc>
      </w:tr>
      <w:tr w:rsidR="00985A5B" w14:paraId="0D700184" w14:textId="77777777" w:rsidTr="00985A5B">
        <w:tc>
          <w:tcPr>
            <w:tcW w:w="1165" w:type="dxa"/>
          </w:tcPr>
          <w:p w14:paraId="45F09C80" w14:textId="5F5C20E5" w:rsidR="00985A5B" w:rsidRPr="00B920BA" w:rsidRDefault="00985A5B" w:rsidP="00D906A9">
            <w:pPr>
              <w:ind w:firstLine="0"/>
              <w:jc w:val="left"/>
              <w:rPr>
                <w:b/>
                <w:sz w:val="18"/>
                <w:szCs w:val="18"/>
              </w:rPr>
            </w:pPr>
            <w:r w:rsidRPr="00B920BA">
              <w:rPr>
                <w:b/>
                <w:sz w:val="18"/>
                <w:szCs w:val="18"/>
              </w:rPr>
              <w:t>World Price</w:t>
            </w:r>
          </w:p>
        </w:tc>
        <w:tc>
          <w:tcPr>
            <w:tcW w:w="4050" w:type="dxa"/>
          </w:tcPr>
          <w:p w14:paraId="3AB0BF94" w14:textId="3BAE5602" w:rsidR="00985A5B" w:rsidRPr="00526395" w:rsidRDefault="00985A5B" w:rsidP="00526395">
            <w:pPr>
              <w:ind w:firstLine="0"/>
              <w:jc w:val="left"/>
              <w:rPr>
                <w:sz w:val="18"/>
                <w:szCs w:val="18"/>
              </w:rPr>
            </w:pPr>
            <w:r w:rsidRPr="00526395">
              <w:rPr>
                <w:sz w:val="18"/>
                <w:szCs w:val="18"/>
              </w:rPr>
              <w:t>Price at which global production is satisfying global demand</w:t>
            </w:r>
          </w:p>
        </w:tc>
        <w:tc>
          <w:tcPr>
            <w:tcW w:w="4770" w:type="dxa"/>
          </w:tcPr>
          <w:p w14:paraId="1AE1601D" w14:textId="3B17896F" w:rsidR="00985A5B" w:rsidRPr="00526395" w:rsidRDefault="00985A5B" w:rsidP="00526395">
            <w:pPr>
              <w:ind w:firstLine="0"/>
              <w:jc w:val="left"/>
              <w:rPr>
                <w:sz w:val="18"/>
                <w:szCs w:val="18"/>
              </w:rPr>
            </w:pPr>
            <w:r w:rsidRPr="00526395">
              <w:rPr>
                <w:sz w:val="18"/>
                <w:szCs w:val="18"/>
              </w:rPr>
              <w:t>The world price of a commodity is the equilibrating mechanism for traded commodities—when an exogenous shock is introduced in the model, world price will adjust to clear world markets, and each adjustment is passed back to the effective producer and consumer prices via the price transmission equations.</w:t>
            </w:r>
          </w:p>
        </w:tc>
        <w:tc>
          <w:tcPr>
            <w:tcW w:w="1170" w:type="dxa"/>
          </w:tcPr>
          <w:p w14:paraId="29B26BE1" w14:textId="4EB19DE2" w:rsidR="00985A5B" w:rsidRPr="008341CA" w:rsidRDefault="00985A5B" w:rsidP="00D906A9">
            <w:pPr>
              <w:ind w:firstLine="0"/>
              <w:rPr>
                <w:sz w:val="18"/>
                <w:szCs w:val="18"/>
              </w:rPr>
            </w:pPr>
            <w:r>
              <w:rPr>
                <w:sz w:val="18"/>
                <w:szCs w:val="18"/>
              </w:rPr>
              <w:t xml:space="preserve">2005 </w:t>
            </w:r>
            <w:r w:rsidRPr="008341CA">
              <w:rPr>
                <w:sz w:val="18"/>
                <w:szCs w:val="18"/>
              </w:rPr>
              <w:t>USD/mt</w:t>
            </w:r>
          </w:p>
        </w:tc>
        <w:tc>
          <w:tcPr>
            <w:tcW w:w="1890" w:type="dxa"/>
          </w:tcPr>
          <w:p w14:paraId="3CE16BC8" w14:textId="666C973C" w:rsidR="00985A5B" w:rsidRPr="00B920BA" w:rsidRDefault="00985A5B" w:rsidP="00D906A9">
            <w:pPr>
              <w:ind w:firstLine="0"/>
              <w:rPr>
                <w:sz w:val="18"/>
                <w:szCs w:val="18"/>
              </w:rPr>
            </w:pPr>
            <w:r>
              <w:rPr>
                <w:sz w:val="18"/>
                <w:szCs w:val="18"/>
              </w:rPr>
              <w:t>global</w:t>
            </w:r>
          </w:p>
        </w:tc>
        <w:tc>
          <w:tcPr>
            <w:tcW w:w="1260" w:type="dxa"/>
          </w:tcPr>
          <w:p w14:paraId="061F6C34" w14:textId="7314C907" w:rsidR="00985A5B" w:rsidRPr="00B920BA" w:rsidRDefault="00985A5B" w:rsidP="00D906A9">
            <w:pPr>
              <w:ind w:firstLine="0"/>
              <w:rPr>
                <w:sz w:val="18"/>
                <w:szCs w:val="18"/>
              </w:rPr>
            </w:pPr>
            <w:r w:rsidRPr="00B920BA">
              <w:rPr>
                <w:sz w:val="18"/>
                <w:szCs w:val="18"/>
              </w:rPr>
              <w:t>OECD Agricultural Market Access Database</w:t>
            </w:r>
          </w:p>
        </w:tc>
      </w:tr>
      <w:tr w:rsidR="00985A5B" w14:paraId="2A00B326" w14:textId="77777777" w:rsidTr="00985A5B">
        <w:tc>
          <w:tcPr>
            <w:tcW w:w="1165" w:type="dxa"/>
          </w:tcPr>
          <w:p w14:paraId="1CF6EBEA" w14:textId="66A6A10D" w:rsidR="00985A5B" w:rsidRPr="00B920BA" w:rsidRDefault="00985A5B" w:rsidP="00D906A9">
            <w:pPr>
              <w:ind w:firstLine="0"/>
              <w:jc w:val="left"/>
              <w:rPr>
                <w:b/>
                <w:sz w:val="18"/>
                <w:szCs w:val="18"/>
              </w:rPr>
            </w:pPr>
            <w:r w:rsidRPr="00B920BA">
              <w:rPr>
                <w:b/>
                <w:sz w:val="18"/>
                <w:szCs w:val="18"/>
              </w:rPr>
              <w:t>Kilocalories per person</w:t>
            </w:r>
          </w:p>
        </w:tc>
        <w:tc>
          <w:tcPr>
            <w:tcW w:w="4050" w:type="dxa"/>
          </w:tcPr>
          <w:p w14:paraId="47C52402" w14:textId="28B17A52" w:rsidR="00985A5B" w:rsidRPr="008341CA" w:rsidRDefault="00985A5B" w:rsidP="00526395">
            <w:pPr>
              <w:ind w:firstLine="0"/>
              <w:jc w:val="left"/>
              <w:rPr>
                <w:sz w:val="18"/>
                <w:szCs w:val="18"/>
              </w:rPr>
            </w:pPr>
            <w:r>
              <w:rPr>
                <w:sz w:val="18"/>
                <w:szCs w:val="18"/>
              </w:rPr>
              <w:t>Availability of calories per person</w:t>
            </w:r>
          </w:p>
        </w:tc>
        <w:tc>
          <w:tcPr>
            <w:tcW w:w="4770" w:type="dxa"/>
          </w:tcPr>
          <w:p w14:paraId="172E5D04" w14:textId="007CFBF4" w:rsidR="00985A5B" w:rsidRPr="008341CA" w:rsidRDefault="00985A5B" w:rsidP="000E4823">
            <w:pPr>
              <w:ind w:firstLine="0"/>
              <w:jc w:val="left"/>
              <w:rPr>
                <w:sz w:val="18"/>
                <w:szCs w:val="18"/>
              </w:rPr>
            </w:pPr>
            <w:r>
              <w:rPr>
                <w:sz w:val="18"/>
                <w:szCs w:val="18"/>
              </w:rPr>
              <w:t>Derived from the a</w:t>
            </w:r>
            <w:r w:rsidRPr="008341CA">
              <w:rPr>
                <w:sz w:val="18"/>
                <w:szCs w:val="18"/>
              </w:rPr>
              <w:t>mount of calories from commodities in IMPACT</w:t>
            </w:r>
            <w:r>
              <w:rPr>
                <w:sz w:val="18"/>
                <w:szCs w:val="18"/>
              </w:rPr>
              <w:t>.</w:t>
            </w:r>
          </w:p>
        </w:tc>
        <w:tc>
          <w:tcPr>
            <w:tcW w:w="1170" w:type="dxa"/>
          </w:tcPr>
          <w:p w14:paraId="71033CD0" w14:textId="5330EE2F" w:rsidR="00985A5B" w:rsidRPr="008341CA" w:rsidRDefault="00985A5B" w:rsidP="00D906A9">
            <w:pPr>
              <w:ind w:firstLine="0"/>
              <w:rPr>
                <w:sz w:val="18"/>
                <w:szCs w:val="18"/>
              </w:rPr>
            </w:pPr>
            <w:r w:rsidRPr="008341CA">
              <w:rPr>
                <w:sz w:val="18"/>
                <w:szCs w:val="18"/>
              </w:rPr>
              <w:t>Kcal/person/day</w:t>
            </w:r>
          </w:p>
        </w:tc>
        <w:tc>
          <w:tcPr>
            <w:tcW w:w="1890" w:type="dxa"/>
          </w:tcPr>
          <w:p w14:paraId="2440DA78" w14:textId="502619B2" w:rsidR="00985A5B" w:rsidRPr="00B920BA" w:rsidRDefault="00985A5B" w:rsidP="00D906A9">
            <w:pPr>
              <w:ind w:firstLine="0"/>
              <w:rPr>
                <w:sz w:val="18"/>
                <w:szCs w:val="18"/>
              </w:rPr>
            </w:pPr>
            <w:r w:rsidRPr="00B920BA">
              <w:rPr>
                <w:sz w:val="18"/>
                <w:szCs w:val="18"/>
              </w:rPr>
              <w:t>national</w:t>
            </w:r>
          </w:p>
        </w:tc>
        <w:tc>
          <w:tcPr>
            <w:tcW w:w="1260" w:type="dxa"/>
          </w:tcPr>
          <w:p w14:paraId="10FEE174" w14:textId="7F7103CE" w:rsidR="00985A5B" w:rsidRPr="00B920BA" w:rsidRDefault="00985A5B" w:rsidP="00D906A9">
            <w:pPr>
              <w:ind w:firstLine="0"/>
              <w:rPr>
                <w:sz w:val="18"/>
                <w:szCs w:val="18"/>
              </w:rPr>
            </w:pPr>
            <w:r w:rsidRPr="00B920BA">
              <w:rPr>
                <w:sz w:val="18"/>
                <w:szCs w:val="18"/>
              </w:rPr>
              <w:t>FAOSTAT food supply</w:t>
            </w:r>
          </w:p>
        </w:tc>
      </w:tr>
      <w:tr w:rsidR="00985A5B" w14:paraId="2298BB7B" w14:textId="77777777" w:rsidTr="00985A5B">
        <w:tc>
          <w:tcPr>
            <w:tcW w:w="1165" w:type="dxa"/>
          </w:tcPr>
          <w:p w14:paraId="77E5806F" w14:textId="5812C5E2" w:rsidR="00985A5B" w:rsidRPr="00B920BA" w:rsidRDefault="00985A5B" w:rsidP="00D906A9">
            <w:pPr>
              <w:ind w:firstLine="0"/>
              <w:jc w:val="left"/>
              <w:rPr>
                <w:b/>
                <w:sz w:val="18"/>
                <w:szCs w:val="18"/>
              </w:rPr>
            </w:pPr>
            <w:r w:rsidRPr="00B920BA">
              <w:rPr>
                <w:b/>
                <w:sz w:val="18"/>
                <w:szCs w:val="18"/>
              </w:rPr>
              <w:t>Population at risk of hunger</w:t>
            </w:r>
          </w:p>
        </w:tc>
        <w:tc>
          <w:tcPr>
            <w:tcW w:w="4050" w:type="dxa"/>
          </w:tcPr>
          <w:p w14:paraId="3A7D150A" w14:textId="2110C891" w:rsidR="00985A5B" w:rsidRPr="00B920BA" w:rsidRDefault="00985A5B" w:rsidP="00526395">
            <w:pPr>
              <w:ind w:firstLine="0"/>
              <w:jc w:val="left"/>
              <w:rPr>
                <w:sz w:val="18"/>
                <w:szCs w:val="18"/>
              </w:rPr>
            </w:pPr>
            <w:r w:rsidRPr="00B920BA">
              <w:rPr>
                <w:sz w:val="18"/>
                <w:szCs w:val="18"/>
              </w:rPr>
              <w:t>Population at risk of</w:t>
            </w:r>
            <w:r>
              <w:rPr>
                <w:sz w:val="18"/>
                <w:szCs w:val="18"/>
              </w:rPr>
              <w:t xml:space="preserve"> suffering from malnourishment</w:t>
            </w:r>
          </w:p>
        </w:tc>
        <w:tc>
          <w:tcPr>
            <w:tcW w:w="4770" w:type="dxa"/>
          </w:tcPr>
          <w:p w14:paraId="38A2458A" w14:textId="3F048493" w:rsidR="00985A5B" w:rsidRPr="008341CA" w:rsidRDefault="00985A5B" w:rsidP="00B920BA">
            <w:pPr>
              <w:ind w:firstLine="0"/>
              <w:jc w:val="left"/>
              <w:rPr>
                <w:sz w:val="18"/>
                <w:szCs w:val="18"/>
              </w:rPr>
            </w:pPr>
            <w:r>
              <w:rPr>
                <w:sz w:val="18"/>
                <w:szCs w:val="18"/>
              </w:rPr>
              <w:t xml:space="preserve">Calculation </w:t>
            </w:r>
            <w:r w:rsidRPr="00526395">
              <w:rPr>
                <w:sz w:val="18"/>
                <w:szCs w:val="18"/>
              </w:rPr>
              <w:t xml:space="preserve">based on </w:t>
            </w:r>
            <w:r>
              <w:rPr>
                <w:sz w:val="18"/>
                <w:szCs w:val="18"/>
              </w:rPr>
              <w:t>empirical correlation between the share of undernourished within the total population and the relative availability of food.</w:t>
            </w:r>
          </w:p>
        </w:tc>
        <w:tc>
          <w:tcPr>
            <w:tcW w:w="1170" w:type="dxa"/>
          </w:tcPr>
          <w:p w14:paraId="6B9CFE11" w14:textId="68B3110E" w:rsidR="00985A5B" w:rsidRPr="008341CA" w:rsidRDefault="00985A5B" w:rsidP="00D906A9">
            <w:pPr>
              <w:ind w:firstLine="0"/>
              <w:rPr>
                <w:sz w:val="18"/>
                <w:szCs w:val="18"/>
              </w:rPr>
            </w:pPr>
            <w:r w:rsidRPr="008341CA">
              <w:rPr>
                <w:sz w:val="18"/>
                <w:szCs w:val="18"/>
              </w:rPr>
              <w:t>millions</w:t>
            </w:r>
          </w:p>
        </w:tc>
        <w:tc>
          <w:tcPr>
            <w:tcW w:w="1890" w:type="dxa"/>
          </w:tcPr>
          <w:p w14:paraId="00CBBF6D" w14:textId="77777777" w:rsidR="00985A5B" w:rsidRPr="00B920BA" w:rsidRDefault="00985A5B" w:rsidP="00D906A9">
            <w:pPr>
              <w:ind w:firstLine="0"/>
              <w:rPr>
                <w:sz w:val="18"/>
                <w:szCs w:val="18"/>
              </w:rPr>
            </w:pPr>
            <w:r w:rsidRPr="00B920BA">
              <w:rPr>
                <w:sz w:val="18"/>
                <w:szCs w:val="18"/>
              </w:rPr>
              <w:t>national</w:t>
            </w:r>
          </w:p>
        </w:tc>
        <w:tc>
          <w:tcPr>
            <w:tcW w:w="1260" w:type="dxa"/>
          </w:tcPr>
          <w:p w14:paraId="514EB358" w14:textId="72827779" w:rsidR="00985A5B" w:rsidRPr="00B920BA" w:rsidRDefault="00985A5B" w:rsidP="00D906A9">
            <w:pPr>
              <w:ind w:firstLine="0"/>
              <w:rPr>
                <w:sz w:val="18"/>
                <w:szCs w:val="18"/>
              </w:rPr>
            </w:pPr>
            <w:r>
              <w:rPr>
                <w:sz w:val="18"/>
                <w:szCs w:val="18"/>
              </w:rPr>
              <w:t>Calculated, adapted from Fischer et al. 2005</w:t>
            </w:r>
          </w:p>
        </w:tc>
      </w:tr>
    </w:tbl>
    <w:p w14:paraId="107C9EE2" w14:textId="77777777" w:rsidR="00916A7B" w:rsidRPr="00497599" w:rsidRDefault="00497599" w:rsidP="00916A7B">
      <w:pPr>
        <w:ind w:firstLine="0"/>
        <w:rPr>
          <w:b/>
        </w:rPr>
      </w:pPr>
      <w:r w:rsidRPr="00497599">
        <w:rPr>
          <w:b/>
        </w:rPr>
        <w:t>IFPRI Food Data: Maize, Rice, Soy, Wheat from 2005</w:t>
      </w:r>
      <w:r w:rsidR="00916A7B">
        <w:rPr>
          <w:b/>
        </w:rPr>
        <w:t>, 2010-</w:t>
      </w:r>
      <w:r w:rsidRPr="00497599">
        <w:rPr>
          <w:b/>
        </w:rPr>
        <w:t>2050</w:t>
      </w:r>
      <w:r w:rsidR="00916A7B">
        <w:rPr>
          <w:b/>
        </w:rPr>
        <w:t xml:space="preserve"> </w:t>
      </w:r>
      <w:r w:rsidR="00916A7B" w:rsidRPr="00916A7B">
        <w:t>(unless otherwise indicated)</w:t>
      </w:r>
    </w:p>
    <w:p w14:paraId="1C149F93" w14:textId="77777777" w:rsidR="009511DF" w:rsidRDefault="009511DF" w:rsidP="009511DF">
      <w:pPr>
        <w:ind w:firstLine="0"/>
      </w:pPr>
      <w:r>
        <w:t>*SPAM = 10km by 10km grid cell, 2005 only</w:t>
      </w:r>
    </w:p>
    <w:p w14:paraId="02B4749D" w14:textId="46CDD0E3" w:rsidR="00B920BA" w:rsidRPr="006C6358" w:rsidRDefault="009511DF" w:rsidP="009511DF">
      <w:pPr>
        <w:ind w:firstLine="0"/>
      </w:pPr>
      <w:r w:rsidRPr="006C6358">
        <w:rPr>
          <w:vertAlign w:val="superscript"/>
        </w:rPr>
        <w:t>†</w:t>
      </w:r>
      <w:r>
        <w:rPr>
          <w:vertAlign w:val="superscript"/>
        </w:rPr>
        <w:t xml:space="preserve"> </w:t>
      </w:r>
      <w:r>
        <w:t>FPU = food production unit, or water basins within national boundaries (n = 320)</w:t>
      </w:r>
    </w:p>
    <w:p w14:paraId="6E982CF0" w14:textId="77777777" w:rsidR="009511DF" w:rsidRDefault="009511DF" w:rsidP="006C6358">
      <w:pPr>
        <w:ind w:firstLine="0"/>
      </w:pPr>
    </w:p>
    <w:sectPr w:rsidR="009511DF" w:rsidSect="008341CA">
      <w:pgSz w:w="15840" w:h="12240" w:orient="landscape"/>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09A2"/>
    <w:multiLevelType w:val="hybridMultilevel"/>
    <w:tmpl w:val="EF5AF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746CA"/>
    <w:multiLevelType w:val="hybridMultilevel"/>
    <w:tmpl w:val="5296B25E"/>
    <w:lvl w:ilvl="0" w:tplc="B30C5EAC">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27A22462"/>
    <w:multiLevelType w:val="hybridMultilevel"/>
    <w:tmpl w:val="5342691A"/>
    <w:lvl w:ilvl="0" w:tplc="4DC25B06">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F2"/>
    <w:rsid w:val="000073BA"/>
    <w:rsid w:val="0004735B"/>
    <w:rsid w:val="000E4823"/>
    <w:rsid w:val="00196CC4"/>
    <w:rsid w:val="002348F3"/>
    <w:rsid w:val="002A23F0"/>
    <w:rsid w:val="002C24F2"/>
    <w:rsid w:val="003C2424"/>
    <w:rsid w:val="003C5976"/>
    <w:rsid w:val="00417A1B"/>
    <w:rsid w:val="00497599"/>
    <w:rsid w:val="004F3FAB"/>
    <w:rsid w:val="00502902"/>
    <w:rsid w:val="00525468"/>
    <w:rsid w:val="00526395"/>
    <w:rsid w:val="0056691D"/>
    <w:rsid w:val="005A78EC"/>
    <w:rsid w:val="005C2ED8"/>
    <w:rsid w:val="005E4A80"/>
    <w:rsid w:val="006477D1"/>
    <w:rsid w:val="00660903"/>
    <w:rsid w:val="00664BFF"/>
    <w:rsid w:val="0069162D"/>
    <w:rsid w:val="006C6358"/>
    <w:rsid w:val="008341CA"/>
    <w:rsid w:val="008432EF"/>
    <w:rsid w:val="008F1E66"/>
    <w:rsid w:val="00916A7B"/>
    <w:rsid w:val="009511DF"/>
    <w:rsid w:val="0096396F"/>
    <w:rsid w:val="00984054"/>
    <w:rsid w:val="00985A5B"/>
    <w:rsid w:val="009C58B2"/>
    <w:rsid w:val="009E3B13"/>
    <w:rsid w:val="00A069A5"/>
    <w:rsid w:val="00A817F8"/>
    <w:rsid w:val="00A856FA"/>
    <w:rsid w:val="00A965BB"/>
    <w:rsid w:val="00AD69E2"/>
    <w:rsid w:val="00B0186C"/>
    <w:rsid w:val="00B06E87"/>
    <w:rsid w:val="00B920BA"/>
    <w:rsid w:val="00C121C3"/>
    <w:rsid w:val="00C739E3"/>
    <w:rsid w:val="00CA6C80"/>
    <w:rsid w:val="00D3433B"/>
    <w:rsid w:val="00D44F76"/>
    <w:rsid w:val="00D906A9"/>
    <w:rsid w:val="00E4698F"/>
    <w:rsid w:val="00EC35E3"/>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D25A"/>
  <w15:chartTrackingRefBased/>
  <w15:docId w15:val="{FEC31401-D90D-4DFF-801F-53845D07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3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CC4"/>
    <w:rPr>
      <w:sz w:val="20"/>
      <w:szCs w:val="20"/>
    </w:rPr>
  </w:style>
  <w:style w:type="paragraph" w:styleId="Heading1">
    <w:name w:val="heading 1"/>
    <w:basedOn w:val="Normal"/>
    <w:next w:val="Normal"/>
    <w:link w:val="Heading1Char"/>
    <w:uiPriority w:val="9"/>
    <w:qFormat/>
    <w:rsid w:val="00196C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96C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196CC4"/>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96CC4"/>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96CC4"/>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96CC4"/>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6CC4"/>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6CC4"/>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196CC4"/>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C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196CC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96CC4"/>
    <w:rPr>
      <w:caps/>
      <w:color w:val="243F60" w:themeColor="accent1" w:themeShade="7F"/>
      <w:spacing w:val="15"/>
    </w:rPr>
  </w:style>
  <w:style w:type="character" w:customStyle="1" w:styleId="Heading4Char">
    <w:name w:val="Heading 4 Char"/>
    <w:basedOn w:val="DefaultParagraphFont"/>
    <w:link w:val="Heading4"/>
    <w:uiPriority w:val="9"/>
    <w:semiHidden/>
    <w:rsid w:val="00196CC4"/>
    <w:rPr>
      <w:caps/>
      <w:color w:val="365F91" w:themeColor="accent1" w:themeShade="BF"/>
      <w:spacing w:val="10"/>
    </w:rPr>
  </w:style>
  <w:style w:type="character" w:customStyle="1" w:styleId="Heading5Char">
    <w:name w:val="Heading 5 Char"/>
    <w:basedOn w:val="DefaultParagraphFont"/>
    <w:link w:val="Heading5"/>
    <w:uiPriority w:val="9"/>
    <w:semiHidden/>
    <w:rsid w:val="00196CC4"/>
    <w:rPr>
      <w:caps/>
      <w:color w:val="365F91" w:themeColor="accent1" w:themeShade="BF"/>
      <w:spacing w:val="10"/>
    </w:rPr>
  </w:style>
  <w:style w:type="character" w:customStyle="1" w:styleId="Heading6Char">
    <w:name w:val="Heading 6 Char"/>
    <w:basedOn w:val="DefaultParagraphFont"/>
    <w:link w:val="Heading6"/>
    <w:uiPriority w:val="9"/>
    <w:semiHidden/>
    <w:rsid w:val="00196CC4"/>
    <w:rPr>
      <w:caps/>
      <w:color w:val="365F91" w:themeColor="accent1" w:themeShade="BF"/>
      <w:spacing w:val="10"/>
    </w:rPr>
  </w:style>
  <w:style w:type="character" w:customStyle="1" w:styleId="Heading7Char">
    <w:name w:val="Heading 7 Char"/>
    <w:basedOn w:val="DefaultParagraphFont"/>
    <w:link w:val="Heading7"/>
    <w:uiPriority w:val="9"/>
    <w:semiHidden/>
    <w:rsid w:val="00196CC4"/>
    <w:rPr>
      <w:caps/>
      <w:color w:val="365F91" w:themeColor="accent1" w:themeShade="BF"/>
      <w:spacing w:val="10"/>
    </w:rPr>
  </w:style>
  <w:style w:type="character" w:customStyle="1" w:styleId="Heading8Char">
    <w:name w:val="Heading 8 Char"/>
    <w:basedOn w:val="DefaultParagraphFont"/>
    <w:link w:val="Heading8"/>
    <w:uiPriority w:val="9"/>
    <w:semiHidden/>
    <w:rsid w:val="00196CC4"/>
    <w:rPr>
      <w:caps/>
      <w:spacing w:val="10"/>
      <w:sz w:val="18"/>
      <w:szCs w:val="18"/>
    </w:rPr>
  </w:style>
  <w:style w:type="character" w:customStyle="1" w:styleId="Heading9Char">
    <w:name w:val="Heading 9 Char"/>
    <w:basedOn w:val="DefaultParagraphFont"/>
    <w:link w:val="Heading9"/>
    <w:uiPriority w:val="9"/>
    <w:semiHidden/>
    <w:rsid w:val="00196CC4"/>
    <w:rPr>
      <w:i/>
      <w:caps/>
      <w:spacing w:val="10"/>
      <w:sz w:val="18"/>
      <w:szCs w:val="18"/>
    </w:rPr>
  </w:style>
  <w:style w:type="paragraph" w:styleId="Caption">
    <w:name w:val="caption"/>
    <w:basedOn w:val="Normal"/>
    <w:next w:val="Normal"/>
    <w:uiPriority w:val="35"/>
    <w:semiHidden/>
    <w:unhideWhenUsed/>
    <w:qFormat/>
    <w:rsid w:val="00196CC4"/>
    <w:rPr>
      <w:b/>
      <w:bCs/>
      <w:color w:val="365F91" w:themeColor="accent1" w:themeShade="BF"/>
      <w:sz w:val="16"/>
      <w:szCs w:val="16"/>
    </w:rPr>
  </w:style>
  <w:style w:type="paragraph" w:styleId="Title">
    <w:name w:val="Title"/>
    <w:basedOn w:val="Normal"/>
    <w:next w:val="Normal"/>
    <w:link w:val="TitleChar"/>
    <w:uiPriority w:val="10"/>
    <w:qFormat/>
    <w:rsid w:val="00196CC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96CC4"/>
    <w:rPr>
      <w:caps/>
      <w:color w:val="4F81BD" w:themeColor="accent1"/>
      <w:spacing w:val="10"/>
      <w:kern w:val="28"/>
      <w:sz w:val="52"/>
      <w:szCs w:val="52"/>
    </w:rPr>
  </w:style>
  <w:style w:type="paragraph" w:styleId="Subtitle">
    <w:name w:val="Subtitle"/>
    <w:basedOn w:val="Normal"/>
    <w:next w:val="Normal"/>
    <w:link w:val="SubtitleChar"/>
    <w:uiPriority w:val="11"/>
    <w:qFormat/>
    <w:rsid w:val="00196CC4"/>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6CC4"/>
    <w:rPr>
      <w:caps/>
      <w:color w:val="595959" w:themeColor="text1" w:themeTint="A6"/>
      <w:spacing w:val="10"/>
      <w:sz w:val="24"/>
      <w:szCs w:val="24"/>
    </w:rPr>
  </w:style>
  <w:style w:type="character" w:styleId="Strong">
    <w:name w:val="Strong"/>
    <w:uiPriority w:val="22"/>
    <w:qFormat/>
    <w:rsid w:val="00196CC4"/>
    <w:rPr>
      <w:b/>
      <w:bCs/>
    </w:rPr>
  </w:style>
  <w:style w:type="character" w:styleId="Emphasis">
    <w:name w:val="Emphasis"/>
    <w:uiPriority w:val="20"/>
    <w:qFormat/>
    <w:rsid w:val="00196CC4"/>
    <w:rPr>
      <w:caps/>
      <w:color w:val="243F60" w:themeColor="accent1" w:themeShade="7F"/>
      <w:spacing w:val="5"/>
    </w:rPr>
  </w:style>
  <w:style w:type="paragraph" w:styleId="NoSpacing">
    <w:name w:val="No Spacing"/>
    <w:basedOn w:val="Normal"/>
    <w:link w:val="NoSpacingChar"/>
    <w:uiPriority w:val="1"/>
    <w:qFormat/>
    <w:rsid w:val="00196CC4"/>
  </w:style>
  <w:style w:type="character" w:customStyle="1" w:styleId="NoSpacingChar">
    <w:name w:val="No Spacing Char"/>
    <w:basedOn w:val="DefaultParagraphFont"/>
    <w:link w:val="NoSpacing"/>
    <w:uiPriority w:val="1"/>
    <w:rsid w:val="00196CC4"/>
    <w:rPr>
      <w:sz w:val="20"/>
      <w:szCs w:val="20"/>
    </w:rPr>
  </w:style>
  <w:style w:type="paragraph" w:styleId="ListParagraph">
    <w:name w:val="List Paragraph"/>
    <w:basedOn w:val="Normal"/>
    <w:uiPriority w:val="34"/>
    <w:qFormat/>
    <w:rsid w:val="00196CC4"/>
    <w:pPr>
      <w:ind w:left="720"/>
      <w:contextualSpacing/>
    </w:pPr>
  </w:style>
  <w:style w:type="paragraph" w:styleId="Quote">
    <w:name w:val="Quote"/>
    <w:basedOn w:val="Normal"/>
    <w:next w:val="Normal"/>
    <w:link w:val="QuoteChar"/>
    <w:uiPriority w:val="29"/>
    <w:qFormat/>
    <w:rsid w:val="00196CC4"/>
    <w:rPr>
      <w:i/>
      <w:iCs/>
    </w:rPr>
  </w:style>
  <w:style w:type="character" w:customStyle="1" w:styleId="QuoteChar">
    <w:name w:val="Quote Char"/>
    <w:basedOn w:val="DefaultParagraphFont"/>
    <w:link w:val="Quote"/>
    <w:uiPriority w:val="29"/>
    <w:rsid w:val="00196CC4"/>
    <w:rPr>
      <w:i/>
      <w:iCs/>
      <w:sz w:val="20"/>
      <w:szCs w:val="20"/>
    </w:rPr>
  </w:style>
  <w:style w:type="paragraph" w:styleId="IntenseQuote">
    <w:name w:val="Intense Quote"/>
    <w:basedOn w:val="Normal"/>
    <w:next w:val="Normal"/>
    <w:link w:val="IntenseQuoteChar"/>
    <w:uiPriority w:val="30"/>
    <w:qFormat/>
    <w:rsid w:val="00196CC4"/>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IntenseQuoteChar">
    <w:name w:val="Intense Quote Char"/>
    <w:basedOn w:val="DefaultParagraphFont"/>
    <w:link w:val="IntenseQuote"/>
    <w:uiPriority w:val="30"/>
    <w:rsid w:val="00196CC4"/>
    <w:rPr>
      <w:i/>
      <w:iCs/>
      <w:color w:val="4F81BD" w:themeColor="accent1"/>
      <w:sz w:val="20"/>
      <w:szCs w:val="20"/>
    </w:rPr>
  </w:style>
  <w:style w:type="character" w:styleId="SubtleEmphasis">
    <w:name w:val="Subtle Emphasis"/>
    <w:uiPriority w:val="19"/>
    <w:qFormat/>
    <w:rsid w:val="00196CC4"/>
    <w:rPr>
      <w:i/>
      <w:iCs/>
      <w:color w:val="243F60" w:themeColor="accent1" w:themeShade="7F"/>
    </w:rPr>
  </w:style>
  <w:style w:type="character" w:styleId="IntenseEmphasis">
    <w:name w:val="Intense Emphasis"/>
    <w:uiPriority w:val="21"/>
    <w:qFormat/>
    <w:rsid w:val="00196CC4"/>
    <w:rPr>
      <w:b/>
      <w:bCs/>
      <w:caps/>
      <w:color w:val="243F60" w:themeColor="accent1" w:themeShade="7F"/>
      <w:spacing w:val="10"/>
    </w:rPr>
  </w:style>
  <w:style w:type="character" w:styleId="SubtleReference">
    <w:name w:val="Subtle Reference"/>
    <w:uiPriority w:val="31"/>
    <w:qFormat/>
    <w:rsid w:val="00196CC4"/>
    <w:rPr>
      <w:b/>
      <w:bCs/>
      <w:color w:val="4F81BD" w:themeColor="accent1"/>
    </w:rPr>
  </w:style>
  <w:style w:type="character" w:styleId="IntenseReference">
    <w:name w:val="Intense Reference"/>
    <w:uiPriority w:val="32"/>
    <w:qFormat/>
    <w:rsid w:val="00196CC4"/>
    <w:rPr>
      <w:b/>
      <w:bCs/>
      <w:i/>
      <w:iCs/>
      <w:caps/>
      <w:color w:val="4F81BD" w:themeColor="accent1"/>
    </w:rPr>
  </w:style>
  <w:style w:type="character" w:styleId="BookTitle">
    <w:name w:val="Book Title"/>
    <w:uiPriority w:val="33"/>
    <w:qFormat/>
    <w:rsid w:val="00196CC4"/>
    <w:rPr>
      <w:b/>
      <w:bCs/>
      <w:i/>
      <w:iCs/>
      <w:spacing w:val="9"/>
    </w:rPr>
  </w:style>
  <w:style w:type="paragraph" w:styleId="TOCHeading">
    <w:name w:val="TOC Heading"/>
    <w:basedOn w:val="Heading1"/>
    <w:next w:val="Normal"/>
    <w:uiPriority w:val="39"/>
    <w:semiHidden/>
    <w:unhideWhenUsed/>
    <w:qFormat/>
    <w:rsid w:val="00196CC4"/>
    <w:pPr>
      <w:outlineLvl w:val="9"/>
    </w:pPr>
    <w:rPr>
      <w:lang w:bidi="en-US"/>
    </w:rPr>
  </w:style>
  <w:style w:type="table" w:styleId="TableGrid">
    <w:name w:val="Table Grid"/>
    <w:basedOn w:val="TableNormal"/>
    <w:uiPriority w:val="59"/>
    <w:rsid w:val="002C2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65BB"/>
    <w:rPr>
      <w:sz w:val="16"/>
      <w:szCs w:val="16"/>
    </w:rPr>
  </w:style>
  <w:style w:type="paragraph" w:styleId="CommentText">
    <w:name w:val="annotation text"/>
    <w:basedOn w:val="Normal"/>
    <w:link w:val="CommentTextChar"/>
    <w:uiPriority w:val="99"/>
    <w:semiHidden/>
    <w:unhideWhenUsed/>
    <w:rsid w:val="00A965BB"/>
  </w:style>
  <w:style w:type="character" w:customStyle="1" w:styleId="CommentTextChar">
    <w:name w:val="Comment Text Char"/>
    <w:basedOn w:val="DefaultParagraphFont"/>
    <w:link w:val="CommentText"/>
    <w:uiPriority w:val="99"/>
    <w:semiHidden/>
    <w:rsid w:val="00A965BB"/>
    <w:rPr>
      <w:sz w:val="20"/>
      <w:szCs w:val="20"/>
    </w:rPr>
  </w:style>
  <w:style w:type="paragraph" w:styleId="CommentSubject">
    <w:name w:val="annotation subject"/>
    <w:basedOn w:val="CommentText"/>
    <w:next w:val="CommentText"/>
    <w:link w:val="CommentSubjectChar"/>
    <w:uiPriority w:val="99"/>
    <w:semiHidden/>
    <w:unhideWhenUsed/>
    <w:rsid w:val="00A965BB"/>
    <w:rPr>
      <w:b/>
      <w:bCs/>
    </w:rPr>
  </w:style>
  <w:style w:type="character" w:customStyle="1" w:styleId="CommentSubjectChar">
    <w:name w:val="Comment Subject Char"/>
    <w:basedOn w:val="CommentTextChar"/>
    <w:link w:val="CommentSubject"/>
    <w:uiPriority w:val="99"/>
    <w:semiHidden/>
    <w:rsid w:val="00A965BB"/>
    <w:rPr>
      <w:b/>
      <w:bCs/>
      <w:sz w:val="20"/>
      <w:szCs w:val="20"/>
    </w:rPr>
  </w:style>
  <w:style w:type="paragraph" w:styleId="BalloonText">
    <w:name w:val="Balloon Text"/>
    <w:basedOn w:val="Normal"/>
    <w:link w:val="BalloonTextChar"/>
    <w:uiPriority w:val="99"/>
    <w:semiHidden/>
    <w:unhideWhenUsed/>
    <w:rsid w:val="00A965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5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2</cp:revision>
  <dcterms:created xsi:type="dcterms:W3CDTF">2016-08-05T13:56:00Z</dcterms:created>
  <dcterms:modified xsi:type="dcterms:W3CDTF">2016-08-05T13:56:00Z</dcterms:modified>
</cp:coreProperties>
</file>