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SovScan</w:t>
      </w:r>
    </w:p>
    <w:p>
      <w:r>
        <w:t>Bestuurlijke Samenvatting</w:t>
      </w:r>
    </w:p>
    <w:p>
      <w:r>
        <w:t>Versie: 1.0</w:t>
      </w:r>
    </w:p>
    <w:p>
      <w:r>
        <w:t>Datum: 15 juni 2026</w:t>
      </w:r>
    </w:p>
    <w:p>
      <w:r>
        <w:t>Doel: besluitvorming over digitale soevereiniteit versnellen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SovScan is een praktisch besluitvormingsinstrument voor digitale soevereiniteit. De tool ondersteunt zowel strategische keuzes voor nieuwe initiatieven (Scenario Assessment) als de feitelijke beoordeling van bestaande systemen (Soevereiniteitsaudit).</w:t>
      </w:r>
    </w:p>
    <w:p>
      <w:r>
        <w:t>Als basis levert SovScan een SEAL-level inventarisatie op, waarmee bestuur en teams een eenduidig startbeeld krijgen van volwassenheid, risico's en verbeterprioriteiten.</w:t>
      </w:r>
    </w:p>
    <w:p>
      <w:r>
        <w:t>Bestuurlijke waarde:</w:t>
      </w:r>
    </w:p>
    <w:p>
      <w:pPr>
        <w:pStyle w:val="ListBullet"/>
      </w:pPr>
      <w:r>
        <w:t>Sneller en consistenter besluit over hosting- en governance-opties.</w:t>
      </w:r>
    </w:p>
    <w:p>
      <w:pPr>
        <w:pStyle w:val="ListBullet"/>
      </w:pPr>
      <w:r>
        <w:t>Eenduidige score-uitkomsten met onderbouwing per dimensie.</w:t>
      </w:r>
    </w:p>
    <w:p>
      <w:pPr>
        <w:pStyle w:val="ListBullet"/>
      </w:pPr>
      <w:r>
        <w:t>SEAL-level inventarisatie als objectieve nulmeting voor sturing en periodieke herijking.</w:t>
      </w:r>
    </w:p>
    <w:p>
      <w:pPr>
        <w:pStyle w:val="ListBullet"/>
      </w:pPr>
      <w:r>
        <w:t>Inzicht in risico's zoals vendor lock-in, compliance en operationele afhankelijkheid.</w:t>
      </w:r>
    </w:p>
    <w:p>
      <w:pPr>
        <w:pStyle w:val="ListBullet"/>
      </w:pPr>
      <w:r>
        <w:t>Geschikt voor interne sturing en externe verantwoording.</w:t>
      </w:r>
    </w:p>
    <w:p>
      <w:pPr>
        <w:pStyle w:val="Heading1"/>
      </w:pPr>
      <w:r>
        <w:t>2. Scope en Gebruik in 4 Stappen</w:t>
      </w:r>
    </w:p>
    <w:p>
      <w:pPr>
        <w:pStyle w:val="ListNumber"/>
      </w:pPr>
      <w:r>
        <w:t>Inloggen en statuscheck (API/DB).</w:t>
      </w:r>
    </w:p>
    <w:p>
      <w:pPr>
        <w:pStyle w:val="ListNumber"/>
      </w:pPr>
      <w:r>
        <w:t>Kiezen van module: Scenario Assessment of Soevereiniteitsaudit.</w:t>
      </w:r>
    </w:p>
    <w:p>
      <w:pPr>
        <w:pStyle w:val="ListNumber"/>
      </w:pPr>
      <w:r>
        <w:t>Invullen van vragen/beoordelingen door proceseigenaar of expertteam.</w:t>
      </w:r>
    </w:p>
    <w:p>
      <w:pPr>
        <w:pStyle w:val="ListNumber"/>
      </w:pPr>
      <w:r>
        <w:t>Bespreken van uitkomst, maatregelen en vervolgstappen in governance-overleg.</w:t>
      </w:r>
    </w:p>
    <w:p>
      <w:pPr>
        <w:pStyle w:val="Heading1"/>
      </w:pPr>
      <w:r>
        <w:t>3. Resultaatbeeld voor Bestuur en MT</w:t>
      </w:r>
    </w:p>
    <w:p>
      <w:r>
        <w:t>De rapportage levert een compact besluitbeeld op met scorekaart, adviestekst en prioriteiten. Voor de audit wordt dit visueel ondersteund met een radar/spinnenweb over meerdere dimensies.</w:t>
      </w:r>
    </w:p>
    <w:p>
      <w:r>
        <w:t>Typische besluitvragen die met SovScan worden ondersteund:</w:t>
      </w:r>
    </w:p>
    <w:p>
      <w:pPr>
        <w:pStyle w:val="ListBullet"/>
      </w:pPr>
      <w:r>
        <w:t>Welk scenario past het best bij risicoprofiel en regie-ambitie?</w:t>
      </w:r>
    </w:p>
    <w:p>
      <w:pPr>
        <w:pStyle w:val="ListBullet"/>
      </w:pPr>
      <w:r>
        <w:t>Welke dimensies vereisen direct mitigerende maatregelen?</w:t>
      </w:r>
    </w:p>
    <w:p>
      <w:pPr>
        <w:pStyle w:val="ListBullet"/>
      </w:pPr>
      <w:r>
        <w:t>Waar is afhankelijkheid van leveranciers te groot?</w:t>
      </w:r>
    </w:p>
    <w:p>
      <w:pPr>
        <w:pStyle w:val="ListBullet"/>
      </w:pPr>
      <w:r>
        <w:t>Welke roadmapstappen zijn nodig om compliance en controle te verbeteren?</w:t>
      </w:r>
    </w:p>
    <w:p>
      <w:pPr>
        <w:pStyle w:val="Heading1"/>
      </w:pPr>
      <w:r>
        <w:t>4. Kernscreenshots</w:t>
      </w:r>
    </w:p>
    <w:p>
      <w:r>
        <w:rPr>
          <w:b/>
        </w:rPr>
        <w:t>4.1 Dashboard-overzicht</w:t>
      </w:r>
    </w:p>
    <w:p>
      <w:r>
        <w:drawing>
          <wp:inline xmlns:a="http://schemas.openxmlformats.org/drawingml/2006/main" xmlns:pic="http://schemas.openxmlformats.org/drawingml/2006/picture">
            <wp:extent cx="5669280" cy="39110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shboard_cropp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110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Startpunt met de drie bestuurlijk relevante modules.</w:t>
      </w:r>
    </w:p>
    <w:p/>
    <w:p>
      <w:r>
        <w:rPr>
          <w:b/>
        </w:rPr>
        <w:t>4.2 Auditresultaat met spinnenweb</w:t>
      </w:r>
    </w:p>
    <w:p>
      <w:r>
        <w:drawing>
          <wp:inline xmlns:a="http://schemas.openxmlformats.org/drawingml/2006/main" xmlns:pic="http://schemas.openxmlformats.org/drawingml/2006/picture">
            <wp:extent cx="5669280" cy="41044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udit-result-spinnenweb_cropp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04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Visuele managementsamenvatting per soevereiniteitsdimensie.</w:t>
      </w:r>
    </w:p>
    <w:p/>
    <w:p>
      <w:r>
        <w:rPr>
          <w:b/>
        </w:rPr>
        <w:t>4.3 Scenario-scan resultaat</w:t>
      </w:r>
    </w:p>
    <w:p>
      <w:r>
        <w:drawing>
          <wp:inline xmlns:a="http://schemas.openxmlformats.org/drawingml/2006/main" xmlns:pic="http://schemas.openxmlformats.org/drawingml/2006/picture">
            <wp:extent cx="5669280" cy="39110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scan-resultaat_cropp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110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Scores per scenario met advies voor de voorkeursrichting.</w:t>
      </w:r>
    </w:p>
    <w:p/>
    <w:p>
      <w:pPr>
        <w:pStyle w:val="Heading1"/>
      </w:pPr>
      <w:r>
        <w:t>5. Bestuurlijke Aandachtspunten</w:t>
      </w:r>
    </w:p>
    <w:p>
      <w:pPr>
        <w:pStyle w:val="ListBullet"/>
      </w:pPr>
      <w:r>
        <w:t>Leg normenkader en besluitcriteria vooraf vast (bijv. AVG, BIO, NIS2, AI Act).</w:t>
      </w:r>
    </w:p>
    <w:p>
      <w:pPr>
        <w:pStyle w:val="ListBullet"/>
      </w:pPr>
      <w:r>
        <w:t>Gebruik periodieke herbeoordeling om voortgang op soevereiniteit te monitoren.</w:t>
      </w:r>
    </w:p>
    <w:p>
      <w:pPr>
        <w:pStyle w:val="ListBullet"/>
      </w:pPr>
      <w:r>
        <w:t>Koppel uitkomsten aan portfolio- en investeringsbesluiten.</w:t>
      </w:r>
    </w:p>
    <w:p>
      <w:pPr>
        <w:pStyle w:val="ListBullet"/>
      </w:pPr>
      <w:r>
        <w:t>Borg eigenaarschap per dimensie (security, data, compliance, operatie).</w:t>
      </w:r>
    </w:p>
    <w:p>
      <w:pPr>
        <w:pStyle w:val="Heading1"/>
      </w:pPr>
      <w:r>
        <w:t>6. Deployment URL's (huidige omgeving)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Onderdeel</w:t>
            </w:r>
          </w:p>
        </w:tc>
        <w:tc>
          <w:tcPr>
            <w:tcW w:type="dxa" w:w="4320"/>
          </w:tcPr>
          <w:p>
            <w:r>
              <w:t>URL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https://sovscan-frontend.azurewebsites.net/</w:t>
            </w:r>
          </w:p>
        </w:tc>
      </w:tr>
      <w:tr>
        <w:tc>
          <w:tcPr>
            <w:tcW w:type="dxa" w:w="4320"/>
          </w:tcPr>
          <w:p>
            <w:r>
              <w:t>Backend API</w:t>
            </w:r>
          </w:p>
        </w:tc>
        <w:tc>
          <w:tcPr>
            <w:tcW w:type="dxa" w:w="4320"/>
          </w:tcPr>
          <w:p>
            <w:r>
              <w:t>https://sovscan-frontend.azurewebsites.net/api</w:t>
            </w:r>
          </w:p>
        </w:tc>
      </w:tr>
      <w:tr>
        <w:tc>
          <w:tcPr>
            <w:tcW w:type="dxa" w:w="4320"/>
          </w:tcPr>
          <w:p>
            <w:r>
              <w:t>Healthcheck</w:t>
            </w:r>
          </w:p>
        </w:tc>
        <w:tc>
          <w:tcPr>
            <w:tcW w:type="dxa" w:w="4320"/>
          </w:tcPr>
          <w:p>
            <w:r>
              <w:t>https://sovscan-frontend.azurewebsites.net/health</w:t>
            </w:r>
          </w:p>
        </w:tc>
      </w:tr>
    </w:tbl>
    <w:p>
      <w:r>
        <w:t>Noot: vervang localhost-URL's met de formele productie-URL's bij vrijgave.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