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SovScan</w:t>
      </w:r>
    </w:p>
    <w:p>
      <w:r>
        <w:t>Gebruikershandleiding</w:t>
      </w:r>
    </w:p>
    <w:p>
      <w:r>
        <w:t>Versie: 1.0</w:t>
      </w:r>
    </w:p>
    <w:p>
      <w:r>
        <w:t>Datum: 15 juni 2026</w:t>
      </w:r>
    </w:p>
    <w:p>
      <w:r>
        <w:t>Doelgroep: Eindgebruikers, projectleiders en beheerders</w:t>
      </w:r>
    </w:p>
    <w:p>
      <w:r>
        <w:br w:type="page"/>
      </w:r>
    </w:p>
    <w:p>
      <w:pPr>
        <w:pStyle w:val="Heading1"/>
      </w:pPr>
      <w:r>
        <w:t>1. Introductie</w:t>
      </w:r>
    </w:p>
    <w:p>
      <w:r>
        <w:t>SovScan is een Deloitte-tool waarmee organisaties digitale soevereiniteit kunnen beoordelen. De tool bevat twee onderdelen: (1) Scenario Assessment voor nieuwe initiatieven en (2) Soevereiniteitsaudit voor bestaande systemen.</w:t>
      </w:r>
    </w:p>
    <w:p>
      <w:r>
        <w:t>De toepassing ondersteunt daarnaast een SEAL-level inventarisatie als gestructureerde nulmeting, zodat organisaties een gemeenschappelijke taal krijgen voor volwassenheid, risico's en prioriteiten.</w:t>
      </w:r>
    </w:p>
    <w:p>
      <w:pPr>
        <w:pStyle w:val="Heading1"/>
      </w:pPr>
      <w:r>
        <w:t>2. Wat doet de tool?</w:t>
      </w:r>
    </w:p>
    <w:p>
      <w:r>
        <w:t>Met SovScan kunt u:</w:t>
      </w:r>
    </w:p>
    <w:p>
      <w:pPr>
        <w:pStyle w:val="ListBullet"/>
      </w:pPr>
      <w:r>
        <w:t>de geschiktheid van vier hosting-scenario's vergelijken: On-Premise, OP Partner, EU Cloud en Hyperscaler;</w:t>
      </w:r>
    </w:p>
    <w:p>
      <w:pPr>
        <w:pStyle w:val="ListBullet"/>
      </w:pPr>
      <w:r>
        <w:t>de soevereiniteit van een bestaand systeem scoren op 7 dimensies;</w:t>
      </w:r>
    </w:p>
    <w:p>
      <w:pPr>
        <w:pStyle w:val="ListBullet"/>
      </w:pPr>
      <w:r>
        <w:t>een SEAL-level inventarisatie uitvoeren om het huidige volwassenheidsniveau expliciet vast te leggen;</w:t>
      </w:r>
    </w:p>
    <w:p>
      <w:pPr>
        <w:pStyle w:val="ListBullet"/>
      </w:pPr>
      <w:r>
        <w:t>rapportages en resultaten gebruiken als input voor besluitvorming;</w:t>
      </w:r>
    </w:p>
    <w:p>
      <w:pPr>
        <w:pStyle w:val="ListBullet"/>
      </w:pPr>
      <w:r>
        <w:t>externe partijen via uitnodigingslinks laten meewerken zonder login-account.</w:t>
      </w:r>
    </w:p>
    <w:p>
      <w:pPr>
        <w:pStyle w:val="Heading1"/>
      </w:pPr>
      <w:r>
        <w:t>3. Deployment URL's</w:t>
      </w:r>
    </w:p>
    <w:p>
      <w:r>
        <w:t>Toegangspunten in deze omgeving: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Onderdeel</w:t>
            </w:r>
          </w:p>
        </w:tc>
        <w:tc>
          <w:tcPr>
            <w:tcW w:type="dxa" w:w="4320"/>
          </w:tcPr>
          <w:p>
            <w:r>
              <w:t>URL</w:t>
            </w:r>
          </w:p>
        </w:tc>
      </w:tr>
      <w:tr>
        <w:tc>
          <w:tcPr>
            <w:tcW w:type="dxa" w:w="4320"/>
          </w:tcPr>
          <w:p>
            <w:r>
              <w:t>Frontend (app)</w:t>
            </w:r>
          </w:p>
        </w:tc>
        <w:tc>
          <w:tcPr>
            <w:tcW w:type="dxa" w:w="4320"/>
          </w:tcPr>
          <w:p>
            <w:r>
              <w:t>https://sovscan-frontend.azurewebsites.net/</w:t>
            </w:r>
          </w:p>
        </w:tc>
      </w:tr>
      <w:tr>
        <w:tc>
          <w:tcPr>
            <w:tcW w:type="dxa" w:w="4320"/>
          </w:tcPr>
          <w:p>
            <w:r>
              <w:t>Backend API (base)</w:t>
            </w:r>
          </w:p>
        </w:tc>
        <w:tc>
          <w:tcPr>
            <w:tcW w:type="dxa" w:w="4320"/>
          </w:tcPr>
          <w:p>
            <w:r>
              <w:t>https://sovscan-frontend.azurewebsites.net/api</w:t>
            </w:r>
          </w:p>
        </w:tc>
      </w:tr>
      <w:tr>
        <w:tc>
          <w:tcPr>
            <w:tcW w:type="dxa" w:w="4320"/>
          </w:tcPr>
          <w:p>
            <w:r>
              <w:t>Backend health</w:t>
            </w:r>
          </w:p>
        </w:tc>
        <w:tc>
          <w:tcPr>
            <w:tcW w:type="dxa" w:w="4320"/>
          </w:tcPr>
          <w:p>
            <w:r>
              <w:t>https://sovscan-frontend.azurewebsites.net/health</w:t>
            </w:r>
          </w:p>
        </w:tc>
      </w:tr>
    </w:tbl>
    <w:p>
      <w:r>
        <w:t>Voor productie: vervang bovenstaande localhost-URL's door de formele deployment-URL van de omgeving.</w:t>
      </w:r>
    </w:p>
    <w:p>
      <w:pPr>
        <w:pStyle w:val="Heading1"/>
      </w:pPr>
      <w:r>
        <w:t>4. Inloggen en Rollen</w:t>
      </w:r>
    </w:p>
    <w:p>
      <w:r>
        <w:t>Standaardaccounts in deze omgeving: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Gebruikersnaam</w:t>
            </w:r>
          </w:p>
        </w:tc>
        <w:tc>
          <w:tcPr>
            <w:tcW w:type="dxa" w:w="2880"/>
          </w:tcPr>
          <w:p>
            <w:r>
              <w:t>Wachtwoord</w:t>
            </w:r>
          </w:p>
        </w:tc>
        <w:tc>
          <w:tcPr>
            <w:tcW w:type="dxa" w:w="2880"/>
          </w:tcPr>
          <w:p>
            <w:r>
              <w:t>Rol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admin123</w:t>
            </w:r>
          </w:p>
        </w:tc>
        <w:tc>
          <w:tcPr>
            <w:tcW w:type="dxa" w:w="2880"/>
          </w:tcPr>
          <w:p>
            <w:r>
              <w:t>User (eindgebruiker)</w:t>
            </w:r>
          </w:p>
        </w:tc>
      </w:tr>
      <w:tr>
        <w:tc>
          <w:tcPr>
            <w:tcW w:type="dxa" w:w="2880"/>
          </w:tcPr>
          <w:p>
            <w:r>
              <w:t>sovadmin</w:t>
            </w:r>
          </w:p>
        </w:tc>
        <w:tc>
          <w:tcPr>
            <w:tcW w:type="dxa" w:w="2880"/>
          </w:tcPr>
          <w:p>
            <w:r>
              <w:t>sovadmin123</w:t>
            </w:r>
          </w:p>
        </w:tc>
        <w:tc>
          <w:tcPr>
            <w:tcW w:type="dxa" w:w="2880"/>
          </w:tcPr>
          <w:p>
            <w:r>
              <w:t>Admin (beheerder)</w:t>
            </w:r>
          </w:p>
        </w:tc>
      </w:tr>
    </w:tbl>
    <w:p>
      <w:r>
        <w:t>Let op: in productie moeten deze standaardwachtwoorden direct worden vervangen door sterke, unieke wachtwoorden.</w:t>
      </w:r>
    </w:p>
    <w:p>
      <w:pPr>
        <w:pStyle w:val="Heading1"/>
      </w:pPr>
      <w:r>
        <w:t>5. Werking Stap Voor Stap</w:t>
      </w:r>
    </w:p>
    <w:p>
      <w:pPr>
        <w:pStyle w:val="ListNumber"/>
      </w:pPr>
      <w:r>
        <w:t>Stap 1 - Inloggen</w:t>
      </w:r>
    </w:p>
    <w:p>
      <w:r>
        <w:t>Gebruiker logt in via het login-scherm en ziet direct de status van API en database.</w:t>
      </w:r>
    </w:p>
    <w:p>
      <w:pPr>
        <w:pStyle w:val="ListNumber"/>
      </w:pPr>
      <w:r>
        <w:t>Stap 2 - Dashboard</w:t>
      </w:r>
    </w:p>
    <w:p>
      <w:r>
        <w:t>Na inloggen kiest de gebruiker tussen Scenario Assessment, Soevereiniteitsaudit of Externe Uitnodiging.</w:t>
      </w:r>
    </w:p>
    <w:p>
      <w:pPr>
        <w:pStyle w:val="ListNumber"/>
      </w:pPr>
      <w:r>
        <w:t>Stap 3 - Scenario Assessment</w:t>
      </w:r>
    </w:p>
    <w:p>
      <w:r>
        <w:t>Gebruiker start een nieuwe analyse, vult projectnaam in en beantwoordt de vragenlijst.</w:t>
      </w:r>
    </w:p>
    <w:p>
      <w:pPr>
        <w:pStyle w:val="ListNumber"/>
      </w:pPr>
      <w:r>
        <w:t>Stap 4 - Soevereiniteitsaudit</w:t>
      </w:r>
    </w:p>
    <w:p>
      <w:r>
        <w:t>Gebruiker beoordeelt een bestaand systeem op meerdere dimensies en krijgt een totaalscore.</w:t>
      </w:r>
    </w:p>
    <w:p>
      <w:pPr>
        <w:pStyle w:val="ListNumber"/>
      </w:pPr>
      <w:r>
        <w:t>Stap 5 - Externe Uitnodigingen</w:t>
      </w:r>
    </w:p>
    <w:p>
      <w:r>
        <w:t>Gebruiker maakt een unieke invite-link aan voor een externe respondent zonder intern account.</w:t>
      </w:r>
    </w:p>
    <w:p>
      <w:pPr>
        <w:pStyle w:val="Heading1"/>
      </w:pPr>
      <w:r>
        <w:t>6. Resultaat voor de Eindgebruiker</w:t>
      </w:r>
    </w:p>
    <w:p>
      <w:r>
        <w:t>De tool levert de volgende waarde op voor de eindgebruiker:</w:t>
      </w:r>
    </w:p>
    <w:p>
      <w:pPr>
        <w:pStyle w:val="ListBullet"/>
      </w:pPr>
      <w:r>
        <w:t>Heldere, kwantitatieve score per scenario/dimensie;</w:t>
      </w:r>
    </w:p>
    <w:p>
      <w:pPr>
        <w:pStyle w:val="ListBullet"/>
      </w:pPr>
      <w:r>
        <w:t>Sneller besluitvormingstraject rondom cloud- en soevereiniteitskeuzes;</w:t>
      </w:r>
    </w:p>
    <w:p>
      <w:pPr>
        <w:pStyle w:val="ListBullet"/>
      </w:pPr>
      <w:r>
        <w:t>Inzicht in risico's zoals vendor lock-in, compliance en operationele afhankelijkheid;</w:t>
      </w:r>
    </w:p>
    <w:p>
      <w:pPr>
        <w:pStyle w:val="ListBullet"/>
      </w:pPr>
      <w:r>
        <w:t>Eenvoudige export/rapportage (print/PDF) voor interne en externe stakeholders.</w:t>
      </w:r>
    </w:p>
    <w:p>
      <w:pPr>
        <w:pStyle w:val="Heading1"/>
      </w:pPr>
      <w:r>
        <w:t>7. Schermafbeeldingen</w:t>
      </w:r>
    </w:p>
    <w:p>
      <w:r>
        <w:rPr>
          <w:b/>
        </w:rPr>
        <w:t>7.1 Login-scherm</w:t>
      </w:r>
    </w:p>
    <w:p>
      <w:r>
        <w:drawing>
          <wp:inline xmlns:a="http://schemas.openxmlformats.org/drawingml/2006/main" xmlns:pic="http://schemas.openxmlformats.org/drawingml/2006/picture">
            <wp:extent cx="5943600" cy="42359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_cropp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5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Inlogscherm met statusindicatoren voor API en database.</w:t>
      </w:r>
    </w:p>
    <w:p/>
    <w:p>
      <w:r>
        <w:rPr>
          <w:b/>
        </w:rPr>
        <w:t>7.2 Dashboard</w:t>
      </w:r>
    </w:p>
    <w:p>
      <w:r>
        <w:drawing>
          <wp:inline xmlns:a="http://schemas.openxmlformats.org/drawingml/2006/main" xmlns:pic="http://schemas.openxmlformats.org/drawingml/2006/picture">
            <wp:extent cx="5943600" cy="41002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_cropp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0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Startpunt met de drie hoofdmodules van SovScan.</w:t>
      </w:r>
    </w:p>
    <w:p/>
    <w:p>
      <w:r>
        <w:rPr>
          <w:b/>
        </w:rPr>
        <w:t>7.3 Nieuwe Scenario Assessment</w:t>
      </w:r>
    </w:p>
    <w:p>
      <w:r>
        <w:drawing>
          <wp:inline xmlns:a="http://schemas.openxmlformats.org/drawingml/2006/main" xmlns:pic="http://schemas.openxmlformats.org/drawingml/2006/picture">
            <wp:extent cx="5943600" cy="41002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ssessment-new_cropp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0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Start van een nieuwe analyse met projectnaam-invoer.</w:t>
      </w:r>
    </w:p>
    <w:p/>
    <w:p>
      <w:r>
        <w:rPr>
          <w:b/>
        </w:rPr>
        <w:t>7.4 Externe Uitnodigingen</w:t>
      </w:r>
    </w:p>
    <w:p>
      <w:r>
        <w:drawing>
          <wp:inline xmlns:a="http://schemas.openxmlformats.org/drawingml/2006/main" xmlns:pic="http://schemas.openxmlformats.org/drawingml/2006/picture">
            <wp:extent cx="5943600" cy="41002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_cropp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0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Beheer van uitnodigingslinks voor externe respondenten.</w:t>
      </w:r>
    </w:p>
    <w:p/>
    <w:p>
      <w:r>
        <w:rPr>
          <w:b/>
        </w:rPr>
        <w:t>7.5 Soevereiniteitsaudit Overzicht</w:t>
      </w:r>
    </w:p>
    <w:p>
      <w:r>
        <w:drawing>
          <wp:inline xmlns:a="http://schemas.openxmlformats.org/drawingml/2006/main" xmlns:pic="http://schemas.openxmlformats.org/drawingml/2006/picture">
            <wp:extent cx="5943600" cy="33639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udit-list_cropp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3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Overzicht van bestaande audits en mogelijkheid om nieuwe audit te starten.</w:t>
      </w:r>
    </w:p>
    <w:p/>
    <w:p>
      <w:r>
        <w:rPr>
          <w:b/>
        </w:rPr>
        <w:t>7.6 Audit Resultaat (met spinnenweb)</w:t>
      </w:r>
    </w:p>
    <w:p>
      <w:r>
        <w:drawing>
          <wp:inline xmlns:a="http://schemas.openxmlformats.org/drawingml/2006/main" xmlns:pic="http://schemas.openxmlformats.org/drawingml/2006/picture">
            <wp:extent cx="5943600" cy="43030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udit-result-spinnenweb_cropp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3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Resultaatpagina van de audit met spinnenweb/radarvisualisatie per dimensie.</w:t>
      </w:r>
    </w:p>
    <w:p/>
    <w:p>
      <w:r>
        <w:rPr>
          <w:b/>
        </w:rPr>
        <w:t>7.7 Scenario Scan Resultaat</w:t>
      </w:r>
    </w:p>
    <w:p>
      <w:r>
        <w:drawing>
          <wp:inline xmlns:a="http://schemas.openxmlformats.org/drawingml/2006/main" xmlns:pic="http://schemas.openxmlformats.org/drawingml/2006/picture">
            <wp:extent cx="5943600" cy="41002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can-resultaat_cropp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0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Resultaatpagina van de scenario scan met scores en adviestekst.</w:t>
      </w:r>
    </w:p>
    <w:p/>
    <w:p>
      <w:pPr>
        <w:pStyle w:val="Heading1"/>
      </w:pPr>
      <w:r>
        <w:t>8. Beheerfunctionaliteit</w:t>
      </w:r>
    </w:p>
    <w:p>
      <w:r>
        <w:t>Beheerders (rol admin) kunnen de vragenbank onderhouden: vragen toevoegen, wijzigen en verwijderen. Hiermee kan de inhoud van de assessment worden afgestemd op actuele wet- en regelgeving.</w:t>
      </w:r>
    </w:p>
    <w:p>
      <w:pPr>
        <w:pStyle w:val="Heading1"/>
      </w:pPr>
      <w:r>
        <w:t>9. Praktische Tips</w:t>
      </w:r>
    </w:p>
    <w:p>
      <w:pPr>
        <w:pStyle w:val="ListBullet"/>
      </w:pPr>
      <w:r>
        <w:t>Controleer altijd eerst of API- en DB-status op online staan bij het login-scherm.</w:t>
      </w:r>
    </w:p>
    <w:p>
      <w:pPr>
        <w:pStyle w:val="ListBullet"/>
      </w:pPr>
      <w:r>
        <w:t>Gebruik duidelijke projectnamen, zodat resultaten later makkelijk terug te vinden zijn.</w:t>
      </w:r>
    </w:p>
    <w:p>
      <w:pPr>
        <w:pStyle w:val="ListBullet"/>
      </w:pPr>
      <w:r>
        <w:t>Gebruik externe uitnodigingen voor samenwerking met leveranciers of business owners.</w:t>
      </w:r>
    </w:p>
    <w:p>
      <w:pPr>
        <w:pStyle w:val="ListBullet"/>
      </w:pPr>
      <w:r>
        <w:t>Sla rapportages op als PDF voor besluitvormingsdossiers.</w:t>
      </w:r>
    </w:p>
    <w:p>
      <w:r>
        <w:t>---</w:t>
      </w:r>
    </w:p>
    <w:p>
      <w:r>
        <w:t>Document automatisch samengesteld op basis van de actuele SovScan-omgeving.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