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8411C">
      <w:pPr>
        <w:pStyle w:val="15"/>
        <w:jc w:val="center"/>
      </w:pPr>
      <w:r>
        <w:t>Monthly Development Report: Yegara Modernization</w:t>
      </w:r>
    </w:p>
    <w:p w14:paraId="74DEE224"/>
    <w:p w14:paraId="465B768E">
      <w:pPr>
        <w:pStyle w:val="2"/>
      </w:pPr>
      <w:r>
        <w:t>1. Project Overview</w:t>
      </w:r>
    </w:p>
    <w:p w14:paraId="5C352579">
      <w:r>
        <w:t>This report provides a detailed analysis of the modernization of the Yegara Trading Share Company digital ecosystem. We have transitioned from a static, template-based website to a custom-built, cinematic platform that prioritizes interactive data representation and premium user experience.</w:t>
      </w:r>
    </w:p>
    <w:p w14:paraId="55BE8ABD"/>
    <w:p w14:paraId="3DE89E38">
      <w:pPr>
        <w:pStyle w:val="2"/>
      </w:pPr>
      <w:r>
        <w:t>2. Page-by-Page Detailed Comparison</w:t>
      </w:r>
    </w:p>
    <w:p w14:paraId="3E4961DE">
      <w:pPr>
        <w:pStyle w:val="3"/>
      </w:pPr>
      <w:r>
        <w:t>A. Home Page: From Information to Experience</w:t>
      </w:r>
    </w:p>
    <w:p w14:paraId="6BC49E77">
      <w:r>
        <w:t>The original home page was a standard informational portal. The new version is a cinematic entry point designed to establish immediate corporate authority.</w:t>
      </w:r>
    </w:p>
    <w:p w14:paraId="08656751">
      <w:pPr>
        <w:pStyle w:val="4"/>
      </w:pPr>
      <w:r>
        <w:t>Original Hero Visual (Static):</w:t>
      </w:r>
    </w:p>
    <w:p w14:paraId="72D08243">
      <w:pPr>
        <w:jc w:val="center"/>
      </w:pPr>
      <w:r>
        <w:drawing>
          <wp:inline distT="0" distB="0" distL="0" distR="0">
            <wp:extent cx="5740400" cy="480187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E6EB">
      <w:pPr>
        <w:pStyle w:val="4"/>
      </w:pPr>
      <w:r>
        <w:t>New Cinematic Hero Visual (Dynamic Video Background):</w:t>
      </w:r>
    </w:p>
    <w:p w14:paraId="49FE4C05">
      <w:pPr>
        <w:jc w:val="center"/>
      </w:pPr>
      <w:bookmarkStart w:id="0" w:name="_GoBack"/>
      <w:r>
        <w:drawing>
          <wp:inline distT="0" distB="0" distL="0" distR="0">
            <wp:extent cx="5815965" cy="4584700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67" b="58259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49C134"/>
    <w:p w14:paraId="115EAF88">
      <w:pPr>
        <w:pStyle w:val="3"/>
      </w:pPr>
      <w:r>
        <w:t>B. Portfolio: Interactive Data Representation</w:t>
      </w:r>
    </w:p>
    <w:p w14:paraId="344B053D">
      <w:r>
        <w:t>We replaced static text descriptions with interactive, live-data dashboards. The Geographic Scope Map features a high-resolution, interactive map of Ethiopia where each region triggers a specific data dashboard.</w:t>
      </w:r>
    </w:p>
    <w:p w14:paraId="7D493759">
      <w:pPr>
        <w:pStyle w:val="4"/>
      </w:pPr>
      <w:r>
        <w:t>New Interactive Map Dashboard:</w:t>
      </w:r>
    </w:p>
    <w:p w14:paraId="38C3FE7E">
      <w:pPr>
        <w:jc w:val="center"/>
      </w:pPr>
      <w:r>
        <w:drawing>
          <wp:inline distT="0" distB="0" distL="0" distR="0">
            <wp:extent cx="5715000" cy="3209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96FF"/>
    <w:p w14:paraId="11BDBDB9">
      <w:pPr>
        <w:pStyle w:val="3"/>
      </w:pPr>
      <w:r>
        <w:t>C. Our Services: Specialized Pillar Cards</w:t>
      </w:r>
    </w:p>
    <w:p w14:paraId="79EB24A6">
      <w:r>
        <w:t>We transitioned from generic icon grids to specialized 'Pillar Cards' that provide depth and context for each service category.</w:t>
      </w:r>
    </w:p>
    <w:p w14:paraId="05C614BD">
      <w:pPr>
        <w:pStyle w:val="4"/>
      </w:pPr>
      <w:r>
        <w:t>Original Services Grid (Static):</w:t>
      </w:r>
    </w:p>
    <w:p w14:paraId="39525C84">
      <w:pPr>
        <w:jc w:val="center"/>
      </w:pPr>
      <w:r>
        <w:drawing>
          <wp:inline distT="0" distB="0" distL="0" distR="0">
            <wp:extent cx="5715000" cy="3209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BD93">
      <w:pPr>
        <w:pStyle w:val="4"/>
      </w:pPr>
      <w:r>
        <w:t>New Service Pillar Card UI:</w:t>
      </w:r>
    </w:p>
    <w:p w14:paraId="6EBDA580">
      <w:pPr>
        <w:jc w:val="center"/>
      </w:pPr>
      <w:r>
        <w:drawing>
          <wp:inline distT="0" distB="0" distL="0" distR="0">
            <wp:extent cx="5715000" cy="320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487"/>
    <w:p w14:paraId="28F373BF">
      <w:pPr>
        <w:pStyle w:val="3"/>
      </w:pPr>
      <w:r>
        <w:t>D. Innovation Hub: The Ecosystem Matrix</w:t>
      </w:r>
    </w:p>
    <w:p w14:paraId="5501AB82">
      <w:r>
        <w:t>The original Innovation Hubs were presented as a simple accordion list. We have reimagined this as an Ecosystem Matrix.</w:t>
      </w:r>
    </w:p>
    <w:p w14:paraId="0185469C">
      <w:pPr>
        <w:pStyle w:val="4"/>
      </w:pPr>
      <w:r>
        <w:t>Original Hubs Accordion:</w:t>
      </w:r>
    </w:p>
    <w:p w14:paraId="6DFD6D2A">
      <w:pPr>
        <w:jc w:val="center"/>
      </w:pPr>
      <w:r>
        <w:drawing>
          <wp:inline distT="0" distB="0" distL="0" distR="0">
            <wp:extent cx="5715000" cy="3209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220B">
      <w:pPr>
        <w:pStyle w:val="4"/>
      </w:pPr>
      <w:r>
        <w:t>New Ecosystem Matrix Dashboard:</w:t>
      </w:r>
    </w:p>
    <w:p w14:paraId="42DD3DEE">
      <w:pPr>
        <w:jc w:val="center"/>
      </w:pPr>
      <w:r>
        <w:drawing>
          <wp:inline distT="0" distB="0" distL="0" distR="0">
            <wp:extent cx="5715000" cy="3209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FE03"/>
    <w:p w14:paraId="7CB47F84">
      <w:pPr>
        <w:pStyle w:val="2"/>
      </w:pPr>
      <w:r>
        <w:t>3. Technical Implementation Details</w:t>
      </w:r>
    </w:p>
    <w:p w14:paraId="3D6475D7">
      <w:r>
        <w:t>• Cinematic UI: Implemented using custom CSS3 transitions and Framer Motion.</w:t>
      </w:r>
    </w:p>
    <w:p w14:paraId="03D973D9">
      <w:r>
        <w:t>• Data Architecture: Built a scalable JSON-based data layer feeding the interactive map.</w:t>
      </w:r>
    </w:p>
    <w:p w14:paraId="2605EE59">
      <w:r>
        <w:t>• Responsive Engineering: Flawless performance on both desktop and mobile devices.</w:t>
      </w:r>
    </w:p>
    <w:p w14:paraId="2C00A471"/>
    <w:p w14:paraId="6377B4E5">
      <w:pPr>
        <w:pStyle w:val="2"/>
      </w:pPr>
      <w:r>
        <w:t>4. Conclusion</w:t>
      </w:r>
    </w:p>
    <w:p w14:paraId="61E76042">
      <w:r>
        <w:t>The development work this month has fundamentally transformed how Yegara communicates its impact. The platform now provides a professional experience that matches the scale of the company's regional operations.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276D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265</Words>
  <Characters>1665</Characters>
  <TotalTime>1</TotalTime>
  <ScaleCrop>false</ScaleCrop>
  <LinksUpToDate>false</LinksUpToDate>
  <CharactersWithSpaces>1905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2026-04-29T01:11:00Z</dcterms:created>
  <dc:creator>Un-named</dc:creator>
  <cp:lastModifiedBy>Ruth Gizat</cp:lastModifiedBy>
  <dcterms:modified xsi:type="dcterms:W3CDTF">2026-04-29T01:17:13Z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eyJoZGlkIjoiYzE1OTU4NDNjOWY4MjM0MjFhZjQwOWNkMWNkNDk2MDUiLCJ1c2VySWQiOiIxNDMxMTU0MzUzOTAyNyJ9</vt:lpwstr>
  </property>
  <property fmtid="{D5CDD505-2E9C-101B-9397-08002B2CF9AE}" pid="3" name="KSOProductBuildVer">
    <vt:lpwstr>1033-12.1.0.25242</vt:lpwstr>
  </property>
  <property fmtid="{D5CDD505-2E9C-101B-9397-08002B2CF9AE}" pid="4" name="ICV">
    <vt:lpwstr>EA33CB104C6B4135AB7E1B1AE6C00C68_12</vt:lpwstr>
  </property>
</Properties>
</file>