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C05621"/>
          <w:sz w:val="20"/>
          <w:szCs w:val="20"/>
        </w:rPr>
        <w:t xml:space="preserve">PROJECT REPORT</w:t>
      </w:r>
    </w:p>
    <w:p>
      <w:pPr>
        <w:spacing w:after="60"/>
      </w:pPr>
      <w:r>
        <w:rPr>
          <w:b/>
          <w:bCs/>
          <w:color w:val="2B2118"/>
          <w:sz w:val="42"/>
          <w:szCs w:val="42"/>
        </w:rPr>
        <w:t xml:space="preserve">Diagnosing Breast Tumors with a Neural Network</w:t>
      </w:r>
    </w:p>
    <w:p>
      <w:pPr>
        <w:spacing w:after="500"/>
      </w:pPr>
      <w:r>
        <w:rPr>
          <w:i/>
          <w:iCs/>
          <w:color w:val="6B5B4D"/>
          <w:sz w:val="22"/>
          <w:szCs w:val="22"/>
        </w:rPr>
        <w:t xml:space="preserve">A Malignant vs. Benign classifier trained on the Wisconsin Diagnostic dataset</w:t>
      </w:r>
    </w:p>
    <w:p>
      <w:pPr>
        <w:pBdr>
          <w:bottom w:val="single" w:color="C05621" w:sz="8" w:space="4"/>
        </w:pBdr>
        <w:spacing w:after="160" w:before="340"/>
      </w:pPr>
      <w:r>
        <w:rPr>
          <w:b/>
          <w:bCs/>
          <w:color w:val="9C4221"/>
          <w:sz w:val="30"/>
          <w:szCs w:val="30"/>
        </w:rPr>
        <w:t xml:space="preserve">Overview</w:t>
      </w:r>
    </w:p>
    <w:p>
      <w:pPr>
        <w:spacing w:after="160"/>
      </w:pPr>
      <w:r>
        <w:rPr>
          <w:color w:val="2B2118"/>
        </w:rPr>
        <w:t xml:space="preserve">This project trains a compact feed-forward neural network to distinguish malignant from benign breast tumors using 30 diagnostic measurements taken from digitized images of fine needle aspirate (FNA) samples. It follows a full applied-ML workflow: data exploration, preprocessing, model design, training, evaluation, and single-sample prediction.</w:t>
      </w:r>
    </w:p>
    <w:p>
      <w:pPr>
        <w:pBdr>
          <w:bottom w:val="single" w:color="C05621" w:sz="8" w:space="4"/>
        </w:pBdr>
        <w:spacing w:after="160" w:before="340"/>
      </w:pPr>
      <w:r>
        <w:rPr>
          <w:b/>
          <w:bCs/>
          <w:color w:val="9C4221"/>
          <w:sz w:val="30"/>
          <w:szCs w:val="30"/>
        </w:rPr>
        <w:t xml:space="preserve">Tools Used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B2118"/>
        </w:rPr>
        <w:t xml:space="preserve">Python 3.x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B2118"/>
        </w:rPr>
        <w:t xml:space="preserve">Google Colab / Jupyter Notebook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B2118"/>
        </w:rPr>
        <w:t xml:space="preserve">TensorFlow &amp; Keras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B2118"/>
        </w:rPr>
        <w:t xml:space="preserve">scikit-learn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B2118"/>
        </w:rPr>
        <w:t xml:space="preserve">Pandas &amp; NumPy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B2118"/>
        </w:rPr>
        <w:t xml:space="preserve">Matplotlib</w:t>
      </w:r>
    </w:p>
    <w:p>
      <w:pPr>
        <w:pBdr>
          <w:bottom w:val="single" w:color="C05621" w:sz="8" w:space="4"/>
        </w:pBdr>
        <w:spacing w:after="160" w:before="340"/>
      </w:pPr>
      <w:r>
        <w:rPr>
          <w:b/>
          <w:bCs/>
          <w:color w:val="9C4221"/>
          <w:sz w:val="30"/>
          <w:szCs w:val="30"/>
        </w:rPr>
        <w:t xml:space="preserve">The Dataset</w:t>
      </w:r>
    </w:p>
    <w:p>
      <w:pPr>
        <w:spacing w:after="160"/>
      </w:pPr>
      <w:r>
        <w:rPr>
          <w:color w:val="2B2118"/>
        </w:rPr>
        <w:t xml:space="preserve">Sourced directly from scikit-learn (no external download needed): sklearn.datasets.load_breast_cancer().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c>
          <w:tcPr>
            <w:tcW w:type="dxa" w:w="3000"/>
            <w:shd w:fill="C05621" w:val="clear"/>
          </w:tcPr>
          <w:p>
            <w:r>
              <w:rPr>
                <w:b/>
                <w:bCs/>
                <w:color w:val="FFFFFF"/>
              </w:rPr>
              <w:t xml:space="preserve">Attribute</w:t>
            </w:r>
          </w:p>
        </w:tc>
        <w:tc>
          <w:tcPr>
            <w:tcW w:type="dxa" w:w="6600"/>
            <w:shd w:fill="C05621" w:val="clear"/>
          </w:tcPr>
          <w:p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b w:val="false"/>
                <w:bCs w:val="false"/>
                <w:color w:val="2B2118"/>
              </w:rPr>
              <w:t xml:space="preserve">Samples</w:t>
            </w:r>
          </w:p>
        </w:tc>
        <w:tc>
          <w:tcPr>
            <w:tcW w:type="dxa" w:w="6600"/>
            <w:shd w:fill="FFFFFF" w:val="clear"/>
          </w:tcPr>
          <w:p>
            <w:r>
              <w:rPr>
                <w:b w:val="false"/>
                <w:bCs w:val="false"/>
                <w:color w:val="2B2118"/>
              </w:rPr>
              <w:t xml:space="preserve">569</w:t>
            </w:r>
          </w:p>
        </w:tc>
      </w:tr>
      <w:tr>
        <w:tc>
          <w:tcPr>
            <w:tcW w:type="dxa" w:w="3000"/>
            <w:shd w:fill="FBF3EC" w:val="clear"/>
          </w:tcPr>
          <w:p>
            <w:r>
              <w:rPr>
                <w:b w:val="false"/>
                <w:bCs w:val="false"/>
                <w:color w:val="2B2118"/>
              </w:rPr>
              <w:t xml:space="preserve">Features</w:t>
            </w:r>
          </w:p>
        </w:tc>
        <w:tc>
          <w:tcPr>
            <w:tcW w:type="dxa" w:w="6600"/>
            <w:shd w:fill="FBF3EC" w:val="clear"/>
          </w:tcPr>
          <w:p>
            <w:r>
              <w:rPr>
                <w:b w:val="false"/>
                <w:bCs w:val="false"/>
                <w:color w:val="2B2118"/>
              </w:rPr>
              <w:t xml:space="preserve">30 (mean, standard error, and worst value of 10 nucleus characteristics)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b w:val="false"/>
                <w:bCs w:val="false"/>
                <w:color w:val="2B2118"/>
              </w:rPr>
              <w:t xml:space="preserve">Classes</w:t>
            </w:r>
          </w:p>
        </w:tc>
        <w:tc>
          <w:tcPr>
            <w:tcW w:type="dxa" w:w="6600"/>
            <w:shd w:fill="FFFFFF" w:val="clear"/>
          </w:tcPr>
          <w:p>
            <w:r>
              <w:rPr>
                <w:b w:val="false"/>
                <w:bCs w:val="false"/>
                <w:color w:val="2B2118"/>
              </w:rPr>
              <w:t xml:space="preserve">Malignant (0), Benign (1)</w:t>
            </w:r>
          </w:p>
        </w:tc>
      </w:tr>
      <w:tr>
        <w:tc>
          <w:tcPr>
            <w:tcW w:type="dxa" w:w="3000"/>
            <w:shd w:fill="FBF3EC" w:val="clear"/>
          </w:tcPr>
          <w:p>
            <w:r>
              <w:rPr>
                <w:b w:val="false"/>
                <w:bCs w:val="false"/>
                <w:color w:val="2B2118"/>
              </w:rPr>
              <w:t xml:space="preserve">Balance</w:t>
            </w:r>
          </w:p>
        </w:tc>
        <w:tc>
          <w:tcPr>
            <w:tcW w:type="dxa" w:w="6600"/>
            <w:shd w:fill="FBF3EC" w:val="clear"/>
          </w:tcPr>
          <w:p>
            <w:r>
              <w:rPr>
                <w:b w:val="false"/>
                <w:bCs w:val="false"/>
                <w:color w:val="2B2118"/>
              </w:rPr>
              <w:t xml:space="preserve">212 malignant vs. 357 benign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b w:val="false"/>
                <w:bCs w:val="false"/>
                <w:color w:val="2B2118"/>
              </w:rPr>
              <w:t xml:space="preserve">Missing data</w:t>
            </w:r>
          </w:p>
        </w:tc>
        <w:tc>
          <w:tcPr>
            <w:tcW w:type="dxa" w:w="6600"/>
            <w:shd w:fill="FFFFFF" w:val="clear"/>
          </w:tcPr>
          <w:p>
            <w:r>
              <w:rPr>
                <w:b w:val="false"/>
                <w:bCs w:val="false"/>
                <w:color w:val="2B2118"/>
              </w:rPr>
              <w:t xml:space="preserve">None</w:t>
            </w:r>
          </w:p>
        </w:tc>
      </w:tr>
    </w:tbl>
    <w:p>
      <w:pPr>
        <w:pBdr>
          <w:bottom w:val="single" w:color="C05621" w:sz="8" w:space="4"/>
        </w:pBdr>
        <w:spacing w:after="160" w:before="340"/>
      </w:pPr>
      <w:r>
        <w:rPr>
          <w:b/>
          <w:bCs/>
          <w:color w:val="9C4221"/>
          <w:sz w:val="30"/>
          <w:szCs w:val="30"/>
        </w:rPr>
        <w:t xml:space="preserve">Workflow</w:t>
      </w:r>
    </w:p>
    <w:p>
      <w:pPr>
        <w:spacing w:after="110" w:before="240"/>
      </w:pPr>
      <w:r>
        <w:rPr>
          <w:b/>
          <w:bCs/>
          <w:color w:val="9C4221"/>
          <w:sz w:val="24"/>
          <w:szCs w:val="24"/>
        </w:rPr>
        <w:t xml:space="preserve">Step-by-step</w:t>
      </w:r>
    </w:p>
    <w:p>
      <w:pPr>
        <w:spacing w:after="110" w:before="240"/>
      </w:pPr>
      <w:r>
        <w:rPr>
          <w:b/>
          <w:bCs/>
          <w:color w:val="9C4221"/>
          <w:sz w:val="24"/>
          <w:szCs w:val="24"/>
        </w:rPr>
        <w:t xml:space="preserve">Network Design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2200"/>
        <w:gridCol w:w="3200"/>
      </w:tblGrid>
      <w:tr>
        <w:tc>
          <w:tcPr>
            <w:tcW w:type="dxa" w:w="900"/>
            <w:shd w:fill="C05621" w:val="clea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300"/>
            <w:shd w:fill="C05621" w:val="clear"/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2200"/>
            <w:shd w:fill="C05621" w:val="clear"/>
          </w:tcPr>
          <w:p>
            <w:r>
              <w:rPr>
                <w:b/>
                <w:bCs/>
                <w:color w:val="FFFFFF"/>
              </w:rPr>
              <w:t xml:space="preserve">Size</w:t>
            </w:r>
          </w:p>
        </w:tc>
        <w:tc>
          <w:tcPr>
            <w:tcW w:type="dxa" w:w="3200"/>
            <w:shd w:fill="C05621" w:val="clear"/>
          </w:tcPr>
          <w:p>
            <w:r>
              <w:rPr>
                <w:b/>
                <w:bCs/>
                <w:color w:val="FFFFFF"/>
              </w:rPr>
              <w:t xml:space="preserve">Activation</w:t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b w:val="false"/>
                <w:bCs w:val="false"/>
                <w:color w:val="2B2118"/>
              </w:rPr>
              <w:t xml:space="preserve">1</w:t>
            </w:r>
          </w:p>
        </w:tc>
        <w:tc>
          <w:tcPr>
            <w:tcW w:type="dxa" w:w="3300"/>
            <w:shd w:fill="FFFFFF" w:val="clear"/>
          </w:tcPr>
          <w:p>
            <w:r>
              <w:rPr>
                <w:b w:val="false"/>
                <w:bCs w:val="false"/>
                <w:color w:val="2B2118"/>
              </w:rPr>
              <w:t xml:space="preserve">Flatten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b w:val="false"/>
                <w:bCs w:val="false"/>
                <w:color w:val="2B2118"/>
              </w:rPr>
              <w:t xml:space="preserve">30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b w:val="false"/>
                <w:bCs w:val="false"/>
                <w:color w:val="2B2118"/>
              </w:rPr>
              <w:t xml:space="preserve">—</w:t>
            </w:r>
          </w:p>
        </w:tc>
      </w:tr>
      <w:tr>
        <w:tc>
          <w:tcPr>
            <w:tcW w:type="dxa" w:w="900"/>
            <w:shd w:fill="FBF3EC" w:val="clear"/>
          </w:tcPr>
          <w:p>
            <w:r>
              <w:rPr>
                <w:b w:val="false"/>
                <w:bCs w:val="false"/>
                <w:color w:val="2B2118"/>
              </w:rPr>
              <w:t xml:space="preserve">2</w:t>
            </w:r>
          </w:p>
        </w:tc>
        <w:tc>
          <w:tcPr>
            <w:tcW w:type="dxa" w:w="3300"/>
            <w:shd w:fill="FBF3EC" w:val="clear"/>
          </w:tcPr>
          <w:p>
            <w:r>
              <w:rPr>
                <w:b w:val="false"/>
                <w:bCs w:val="false"/>
                <w:color w:val="2B2118"/>
              </w:rPr>
              <w:t xml:space="preserve">Dense</w:t>
            </w:r>
          </w:p>
        </w:tc>
        <w:tc>
          <w:tcPr>
            <w:tcW w:type="dxa" w:w="2200"/>
            <w:shd w:fill="FBF3EC" w:val="clear"/>
          </w:tcPr>
          <w:p>
            <w:r>
              <w:rPr>
                <w:b w:val="false"/>
                <w:bCs w:val="false"/>
                <w:color w:val="2B2118"/>
              </w:rPr>
              <w:t xml:space="preserve">20</w:t>
            </w:r>
          </w:p>
        </w:tc>
        <w:tc>
          <w:tcPr>
            <w:tcW w:type="dxa" w:w="3200"/>
            <w:shd w:fill="FBF3EC" w:val="clear"/>
          </w:tcPr>
          <w:p>
            <w:r>
              <w:rPr>
                <w:b w:val="false"/>
                <w:bCs w:val="false"/>
                <w:color w:val="2B2118"/>
              </w:rPr>
              <w:t xml:space="preserve">ReLU</w:t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b w:val="false"/>
                <w:bCs w:val="false"/>
                <w:color w:val="2B2118"/>
              </w:rPr>
              <w:t xml:space="preserve">3</w:t>
            </w:r>
          </w:p>
        </w:tc>
        <w:tc>
          <w:tcPr>
            <w:tcW w:type="dxa" w:w="3300"/>
            <w:shd w:fill="FFFFFF" w:val="clear"/>
          </w:tcPr>
          <w:p>
            <w:r>
              <w:rPr>
                <w:b w:val="false"/>
                <w:bCs w:val="false"/>
                <w:color w:val="2B2118"/>
              </w:rPr>
              <w:t xml:space="preserve">Dense (output)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b w:val="false"/>
                <w:bCs w:val="false"/>
                <w:color w:val="2B2118"/>
              </w:rPr>
              <w:t xml:space="preserve">2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b w:val="false"/>
                <w:bCs w:val="false"/>
                <w:color w:val="2B2118"/>
              </w:rPr>
              <w:t xml:space="preserve">Sigmoid</w:t>
            </w:r>
          </w:p>
        </w:tc>
      </w:tr>
    </w:tbl>
    <w:p>
      <w:pPr>
        <w:spacing w:after="110" w:before="240"/>
      </w:pPr>
      <w:r>
        <w:rPr>
          <w:b/>
          <w:bCs/>
          <w:color w:val="9C4221"/>
          <w:sz w:val="24"/>
          <w:szCs w:val="24"/>
        </w:rPr>
        <w:t xml:space="preserve">Training Setup</w:t>
      </w:r>
    </w:p>
    <w:p>
      <w:pPr>
        <w:spacing w:after="160"/>
      </w:pPr>
      <w:r>
        <w:rPr>
          <w:color w:val="2B2118"/>
        </w:rPr>
        <w:t xml:space="preserve">Optimizer: Adam · Loss: sparse_categorical_crossentropy · Epochs: 10 · Validation split: 10% of training data.</w:t>
      </w:r>
    </w:p>
    <w:p>
      <w:pPr>
        <w:pBdr>
          <w:bottom w:val="single" w:color="C05621" w:sz="8" w:space="4"/>
        </w:pBdr>
        <w:spacing w:after="160" w:before="340"/>
      </w:pPr>
      <w:r>
        <w:rPr>
          <w:b/>
          <w:bCs/>
          <w:color w:val="9C4221"/>
          <w:sz w:val="30"/>
          <w:szCs w:val="30"/>
        </w:rPr>
        <w:t xml:space="preserve">Outcomes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c>
          <w:tcPr>
            <w:tcW w:type="dxa" w:w="4800"/>
            <w:shd w:fill="C05621" w:val="clea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4800"/>
            <w:shd w:fill="C05621" w:val="clear"/>
          </w:tcPr>
          <w:p>
            <w:r>
              <w:rPr>
                <w:b/>
                <w:bCs/>
                <w:color w:val="FFFFFF"/>
              </w:rPr>
              <w:t xml:space="preserve">Score</w:t>
            </w:r>
          </w:p>
        </w:tc>
      </w:tr>
      <w:tr>
        <w:tc>
          <w:tcPr>
            <w:tcW w:type="dxa" w:w="4800"/>
            <w:shd w:fill="FFFFFF" w:val="clear"/>
          </w:tcPr>
          <w:p>
            <w:r>
              <w:rPr>
                <w:b w:val="false"/>
                <w:bCs w:val="false"/>
                <w:color w:val="2B2118"/>
              </w:rPr>
              <w:t xml:space="preserve">Training accuracy</w:t>
            </w:r>
          </w:p>
        </w:tc>
        <w:tc>
          <w:tcPr>
            <w:tcW w:type="dxa" w:w="4800"/>
            <w:shd w:fill="FFFFFF" w:val="clear"/>
          </w:tcPr>
          <w:p>
            <w:r>
              <w:rPr>
                <w:b w:val="false"/>
                <w:bCs w:val="false"/>
                <w:color w:val="2B2118"/>
              </w:rPr>
              <w:t xml:space="preserve">97.2%</w:t>
            </w:r>
          </w:p>
        </w:tc>
      </w:tr>
      <w:tr>
        <w:tc>
          <w:tcPr>
            <w:tcW w:type="dxa" w:w="4800"/>
            <w:shd w:fill="FBF3EC" w:val="clear"/>
          </w:tcPr>
          <w:p>
            <w:r>
              <w:rPr>
                <w:b w:val="false"/>
                <w:bCs w:val="false"/>
                <w:color w:val="2B2118"/>
              </w:rPr>
              <w:t xml:space="preserve">Validation accuracy</w:t>
            </w:r>
          </w:p>
        </w:tc>
        <w:tc>
          <w:tcPr>
            <w:tcW w:type="dxa" w:w="4800"/>
            <w:shd w:fill="FBF3EC" w:val="clear"/>
          </w:tcPr>
          <w:p>
            <w:r>
              <w:rPr>
                <w:b w:val="false"/>
                <w:bCs w:val="false"/>
                <w:color w:val="2B2118"/>
              </w:rPr>
              <w:t xml:space="preserve">95.7%</w:t>
            </w:r>
          </w:p>
        </w:tc>
      </w:tr>
      <w:tr>
        <w:tc>
          <w:tcPr>
            <w:tcW w:type="dxa" w:w="4800"/>
            <w:shd w:fill="FFFFFF" w:val="clear"/>
          </w:tcPr>
          <w:p>
            <w:r>
              <w:rPr>
                <w:b w:val="false"/>
                <w:bCs w:val="false"/>
                <w:color w:val="2B2118"/>
              </w:rPr>
              <w:t xml:space="preserve">Test accuracy</w:t>
            </w:r>
          </w:p>
        </w:tc>
        <w:tc>
          <w:tcPr>
            <w:tcW w:type="dxa" w:w="4800"/>
            <w:shd w:fill="FFFFFF" w:val="clear"/>
          </w:tcPr>
          <w:p>
            <w:r>
              <w:rPr>
                <w:b w:val="false"/>
                <w:bCs w:val="false"/>
                <w:color w:val="2B2118"/>
              </w:rPr>
              <w:t xml:space="preserve">96.5%</w:t>
            </w:r>
          </w:p>
        </w:tc>
      </w:tr>
      <w:tr>
        <w:tc>
          <w:tcPr>
            <w:tcW w:type="dxa" w:w="4800"/>
            <w:shd w:fill="FBF3EC" w:val="clear"/>
          </w:tcPr>
          <w:p>
            <w:r>
              <w:rPr>
                <w:b w:val="false"/>
                <w:bCs w:val="false"/>
                <w:color w:val="2B2118"/>
              </w:rPr>
              <w:t xml:space="preserve">Test loss</w:t>
            </w:r>
          </w:p>
        </w:tc>
        <w:tc>
          <w:tcPr>
            <w:tcW w:type="dxa" w:w="4800"/>
            <w:shd w:fill="FBF3EC" w:val="clear"/>
          </w:tcPr>
          <w:p>
            <w:r>
              <w:rPr>
                <w:b w:val="false"/>
                <w:bCs w:val="false"/>
                <w:color w:val="2B2118"/>
              </w:rPr>
              <w:t xml:space="preserve">0.11</w:t>
            </w:r>
          </w:p>
        </w:tc>
      </w:tr>
    </w:tbl>
    <w:p>
      <w:pPr>
        <w:spacing w:after="160"/>
      </w:pPr>
      <w:r>
        <w:rPr>
          <w:color w:val="2B2118"/>
        </w:rPr>
        <w:t xml:space="preserve">Accuracy climbed and loss fell steadily over the 10 training epochs for both training and validation sets, with the two curves tracking closely — a sign the model wasn't overfitting.</w:t>
      </w:r>
    </w:p>
    <w:p>
      <w:pPr>
        <w:pBdr>
          <w:bottom w:val="single" w:color="C05621" w:sz="8" w:space="4"/>
        </w:pBdr>
        <w:spacing w:after="160" w:before="340"/>
      </w:pPr>
      <w:r>
        <w:rPr>
          <w:b/>
          <w:bCs/>
          <w:color w:val="9C4221"/>
          <w:sz w:val="30"/>
          <w:szCs w:val="30"/>
        </w:rPr>
        <w:t xml:space="preserve">Making a Prediction</w:t>
      </w:r>
    </w:p>
    <w:p>
      <w:pPr>
        <w:spacing w:after="160"/>
      </w:pPr>
      <w:r>
        <w:rPr>
          <w:color w:val="2B2118"/>
        </w:rPr>
        <w:t xml:space="preserve">A small inference routine takes 30 raw measurements, reshapes them into a single row, standardizes them with the already-fitted scaler, and feeds them to the trained model. The output is two class probabilities; argmax() selects the winning label. A held-out sample input was correctly classified as Benign.</w:t>
      </w:r>
    </w:p>
    <w:p>
      <w:pPr>
        <w:pBdr>
          <w:bottom w:val="single" w:color="C05621" w:sz="8" w:space="4"/>
        </w:pBdr>
        <w:spacing w:after="160" w:before="340"/>
      </w:pPr>
      <w:r>
        <w:rPr>
          <w:b/>
          <w:bCs/>
          <w:color w:val="9C4221"/>
          <w:sz w:val="30"/>
          <w:szCs w:val="30"/>
        </w:rPr>
        <w:t xml:space="preserve">Takeaways</w:t>
      </w:r>
    </w:p>
    <w:p>
      <w:pPr>
        <w:spacing w:after="160"/>
      </w:pPr>
      <w:r>
        <w:rPr>
          <w:color w:val="2B2118"/>
        </w:rPr>
        <w:t xml:space="preserve">Even a shallow network — a single 20-unit hidden layer — reaches ~96.5% accuracy on this task, on par with classical baselines like logistic regression. The biggest lever wasn't network depth but proper feature scaling. As with any diagnostic aid, this model supports — but doesn't replace — clinical judgment.</w:t>
      </w:r>
    </w:p>
    <w:sectPr>
      <w:pgSz w:w="12240" w:h="15840" w:orient="portrait"/>
      <w:pgMar w:top="1350" w:right="1350" w:bottom="135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2026-07-20T10:11:43.940Z</dcterms:created>
  <dcterms:modified xsi:type="dcterms:W3CDTF">2026-07-20T10:11:43.957Z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