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Supervisor Meeting - Quick Reference</w:t>
      </w:r>
    </w:p>
    <w:p>
      <w:pPr>
        <w:pStyle w:val="Subtitle"/>
      </w:pPr>
      <w:r>
        <w:t>12 August 2026 | Prototype walkthrough and final-report feedback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0"/>
      </w:tblGrid>
      <w:tr>
        <w:tc>
          <w:tcPr>
            <w:tcW w:type="dxa" w:w="10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b/>
              </w:rPr>
              <w:t xml:space="preserve">Open with: </w:t>
            </w:r>
            <w:r>
              <w:rPr>
                <w:sz w:val="18"/>
              </w:rPr>
              <w:t>I am currently working on my final report, which is due on the 14th. I have completed the main prototype build and wanted to show you the working system and get your input before I finish the report. Could I quickly walk you through it?</w:t>
            </w:r>
          </w:p>
        </w:tc>
      </w:tr>
    </w:tbl>
    <w:p>
      <w:pPr>
        <w:spacing w:after="20"/>
      </w:pPr>
    </w:p>
    <w:p>
      <w:pPr>
        <w:pStyle w:val="Heading1"/>
      </w:pPr>
      <w:r>
        <w:t>10-minute route</w:t>
      </w:r>
    </w:p>
    <w:p>
      <w:pPr>
        <w:pStyle w:val="ListNumber"/>
        <w:spacing w:after="20"/>
      </w:pPr>
      <w:r>
        <w:t>Admin Dashboard - main workflows now work through the website.</w:t>
      </w:r>
    </w:p>
    <w:p>
      <w:pPr>
        <w:pStyle w:val="ListNumber"/>
        <w:spacing w:after="20"/>
      </w:pPr>
      <w:r>
        <w:t>Users - roles/status visible; password hashes not displayed.</w:t>
      </w:r>
    </w:p>
    <w:p>
      <w:pPr>
        <w:pStyle w:val="ListNumber"/>
        <w:spacing w:after="20"/>
      </w:pPr>
      <w:r>
        <w:t>Assignments - point to Isla Olaf -&gt; Jalen Herts.</w:t>
      </w:r>
    </w:p>
    <w:p>
      <w:pPr>
        <w:pStyle w:val="ListNumber"/>
        <w:spacing w:after="20"/>
      </w:pPr>
      <w:r>
        <w:t>Jalen login - only Isla appears because assignment is checked server-side.</w:t>
      </w:r>
    </w:p>
    <w:p>
      <w:pPr>
        <w:pStyle w:val="ListNumber"/>
        <w:spacing w:after="20"/>
      </w:pPr>
      <w:r>
        <w:t>Open Isla - authorised access succeeds and is audited.</w:t>
      </w:r>
    </w:p>
    <w:p>
      <w:pPr>
        <w:pStyle w:val="ListNumber"/>
        <w:spacing w:after="20"/>
      </w:pPr>
      <w:r>
        <w:t>Request /patient/1 - IDOR-style attempt is denied and audited.</w:t>
      </w:r>
    </w:p>
    <w:p>
      <w:pPr>
        <w:pStyle w:val="ListNumber"/>
        <w:spacing w:after="20"/>
      </w:pPr>
      <w:r>
        <w:t>Audit Logs - show actor, role, action, target, outcome, IP, time and details.</w:t>
      </w:r>
    </w:p>
    <w:p>
      <w:pPr>
        <w:pStyle w:val="ListNumber"/>
        <w:spacing w:after="20"/>
      </w:pPr>
      <w:r>
        <w:t>Verify Audit Chain - SHA-256 links make inconsistent changes detectable.</w:t>
      </w:r>
    </w:p>
    <w:p>
      <w:pPr>
        <w:pStyle w:val="ListNumber"/>
        <w:spacing w:after="20"/>
      </w:pPr>
      <w:r>
        <w:t>Experiment table - explain SHA-256/ML-DSA trade-off.</w:t>
      </w:r>
    </w:p>
    <w:p>
      <w:pPr>
        <w:pStyle w:val="Heading1"/>
      </w:pPr>
      <w:r>
        <w:t>Say these key lines</w:t>
      </w:r>
    </w:p>
    <w:p>
      <w:pPr>
        <w:pStyle w:val="ListBullet"/>
        <w:spacing w:after="20"/>
      </w:pPr>
      <w:r>
        <w:t>Role decides the general type of access; assignment decides which patient.</w:t>
      </w:r>
    </w:p>
    <w:p>
      <w:pPr>
        <w:pStyle w:val="ListBullet"/>
        <w:spacing w:after="20"/>
      </w:pPr>
      <w:r>
        <w:t>Hiding a URL ID is not the control; the server-side authorisation check is the control.</w:t>
      </w:r>
    </w:p>
    <w:p>
      <w:pPr>
        <w:pStyle w:val="ListBullet"/>
        <w:spacing w:after="20"/>
      </w:pPr>
      <w:r>
        <w:t>The audit chain is tamper-evident, not tamper-proof or fully immutable.</w:t>
      </w:r>
    </w:p>
    <w:p>
      <w:pPr>
        <w:pStyle w:val="ListBullet"/>
        <w:spacing w:after="20"/>
      </w:pPr>
      <w:r>
        <w:t>This is a focused local prototype using fictional data, not a production EHR.</w:t>
      </w:r>
    </w:p>
    <w:p>
      <w:pPr>
        <w:pStyle w:val="ListBullet"/>
        <w:spacing w:after="20"/>
      </w:pPr>
      <w:r>
        <w:t>The website is the test environment; the MSc value is in the security design, testing, measured comparison and critical evaluation.</w:t>
      </w:r>
    </w:p>
    <w:p>
      <w:pPr>
        <w:pStyle w:val="Heading1"/>
      </w:pPr>
      <w:r>
        <w:t>Comparison numbers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3600"/>
        <w:gridCol w:w="424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6"/>
              </w:rPr>
              <w:t>SHA-256</w:t>
            </w:r>
          </w:p>
        </w:tc>
        <w:tc>
          <w:tcPr>
            <w:tcW w:type="dxa" w:w="4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6"/>
              </w:rPr>
              <w:t>ML-DSA-44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Main time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Hash: 0.0021 ms</w:t>
            </w:r>
          </w:p>
        </w:tc>
        <w:tc>
          <w:tcPr>
            <w:tcW w:type="dxa" w:w="4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Sign: 100.43 ms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Other times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4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Keygen: 16.57 ms; verify: 19.71 ms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Digest: 32 B</w:t>
            </w:r>
          </w:p>
        </w:tc>
        <w:tc>
          <w:tcPr>
            <w:tcW w:type="dxa" w:w="4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Signature: 2,420 B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Keys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4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Public: 1,312 B; secret: 2,560 B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Changed data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5/5 detected</w:t>
            </w:r>
          </w:p>
        </w:tc>
        <w:tc>
          <w:tcPr>
            <w:tcW w:type="dxa" w:w="4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5/5 detected</w:t>
            </w:r>
          </w:p>
        </w:tc>
      </w:tr>
    </w:tbl>
    <w:p>
      <w:pPr>
        <w:spacing w:before="40" w:after="40"/>
      </w:pPr>
      <w:r>
        <w:rPr>
          <w:b/>
        </w:rPr>
        <w:t xml:space="preserve">Conclusion: </w:t>
      </w:r>
      <w:r>
        <w:t>SHA-256 is lightweight for the audit chain; ML-DSA adds signer authenticity but costs much more time and storage. They perform different jobs.</w:t>
      </w:r>
    </w:p>
    <w:p>
      <w:pPr>
        <w:pStyle w:val="Heading1"/>
      </w:pPr>
      <w:r>
        <w:t>If something goes wrong</w:t>
      </w:r>
    </w:p>
    <w:p>
      <w:pPr>
        <w:pStyle w:val="ListBullet"/>
        <w:spacing w:after="20"/>
      </w:pPr>
      <w:r>
        <w:t>App fails: show screenshots and journal; do not spend the meeting debugging.</w:t>
      </w:r>
    </w:p>
    <w:p>
      <w:pPr>
        <w:pStyle w:val="ListBullet"/>
        <w:spacing w:after="20"/>
      </w:pPr>
      <w:r>
        <w:t>Unexpected error: acknowledge it, capture it and do not claim the test passed.</w:t>
      </w:r>
    </w:p>
    <w:p>
      <w:pPr>
        <w:pStyle w:val="ListBullet"/>
        <w:spacing w:after="20"/>
      </w:pPr>
      <w:r>
        <w:t>Verifier fails: preserve the database; do not repair live. Explain that detection is its purpose.</w:t>
      </w:r>
    </w:p>
    <w:p>
      <w:pPr>
        <w:pStyle w:val="ListBullet"/>
        <w:spacing w:after="20"/>
      </w:pPr>
      <w:r>
        <w:t>Asked for live tampering: use only a disposable database copy, never the evidence database.</w:t>
      </w:r>
    </w:p>
    <w:p>
      <w:pPr>
        <w:pStyle w:val="ListBullet"/>
        <w:spacing w:after="20"/>
      </w:pPr>
      <w:r>
        <w:t>Feature not built: say it is out of scope/future work; do not pretend it exists.</w:t>
      </w:r>
    </w:p>
    <w:p>
      <w:pPr>
        <w:pStyle w:val="ListBullet"/>
        <w:spacing w:after="20"/>
      </w:pPr>
      <w:r>
        <w:t>Asked if MSc-level: point to layered authorisation, attack testing, audit integrity experiment, measured comparison and limitations.</w:t>
      </w:r>
    </w:p>
    <w:p>
      <w:pPr>
        <w:pStyle w:val="Heading1"/>
      </w:pPr>
      <w:r>
        <w:t>Ask before you finish</w:t>
      </w:r>
    </w:p>
    <w:p>
      <w:pPr>
        <w:pStyle w:val="ListNumber"/>
        <w:spacing w:after="20"/>
      </w:pPr>
      <w:r>
        <w:t>Is the current prototype scope sufficient for the research question?</w:t>
      </w:r>
    </w:p>
    <w:p>
      <w:pPr>
        <w:pStyle w:val="ListNumber"/>
        <w:spacing w:after="20"/>
      </w:pPr>
      <w:r>
        <w:t>Are the access-control and tamper-detection tests suitable evaluation evidence?</w:t>
      </w:r>
    </w:p>
    <w:p>
      <w:pPr>
        <w:pStyle w:val="ListNumber"/>
        <w:spacing w:after="20"/>
      </w:pPr>
      <w:r>
        <w:t>Should ML-DSA remain a comparison/future enhancement rather than be integrated now?</w:t>
      </w:r>
    </w:p>
    <w:p>
      <w:pPr>
        <w:pStyle w:val="ListNumber"/>
        <w:spacing w:after="20"/>
      </w:pPr>
      <w:r>
        <w:t>What is the one essential issue I should address before submitting on the 14th?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0"/>
      </w:tblGrid>
      <w:tr>
        <w:tc>
          <w:tcPr>
            <w:tcW w:type="dxa" w:w="10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 xml:space="preserve">Close with: </w:t>
            </w:r>
            <w:r>
              <w:rPr>
                <w:sz w:val="18"/>
              </w:rPr>
              <w:t>Thank you. I am continuing the final report today. Before I submit on the 14th, is there anything essential you think I should correct, clarify or evaluate more deeply?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93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4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6470"/>
        <w:sz w:val="17"/>
      </w:rPr>
      <w:t>Supervisor Meeting -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color w:val="1F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964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Meeting - Quick Reference</dc:title>
  <dc:subject>Supervisor meeting preparation for the simulated EHR security prototype</dc:subject>
  <dc:creator>Ruth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