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3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2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 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2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(see appendix)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3.2).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 Gradient increases from juv4 to adult.</w:t>
      </w:r>
      <w:r>
        <w:rPr>
          <w:i/>
        </w:rPr>
        <w:t xml:space="preserve"> </w:t>
      </w:r>
    </w:p>
    <w:p>
      <w:pPr>
        <w:pStyle w:val="Heading2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3"/>
      </w:pPr>
      <w:bookmarkStart w:id="26" w:name="leg-length"/>
      <w:bookmarkEnd w:id="26"/>
      <w:r>
        <w:t xml:space="preserve">Leg length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3"/>
      </w:pPr>
      <w:bookmarkStart w:id="27" w:name="variance"/>
      <w:bookmarkEnd w:id="27"/>
      <w:r>
        <w:t xml:space="preserve">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(see appendix).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3.3).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rPr>
          <w:i/>
        </w:rPr>
        <w:t xml:space="preserve">FIGURE : Within-colony condition variance against colony size with the</w:t>
      </w:r>
      <w:r>
        <w:rPr>
          <w:i/>
        </w:rPr>
        <w:t xml:space="preserve"> </w:t>
      </w:r>
      <w:r>
        <w:rPr>
          <w:i/>
        </w:rPr>
        <w:t xml:space="preserve">results of the generalized linear model 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2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single-female-colony-survival"/>
      <w:bookmarkEnd w:id="32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986a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