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Pr>
          <w:lang w:val="en-CA"/>
        </w:rPr>
        <w:t>It has long been recognized that high levels of relatedness allow the evolution of costly altruistic behaviours (</w:t>
      </w:r>
      <w:r w:rsidRPr="00D73918">
        <w:rPr>
          <w:highlight w:val="yellow"/>
          <w:lang w:val="en-CA"/>
        </w:rPr>
        <w:t>refs</w:t>
      </w:r>
      <w:r>
        <w:rPr>
          <w:lang w:val="en-CA"/>
        </w:rPr>
        <w:t xml:space="preserve">).  </w:t>
      </w:r>
      <w:r w:rsidR="00D73918" w:rsidRPr="007E0C8B">
        <w:rPr>
          <w:highlight w:val="yellow"/>
          <w:lang w:val="en-CA"/>
        </w:rPr>
        <w:t>Therefore,</w:t>
      </w:r>
      <w:r w:rsidR="00D73918">
        <w:rPr>
          <w:lang w:val="en-CA"/>
        </w:rPr>
        <w:t xml:space="preserve"> </w:t>
      </w:r>
      <w:r>
        <w:rPr>
          <w:lang w:val="en-CA"/>
        </w:rPr>
        <w:t>One might expec</w:t>
      </w:r>
      <w:r w:rsidRPr="007E0C8B">
        <w:rPr>
          <w:highlight w:val="yellow"/>
          <w:lang w:val="en-CA"/>
        </w:rPr>
        <w:t>t t</w:t>
      </w:r>
      <w:r>
        <w:rPr>
          <w:lang w:val="en-CA"/>
        </w:rPr>
        <w:t xml:space="preserve">hat, given a choice, social groups will tend to </w:t>
      </w:r>
      <w:r w:rsidR="0010156E">
        <w:rPr>
          <w:lang w:val="en-CA"/>
        </w:rPr>
        <w:t>be formed</w:t>
      </w:r>
      <w:r>
        <w:rPr>
          <w:lang w:val="en-CA"/>
        </w:rPr>
        <w:t xml:space="preserve"> </w:t>
      </w:r>
      <w:r w:rsidR="0010156E">
        <w:rPr>
          <w:lang w:val="en-CA"/>
        </w:rPr>
        <w:t>with</w:t>
      </w:r>
      <w:r>
        <w:rPr>
          <w:lang w:val="en-CA"/>
        </w:rPr>
        <w:t xml:space="preserve"> close relatives.  </w:t>
      </w:r>
      <w:r w:rsidR="007976D3">
        <w:rPr>
          <w:lang w:val="en-CA"/>
        </w:rPr>
        <w:t>Several factors, however, may prevent groups from being restricted to</w:t>
      </w:r>
      <w:r w:rsidR="00D73918">
        <w:rPr>
          <w:lang w:val="en-CA"/>
        </w:rPr>
        <w:t xml:space="preserve"> </w:t>
      </w:r>
      <w:r w:rsidR="00D73918" w:rsidRPr="007E0C8B">
        <w:rPr>
          <w:highlight w:val="yellow"/>
          <w:lang w:val="en-CA"/>
        </w:rPr>
        <w:t>only</w:t>
      </w:r>
      <w:r w:rsidR="007976D3">
        <w:rPr>
          <w:lang w:val="en-CA"/>
        </w:rPr>
        <w:t xml:space="preserve"> close relatives.  One scenario, for instance</w:t>
      </w:r>
      <w:r>
        <w:rPr>
          <w:lang w:val="en-CA"/>
        </w:rPr>
        <w:t xml:space="preserve">, </w:t>
      </w:r>
      <w:r w:rsidR="00473175">
        <w:rPr>
          <w:lang w:val="en-CA"/>
        </w:rPr>
        <w:t>involves the ecological need to form groups that are larger than the number of available relatives,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0"/>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0"/>
      <w:r w:rsidR="0007225F">
        <w:rPr>
          <w:rStyle w:val="CommentReference"/>
        </w:rPr>
        <w:commentReference w:id="0"/>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1"/>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1"/>
      <w:r w:rsidR="0028234D">
        <w:rPr>
          <w:rStyle w:val="CommentReference"/>
        </w:rPr>
        <w:commentReference w:id="1"/>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Veelen 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836E33">
        <w:rPr>
          <w:lang w:val="en-CA"/>
        </w:rPr>
        <w:t xml:space="preserve"> previous ones it that 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(e.g. protection from predators</w:t>
      </w:r>
      <w:proofErr w:type="gramStart"/>
      <w:r w:rsidRPr="007E0C8B">
        <w:rPr>
          <w:lang w:val="en-CA"/>
        </w:rPr>
        <w:t>, …)</w:t>
      </w:r>
      <w:proofErr w:type="gramEnd"/>
      <w:r w:rsidRPr="007E0C8B">
        <w:rPr>
          <w:lang w:val="en-CA"/>
        </w:rPr>
        <w:t xml:space="preserve">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C469A7"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proofErr w:type="gramStart"/>
      <w:r>
        <w:rPr>
          <w:lang w:val="en-CA"/>
        </w:rPr>
        <w:t>where</w:t>
      </w:r>
      <w:proofErr w:type="gramEnd"/>
      <w:r>
        <w:rPr>
          <w:lang w:val="en-CA"/>
        </w:rPr>
        <w:t xml:space="preserv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 xml:space="preserve">represents cooperative tendencies , ranging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3670E3">
        <w:rPr>
          <w:lang w:val="en-CA"/>
        </w:rPr>
        <w:t xml:space="preserve"> the cooperative tendencies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interactions with conspecifics and</w:t>
      </w:r>
      <w:r w:rsidR="003670E3">
        <w:rPr>
          <w:lang w:val="en-CA"/>
        </w:rPr>
        <w:t xml:space="preserve"> e</w:t>
      </w:r>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 xml:space="preserve">output </w:t>
      </w:r>
      <w:proofErr w:type="gramStart"/>
      <w:r>
        <w:rPr>
          <w:lang w:val="en-CA"/>
        </w:rPr>
        <w:t>and</w:t>
      </w:r>
      <w:r w:rsidR="003B1B7A">
        <w:rPr>
          <w:lang w:val="en-CA"/>
        </w:rPr>
        <w:t xml:space="preserve">  </w:t>
      </w:r>
      <w:proofErr w:type="gramEnd"/>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phenotypic values between 0.0 and </w:t>
      </w:r>
      <w:proofErr w:type="gramStart"/>
      <w:r w:rsidR="001F1E45">
        <w:rPr>
          <w:rFonts w:cs="CMR10"/>
        </w:rPr>
        <w:t>1.0 ,</w:t>
      </w:r>
      <w:proofErr w:type="gramEnd"/>
      <w:r w:rsidR="001F1E45">
        <w:rPr>
          <w:rFonts w:cs="CMR10"/>
        </w:rPr>
        <w:t xml:space="preserve"> which is the proportions of 1’s in a diploid complement. Haploid gametes are procured through processes mimicking meiosis and recombination. Mutation is at a rate of </w:t>
      </w:r>
      <w:commentRangeStart w:id="2"/>
      <w:r w:rsidR="001F1E45">
        <w:rPr>
          <w:rFonts w:cs="CMR10"/>
        </w:rPr>
        <w:t>10</w:t>
      </w:r>
      <w:r w:rsidR="001F1E45">
        <w:rPr>
          <w:rFonts w:cs="CMR10"/>
          <w:vertAlign w:val="superscript"/>
        </w:rPr>
        <w:t>-2</w:t>
      </w:r>
      <w:r w:rsidR="001F1E45">
        <w:rPr>
          <w:rFonts w:cs="CMR10"/>
        </w:rPr>
        <w:t xml:space="preserve"> </w:t>
      </w:r>
      <w:commentRangeEnd w:id="2"/>
      <w:r w:rsidR="001F1E45">
        <w:rPr>
          <w:rStyle w:val="CommentReference"/>
        </w:rPr>
        <w:commentReference w:id="2"/>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proofErr w:type="gramStart"/>
      <w:r>
        <w:rPr>
          <w:rFonts w:cs="CMR10"/>
        </w:rPr>
        <w:t xml:space="preserve">or </w:t>
      </w:r>
      <w:r w:rsidR="003871B8">
        <w:rPr>
          <w:rFonts w:cs="CMR10"/>
        </w:rPr>
        <w:t xml:space="preserve"> where</w:t>
      </w:r>
      <w:proofErr w:type="gramEnd"/>
      <w:r w:rsidR="003871B8">
        <w:rPr>
          <w:rFonts w:cs="CMR10"/>
        </w:rPr>
        <w:t xml:space="preserve"> </w:t>
      </w:r>
      <w:r>
        <w:rPr>
          <w:rFonts w:cs="CMR10"/>
        </w:rPr>
        <w:t>mating takes place before the group formation phase. (</w:t>
      </w:r>
      <w:proofErr w:type="gramStart"/>
      <w:r>
        <w:rPr>
          <w:rFonts w:cs="CMR10"/>
        </w:rPr>
        <w:t>reference</w:t>
      </w:r>
      <w:proofErr w:type="gramEnd"/>
      <w:r>
        <w:rPr>
          <w:rFonts w:cs="CMR10"/>
        </w:rPr>
        <w:t xml:space="preserve">)  However this model is not appropriate for organisms characterised by inbred social groups such as naked mole rats </w:t>
      </w:r>
      <w:r w:rsidR="00771039">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771039">
        <w:rPr>
          <w:rFonts w:cs="CMR10"/>
        </w:rPr>
        <w:fldChar w:fldCharType="separate"/>
      </w:r>
      <w:r w:rsidRPr="00804B52">
        <w:rPr>
          <w:rFonts w:ascii="Calibri" w:hAnsi="Calibri"/>
        </w:rPr>
        <w:t>(Faulkes et al. 1997; Burland et al. 2002)</w:t>
      </w:r>
      <w:r w:rsidR="00771039">
        <w:rPr>
          <w:rFonts w:cs="CMR10"/>
        </w:rPr>
        <w:fldChar w:fldCharType="end"/>
      </w:r>
      <w:r>
        <w:rPr>
          <w:rFonts w:cs="CMR10"/>
        </w:rPr>
        <w:t xml:space="preserve"> or social spiders </w:t>
      </w:r>
      <w:r w:rsidR="00771039">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771039">
        <w:rPr>
          <w:rFonts w:cs="CMR10"/>
        </w:rPr>
        <w:fldChar w:fldCharType="separate"/>
      </w:r>
      <w:r w:rsidRPr="00804B52">
        <w:rPr>
          <w:rFonts w:ascii="Calibri" w:hAnsi="Calibri"/>
        </w:rPr>
        <w:t>(Aviles 1997)</w:t>
      </w:r>
      <w:r w:rsidR="00771039">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C469A7"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E552ED" w:rsidRDefault="00204F0F" w:rsidP="00D35113">
      <w:pPr>
        <w:autoSpaceDE w:val="0"/>
        <w:autoSpaceDN w:val="0"/>
        <w:adjustRightInd w:val="0"/>
        <w:spacing w:after="0" w:line="480" w:lineRule="auto"/>
        <w:rPr>
          <w:rFonts w:eastAsiaTheme="minorEastAsia" w:cs="CMR10"/>
        </w:rPr>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p>
    <w:p w:rsidR="003178BA" w:rsidRDefault="003178BA" w:rsidP="00D35113">
      <w:pPr>
        <w:autoSpaceDE w:val="0"/>
        <w:autoSpaceDN w:val="0"/>
        <w:adjustRightInd w:val="0"/>
        <w:spacing w:after="0" w:line="480" w:lineRule="auto"/>
        <w:rPr>
          <w:rFonts w:eastAsiaTheme="minorEastAsia" w:cs="CMR10"/>
        </w:rPr>
      </w:pPr>
    </w:p>
    <w:p w:rsidR="001F1E45" w:rsidRPr="00C23D81" w:rsidRDefault="001F1E45" w:rsidP="001F1E45">
      <w:pPr>
        <w:autoSpaceDE w:val="0"/>
        <w:autoSpaceDN w:val="0"/>
        <w:adjustRightInd w:val="0"/>
        <w:spacing w:after="0" w:line="480" w:lineRule="auto"/>
        <w:rPr>
          <w:rFonts w:cs="CMMI10"/>
        </w:rPr>
      </w:pP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BE171E" w:rsidRPr="00BE171E">
        <w:rPr>
          <w:rFonts w:cs="CMR10"/>
          <w:noProof/>
          <w:lang w:val="en-US"/>
        </w:rPr>
        <mc:AlternateContent>
          <mc:Choice Requires="wpg">
            <w:drawing>
              <wp:inline distT="0" distB="0" distL="0" distR="0">
                <wp:extent cx="4267200" cy="4200525"/>
                <wp:effectExtent l="0" t="0" r="1549400" b="1616075"/>
                <wp:docPr id="14" name="Group 13"/>
                <wp:cNvGraphicFramePr/>
                <a:graphic xmlns:a="http://schemas.openxmlformats.org/drawingml/2006/main">
                  <a:graphicData uri="http://schemas.microsoft.com/office/word/2010/wordprocessingGroup">
                    <wpg:wgp>
                      <wpg:cNvGrpSpPr/>
                      <wpg:grpSpPr>
                        <a:xfrm>
                          <a:off x="0" y="0"/>
                          <a:ext cx="5810250" cy="5810250"/>
                          <a:chOff x="1403648" y="643086"/>
                          <a:chExt cx="5810250" cy="5810250"/>
                        </a:xfrm>
                      </wpg:grpSpPr>
                      <pic:pic xmlns:pic="http://schemas.openxmlformats.org/drawingml/2006/picture">
                        <pic:nvPicPr>
                          <pic:cNvPr id="5" name="Picture 5" descr="C:\Users\Ruth\Desktop\Rplot.png"/>
                          <pic:cNvPicPr>
                            <a:picLocks noChangeAspect="1" noChangeArrowheads="1"/>
                          </pic:cNvPicPr>
                        </pic:nvPicPr>
                        <pic:blipFill>
                          <a:blip r:embed="rId7"/>
                          <a:srcRect/>
                          <a:stretch>
                            <a:fillRect/>
                          </a:stretch>
                        </pic:blipFill>
                        <pic:spPr bwMode="auto">
                          <a:xfrm>
                            <a:off x="1403648" y="643086"/>
                            <a:ext cx="5810250" cy="5810250"/>
                          </a:xfrm>
                          <a:prstGeom prst="rect">
                            <a:avLst/>
                          </a:prstGeom>
                          <a:noFill/>
                        </pic:spPr>
                      </pic:pic>
                      <wps:wsp>
                        <wps:cNvPr id="6" name="Text Box 6"/>
                        <wps:cNvSpPr txBox="1"/>
                        <wps:spPr>
                          <a:xfrm rot="21413409">
                            <a:off x="2771800" y="1227529"/>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=0.05</w:t>
                              </w:r>
                            </w:p>
                          </w:txbxContent>
                        </wps:txbx>
                        <wps:bodyPr wrap="square" rtlCol="0">
                          <a:spAutoFit/>
                        </wps:bodyPr>
                      </wps:wsp>
                      <wps:wsp>
                        <wps:cNvPr id="7" name="Text Box 7"/>
                        <wps:cNvSpPr txBox="1"/>
                        <wps:spPr>
                          <a:xfrm rot="20880336">
                            <a:off x="3491880" y="1722293"/>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=0.20</w:t>
                              </w:r>
                            </w:p>
                          </w:txbxContent>
                        </wps:txbx>
                        <wps:bodyPr wrap="square" rtlCol="0">
                          <a:spAutoFit/>
                        </wps:bodyPr>
                      </wps:wsp>
                      <wps:wsp>
                        <wps:cNvPr id="8" name="Text Box 8"/>
                        <wps:cNvSpPr txBox="1"/>
                        <wps:spPr>
                          <a:xfrm rot="19991184">
                            <a:off x="4005212" y="2478739"/>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=0.4</w:t>
                              </w:r>
                            </w:p>
                          </w:txbxContent>
                        </wps:txbx>
                        <wps:bodyPr wrap="square" rtlCol="0">
                          <a:spAutoFit/>
                        </wps:bodyPr>
                      </wps:wsp>
                      <wps:wsp>
                        <wps:cNvPr id="10" name="Text Box 10"/>
                        <wps:cNvSpPr txBox="1"/>
                        <wps:spPr>
                          <a:xfrm rot="19743871">
                            <a:off x="3853882" y="3882255"/>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=0.6</w:t>
                              </w:r>
                            </w:p>
                          </w:txbxContent>
                        </wps:txbx>
                        <wps:bodyPr wrap="square" rtlCol="0">
                          <a:spAutoFit/>
                        </wps:bodyPr>
                      </wps:wsp>
                      <wps:wsp>
                        <wps:cNvPr id="11" name="Text Box 11"/>
                        <wps:cNvSpPr txBox="1"/>
                        <wps:spPr>
                          <a:xfrm rot="20867122">
                            <a:off x="4625192" y="4550004"/>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=0.8</w:t>
                              </w:r>
                            </w:p>
                          </w:txbxContent>
                        </wps:txbx>
                        <wps:bodyPr wrap="square" rtlCol="0">
                          <a:spAutoFit/>
                        </wps:bodyPr>
                      </wps:wsp>
                      <wps:wsp>
                        <wps:cNvPr id="12" name="Text Box 12"/>
                        <wps:cNvSpPr txBox="1"/>
                        <wps:spPr>
                          <a:xfrm rot="21266841">
                            <a:off x="5016574" y="5061227"/>
                            <a:ext cx="1008112" cy="307777"/>
                          </a:xfrm>
                          <a:prstGeom prst="rect">
                            <a:avLst/>
                          </a:prstGeom>
                          <a:noFill/>
                        </wps:spPr>
                        <wps:txbx>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=0.95</w:t>
                              </w:r>
                            </w:p>
                          </w:txbxContent>
                        </wps:txbx>
                        <wps:bodyPr wrap="square" rtlCol="0">
                          <a:spAutoFit/>
                        </wps:bodyPr>
                      </wps:wsp>
                    </wpg:wgp>
                  </a:graphicData>
                </a:graphic>
              </wp:inline>
            </w:drawing>
          </mc:Choice>
          <mc:Fallback>
            <w:pict>
              <v:group id="Group 13" o:spid="_x0000_s1026" style="width:336pt;height:330.75pt;mso-position-horizontal-relative:char;mso-position-vertical-relative:line" coordorigin="1403648,643086" coordsize="5810250,58102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Users\Ruth\Desktop\Rplot.png" style="position:absolute;left:1403648;top:643086;width:5810250;height:58102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8" o:title="Rplot.png"/>
                </v:shape>
                <v:shapetype id="_x0000_t202" coordsize="21600,21600" o:spt="202" path="m0,0l0,21600,21600,21600,21600,0xe">
                  <v:stroke joinstyle="miter"/>
                  <v:path gradientshapeok="t" o:connecttype="rect"/>
                </v:shapetype>
                <v:shape id="Text Box 6" o:spid="_x0000_s1028" type="#_x0000_t202" style="position:absolute;left:2771800;top:1227529;width:1008112;height:307777;rotation:-20380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=0.05</w:t>
                        </w:r>
                      </w:p>
                    </w:txbxContent>
                  </v:textbox>
                </v:shape>
                <v:shape id="Text Box 7" o:spid="_x0000_s1029" type="#_x0000_t202" style="position:absolute;left:3491880;top:1722293;width:1008112;height:307777;rotation:-786065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=0.20</w:t>
                        </w:r>
                      </w:p>
                    </w:txbxContent>
                  </v:textbox>
                </v:shape>
                <v:shape id="Text Box 8" o:spid="_x0000_s1030" type="#_x0000_t202" style="position:absolute;left:4005212;top:2478739;width:1008112;height:307777;rotation:-1757256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=0.4</w:t>
                        </w:r>
                      </w:p>
                    </w:txbxContent>
                  </v:textbox>
                </v:shape>
                <v:shape id="Text Box 10" o:spid="_x0000_s1031" type="#_x0000_t202" style="position:absolute;left:3853882;top:3882255;width:1008112;height:307777;rotation:-202738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=0.6</w:t>
                        </w:r>
                      </w:p>
                    </w:txbxContent>
                  </v:textbox>
                </v:shape>
                <v:shape id="Text Box 11" o:spid="_x0000_s1032" type="#_x0000_t202" style="position:absolute;left:4625192;top:4550004;width:1008112;height:307777;rotation:-80049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=0.8</w:t>
                        </w:r>
                      </w:p>
                    </w:txbxContent>
                  </v:textbox>
                </v:shape>
                <v:shape id="Text Box 12" o:spid="_x0000_s1033" type="#_x0000_t202" style="position:absolute;left:5016574;top:5061227;width:1008112;height:307777;rotation:-36389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proofErr w:type="gramStart"/>
                        <w:r>
                          <w:rPr>
                            <w:rFonts w:asciiTheme="minorHAnsi" w:hAnsi="Calibri" w:cstheme="minorBidi"/>
                            <w:color w:val="000000" w:themeColor="text1"/>
                            <w:kern w:val="24"/>
                            <w:sz w:val="28"/>
                            <w:szCs w:val="28"/>
                            <w:lang w:val="en-CA"/>
                          </w:rPr>
                          <w:t>m</w:t>
                        </w:r>
                        <w:proofErr w:type="gramEnd"/>
                        <w:r>
                          <w:rPr>
                            <w:rFonts w:asciiTheme="minorHAnsi" w:hAnsi="Calibri" w:cstheme="minorBidi"/>
                            <w:color w:val="000000" w:themeColor="text1"/>
                            <w:kern w:val="24"/>
                            <w:sz w:val="28"/>
                            <w:szCs w:val="28"/>
                            <w:lang w:val="en-CA"/>
                          </w:rPr>
                          <w:t>=0.95</w:t>
                        </w:r>
                      </w:p>
                    </w:txbxContent>
                  </v:textbox>
                </v:shape>
                <w10:anchorlock/>
              </v:group>
            </w:pict>
          </mc:Fallback>
        </mc:AlternateConten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BE171E" w:rsidRDefault="00BE171E" w:rsidP="002A3A3E">
      <w:pPr>
        <w:spacing w:line="480" w:lineRule="auto"/>
      </w:pPr>
    </w:p>
    <w:p w:rsidR="0028234D" w:rsidRDefault="00D35113" w:rsidP="002A3A3E">
      <w:pPr>
        <w:spacing w:line="480" w:lineRule="auto"/>
      </w:pPr>
      <w:r>
        <w:lastRenderedPageBreak/>
        <w:t xml:space="preserve">We </w:t>
      </w:r>
      <w:del w:id="10" w:author="Julian Garcia" w:date="2012-12-17T16:26:00Z">
        <w:r w:rsidDel="00475CDD">
          <w:delText>a</w:delText>
        </w:r>
        <w:bookmarkStart w:id="11" w:name="_GoBack"/>
        <w:bookmarkEnd w:id="11"/>
        <w:r w:rsidR="00E552ED" w:rsidDel="00475CDD">
          <w:delText>sses</w:delText>
        </w:r>
      </w:del>
      <w:ins w:id="12" w:author="Julian Garcia" w:date="2012-12-17T16:26:00Z">
        <w:r w:rsidR="00475CDD">
          <w:t>assess</w:t>
        </w:r>
      </w:ins>
      <w:r>
        <w:t xml:space="preserve"> relatedness by keeping track of pedigree relationships up to the great grandmother generation, a task that is </w:t>
      </w:r>
      <w:r w:rsidR="00A53682">
        <w:t xml:space="preserve">facilitated </w:t>
      </w:r>
      <w:r>
        <w:t>by the fact that all offspring within one clutch have the same father</w:t>
      </w:r>
      <w:r w:rsidR="00A53682">
        <w:t>.</w:t>
      </w:r>
    </w:p>
    <w:p w:rsidR="00A53682" w:rsidRDefault="001C67BC" w:rsidP="002A3A3E">
      <w:pPr>
        <w:spacing w:line="480" w:lineRule="auto"/>
      </w:pPr>
      <w:r w:rsidRPr="001C67BC">
        <w:t>As generations of group formation proceed</w:t>
      </w:r>
      <w:r w:rsidR="00BE171E">
        <w:t>s</w:t>
      </w:r>
      <w:r w:rsidRPr="001C67BC">
        <w:t>, cooperative tendencies and degree of kin preference evolves.</w:t>
      </w: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lastRenderedPageBreak/>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 xml:space="preserve">The intrinsic rate of growth, r, is the main parameter that </w:t>
      </w:r>
      <w:proofErr w:type="gramStart"/>
      <w:r>
        <w:rPr>
          <w:lang w:val="en-CA"/>
        </w:rPr>
        <w:t>the determines</w:t>
      </w:r>
      <w:proofErr w:type="gramEnd"/>
      <w:r>
        <w:rPr>
          <w:lang w:val="en-CA"/>
        </w:rPr>
        <w:t xml:space="preserve"> the level of kin preference that evolves in the system.  As the intrinsic rate of growth increases the level of kin preference increases until a threshold of about 0.9 is reached (figure graphs).  This, therefore, dictates</w:t>
      </w:r>
      <w:r w:rsidR="001671AD">
        <w:rPr>
          <w:lang w:val="en-CA"/>
        </w:rPr>
        <w:t xml:space="preserve"> the composition of groups, the higher the level of kin preference that has evolved the higher the average level of relatedness within groups.</w:t>
      </w:r>
    </w:p>
    <w:p w:rsidR="005255CA" w:rsidRDefault="005255CA" w:rsidP="006D4DAE">
      <w:pPr>
        <w:spacing w:line="480" w:lineRule="auto"/>
        <w:rPr>
          <w:lang w:val="en-CA"/>
        </w:rPr>
      </w:pPr>
    </w:p>
    <w:p w:rsidR="00746A81" w:rsidRDefault="008E55B8" w:rsidP="006D4DAE">
      <w:pPr>
        <w:spacing w:line="480" w:lineRule="auto"/>
        <w:rPr>
          <w:lang w:val="en-CA"/>
        </w:rPr>
      </w:pPr>
      <w:r w:rsidRPr="001671AD">
        <w:rPr>
          <w:highlight w:val="yellow"/>
          <w:lang w:val="en-CA"/>
        </w:rPr>
        <w:t xml:space="preserve">Then talk about how the </w:t>
      </w:r>
      <w:r w:rsidR="000A280B" w:rsidRPr="001671AD">
        <w:rPr>
          <w:highlight w:val="yellow"/>
          <w:lang w:val="en-CA"/>
        </w:rPr>
        <w:t xml:space="preserve">size of the </w:t>
      </w:r>
      <w:r w:rsidRPr="001671AD">
        <w:rPr>
          <w:highlight w:val="yellow"/>
          <w:lang w:val="en-CA"/>
        </w:rPr>
        <w:t>group</w:t>
      </w:r>
      <w:r w:rsidR="000A280B" w:rsidRPr="001671AD">
        <w:rPr>
          <w:highlight w:val="yellow"/>
          <w:lang w:val="en-CA"/>
        </w:rPr>
        <w:t>s formed</w:t>
      </w:r>
      <w:r w:rsidRPr="001671AD">
        <w:rPr>
          <w:highlight w:val="yellow"/>
          <w:lang w:val="en-CA"/>
        </w:rPr>
        <w:t xml:space="preserve"> depends</w:t>
      </w:r>
      <w:r w:rsidR="000A280B" w:rsidRPr="001671AD">
        <w:rPr>
          <w:highlight w:val="yellow"/>
          <w:lang w:val="en-CA"/>
        </w:rPr>
        <w:t xml:space="preserve"> on the group carrying capacity and </w:t>
      </w:r>
      <w:r w:rsidR="00AB0695" w:rsidRPr="001671AD">
        <w:rPr>
          <w:highlight w:val="yellow"/>
          <w:lang w:val="en-CA"/>
        </w:rPr>
        <w:t>on the average cooperative tendencies of group</w:t>
      </w:r>
      <w:r w:rsidR="00B90A7A" w:rsidRPr="001671AD">
        <w:rPr>
          <w:highlight w:val="yellow"/>
          <w:lang w:val="en-CA"/>
        </w:rPr>
        <w:t>s</w:t>
      </w:r>
      <w:r w:rsidR="00AB0695" w:rsidRPr="001671AD">
        <w:rPr>
          <w:highlight w:val="yellow"/>
          <w:lang w:val="en-CA"/>
        </w:rPr>
        <w:t xml:space="preserve">, which in turn </w:t>
      </w:r>
      <w:r w:rsidR="00696892" w:rsidRPr="001671AD">
        <w:rPr>
          <w:highlight w:val="yellow"/>
          <w:lang w:val="en-CA"/>
        </w:rPr>
        <w:t>are influenced by</w:t>
      </w:r>
      <w:r w:rsidR="00AB0695" w:rsidRPr="001671AD">
        <w:rPr>
          <w:highlight w:val="yellow"/>
          <w:lang w:val="en-CA"/>
        </w:rPr>
        <w:t xml:space="preserve"> the </w:t>
      </w:r>
      <w:r w:rsidR="000A280B" w:rsidRPr="001671AD">
        <w:rPr>
          <w:highlight w:val="yellow"/>
          <w:lang w:val="en-CA"/>
        </w:rPr>
        <w:t>relative fitness costs</w:t>
      </w:r>
      <w:r w:rsidR="00AB0695" w:rsidRPr="001671AD">
        <w:rPr>
          <w:highlight w:val="yellow"/>
          <w:lang w:val="en-CA"/>
        </w:rPr>
        <w:t xml:space="preserve"> of cooperation (</w:t>
      </w:r>
      <w:r w:rsidR="00B90A7A" w:rsidRPr="001671AD">
        <w:rPr>
          <w:highlight w:val="yellow"/>
          <w:lang w:val="en-CA"/>
        </w:rPr>
        <w:t>see</w:t>
      </w:r>
      <w:r w:rsidR="00AB0695" w:rsidRPr="001671AD">
        <w:rPr>
          <w:highlight w:val="yellow"/>
          <w:lang w:val="en-CA"/>
        </w:rPr>
        <w:t xml:space="preserve"> Van Veelen et al. 2010</w:t>
      </w:r>
      <w:r w:rsidR="00B90A7A" w:rsidRPr="001671AD">
        <w:rPr>
          <w:highlight w:val="yellow"/>
          <w:lang w:val="en-CA"/>
        </w:rPr>
        <w:t xml:space="preserve"> to understand how cooperation and group size attain a mutually dependent equilibrium</w:t>
      </w:r>
      <w:r w:rsidR="002F6415" w:rsidRPr="001671AD">
        <w:rPr>
          <w:highlight w:val="yellow"/>
          <w:lang w:val="en-CA"/>
        </w:rPr>
        <w:t>). N</w:t>
      </w:r>
      <w:r w:rsidR="00AB0695" w:rsidRPr="001671AD">
        <w:rPr>
          <w:highlight w:val="yellow"/>
          <w:lang w:val="en-CA"/>
        </w:rPr>
        <w:t xml:space="preserve">ote that in the simulations </w:t>
      </w:r>
      <w:r w:rsidR="002F6415" w:rsidRPr="001671AD">
        <w:rPr>
          <w:highlight w:val="yellow"/>
          <w:lang w:val="en-CA"/>
        </w:rPr>
        <w:t xml:space="preserve">the size of the groups formed depends on a group </w:t>
      </w:r>
      <w:r w:rsidR="00AB0695" w:rsidRPr="001671AD">
        <w:rPr>
          <w:highlight w:val="yellow"/>
          <w:lang w:val="en-CA"/>
        </w:rPr>
        <w:t xml:space="preserve">admission </w:t>
      </w:r>
      <w:r w:rsidR="002F6415" w:rsidRPr="001671AD">
        <w:rPr>
          <w:highlight w:val="yellow"/>
          <w:lang w:val="en-CA"/>
        </w:rPr>
        <w:t>function, which, in addition to relatedness, depends on</w:t>
      </w:r>
      <w:r w:rsidR="00AB0695" w:rsidRPr="001671AD">
        <w:rPr>
          <w:highlight w:val="yellow"/>
          <w:lang w:val="en-CA"/>
        </w:rPr>
        <w:t xml:space="preserve"> the optimum and stable group sizes, which can be calculated directly from </w:t>
      </w:r>
      <w:r w:rsidR="00B90A7A" w:rsidRPr="001671AD">
        <w:rPr>
          <w:highlight w:val="yellow"/>
          <w:lang w:val="en-CA"/>
        </w:rPr>
        <w:t xml:space="preserve">the group carrying capacity parameter and the average cooperative tendencies of the groups—see equations (3) in Avilés (1999) and </w:t>
      </w:r>
      <w:proofErr w:type="spellStart"/>
      <w:r w:rsidR="00B90A7A" w:rsidRPr="001671AD">
        <w:rPr>
          <w:highlight w:val="yellow"/>
          <w:lang w:val="en-CA"/>
        </w:rPr>
        <w:t>eq</w:t>
      </w:r>
      <w:proofErr w:type="spellEnd"/>
      <w:r w:rsidR="00B90A7A" w:rsidRPr="001671AD">
        <w:rPr>
          <w:highlight w:val="yellow"/>
          <w:lang w:val="en-CA"/>
        </w:rPr>
        <w:t xml:space="preserve"> (4) and (5) in the Appendix of Avilés et al. 2004)</w:t>
      </w:r>
      <w:r w:rsidRPr="001671AD">
        <w:rPr>
          <w:highlight w:val="yellow"/>
          <w:lang w:val="en-CA"/>
        </w:rPr>
        <w:t>.</w:t>
      </w:r>
      <w:r>
        <w:rPr>
          <w:lang w:val="en-CA"/>
        </w:rPr>
        <w:t xml:space="preserve">  </w:t>
      </w:r>
    </w:p>
    <w:p w:rsidR="001671AD" w:rsidRDefault="001671AD" w:rsidP="006D4DAE">
      <w:pPr>
        <w:spacing w:line="480" w:lineRule="auto"/>
        <w:rPr>
          <w:lang w:val="en-CA"/>
        </w:rPr>
      </w:pP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p>
    <w:p w:rsidR="007B28E9" w:rsidRDefault="002F6415" w:rsidP="007B28E9">
      <w:pPr>
        <w:spacing w:line="480" w:lineRule="auto"/>
        <w:rPr>
          <w:lang w:val="en-CA"/>
        </w:rPr>
      </w:pPr>
      <w:r>
        <w:rPr>
          <w:lang w:val="en-CA"/>
        </w:rPr>
        <w:t>Make this and the next section one, as these things are directly related to each other</w:t>
      </w:r>
      <w:r w:rsidR="007B28E9">
        <w:rPr>
          <w:lang w:val="en-CA"/>
        </w:rPr>
        <w:t>.  The level of kin preference that evolves is most affected by the intrinsic rate of growth (r</w:t>
      </w:r>
      <w:r w:rsidR="007B28E9">
        <w:rPr>
          <w:vertAlign w:val="superscript"/>
          <w:lang w:val="en-CA"/>
        </w:rPr>
        <w:t>2</w:t>
      </w:r>
      <w:r w:rsidR="007B28E9">
        <w:rPr>
          <w:lang w:val="en-CA"/>
        </w:rPr>
        <w:t xml:space="preserve">=0.88 table x) with higher levels of kin preference evolving as the R increases, with it apparently leveling off as R </w:t>
      </w:r>
      <w:r w:rsidR="007B28E9">
        <w:rPr>
          <w:lang w:val="en-CA"/>
        </w:rPr>
        <w:lastRenderedPageBreak/>
        <w:t>approaches 1.5 (figure 1).  Cost of cooperation, β, only has an effect on kin preference when both R is small (&lt; 1.0) and the group carrying capacity, 1/c, is large (C=0.02) (figure 1).</w:t>
      </w:r>
    </w:p>
    <w:p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3"/>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14"/>
      <w:r w:rsidR="00BD1977">
        <w:rPr>
          <w:lang w:val="en-CA"/>
        </w:rPr>
        <w:t>stable group size</w:t>
      </w:r>
      <w:commentRangeEnd w:id="14"/>
      <w:r w:rsidR="00BD1977">
        <w:rPr>
          <w:rStyle w:val="CommentReference"/>
        </w:rPr>
        <w:commentReference w:id="14"/>
      </w:r>
      <w:commentRangeEnd w:id="13"/>
      <w:r w:rsidR="00DA4CC4">
        <w:rPr>
          <w:rStyle w:val="CommentReference"/>
        </w:rPr>
        <w:commentReference w:id="13"/>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w:t>
      </w:r>
      <w:r w:rsidR="00BD1977">
        <w:rPr>
          <w:lang w:val="en-CA"/>
        </w:rPr>
        <w:lastRenderedPageBreak/>
        <w:t xml:space="preserve">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US"/>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9"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US"/>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10"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F65D8F" w:rsidRP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 xml:space="preserve">Interestingly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Pr="00C56895">
        <w:t xml:space="preserve">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lastRenderedPageBreak/>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15"/>
      <w:r w:rsidRPr="00C56895">
        <w:t>kin to join the group</w:t>
      </w:r>
      <w:commentRangeEnd w:id="15"/>
      <w:r w:rsidR="00C81024">
        <w:rPr>
          <w:rStyle w:val="CommentReference"/>
        </w:rPr>
        <w:commentReference w:id="15"/>
      </w:r>
      <w:r w:rsidRPr="00C56895">
        <w:t xml:space="preserve">. 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16"/>
      <w:r w:rsidRPr="00BE1656">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6"/>
      <w:r w:rsidR="00A91A03">
        <w:rPr>
          <w:rStyle w:val="CommentReference"/>
        </w:rPr>
        <w:commentReference w:id="16"/>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Veelen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lastRenderedPageBreak/>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1"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2" w:author="Ruth" w:date="2012-12-05T15:55:00Z" w:initials="R">
    <w:p w:rsidR="00C469A7" w:rsidRDefault="00C469A7" w:rsidP="001F1E45">
      <w:pPr>
        <w:pStyle w:val="CommentText"/>
      </w:pPr>
      <w:r>
        <w:rPr>
          <w:rStyle w:val="CommentReference"/>
        </w:rPr>
        <w:annotationRef/>
      </w:r>
      <w:r>
        <w:t>Is this still the case? Copied from Aviles 2005</w:t>
      </w: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4"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3"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5" w:author="Leticia Aviles" w:date="2012-12-04T18:09:00Z" w:initials="LA">
    <w:p w:rsidR="00C469A7" w:rsidRDefault="00C469A7">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6" w:author="Leticia Aviles" w:date="2012-12-04T18:09:00Z" w:initials="LA">
    <w:p w:rsidR="00C469A7" w:rsidRDefault="00C469A7">
      <w:pPr>
        <w:pStyle w:val="CommentText"/>
      </w:pPr>
      <w:r>
        <w:rPr>
          <w:rStyle w:val="CommentReference"/>
        </w:rPr>
        <w:annotationRef/>
      </w:r>
      <w:r>
        <w:t>This here sounds more like results than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671AD"/>
    <w:rsid w:val="001B22FF"/>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406C"/>
    <w:rsid w:val="003871B8"/>
    <w:rsid w:val="00394444"/>
    <w:rsid w:val="003A06D2"/>
    <w:rsid w:val="003B1B7A"/>
    <w:rsid w:val="003C42E7"/>
    <w:rsid w:val="0041505A"/>
    <w:rsid w:val="00445A96"/>
    <w:rsid w:val="00462EC9"/>
    <w:rsid w:val="004641DE"/>
    <w:rsid w:val="00473175"/>
    <w:rsid w:val="00474B4B"/>
    <w:rsid w:val="00475CDD"/>
    <w:rsid w:val="004B5931"/>
    <w:rsid w:val="004C4E31"/>
    <w:rsid w:val="004F535B"/>
    <w:rsid w:val="00503CE2"/>
    <w:rsid w:val="00511E13"/>
    <w:rsid w:val="00511E6B"/>
    <w:rsid w:val="005144DC"/>
    <w:rsid w:val="00516B3C"/>
    <w:rsid w:val="00520F92"/>
    <w:rsid w:val="005255CA"/>
    <w:rsid w:val="00561437"/>
    <w:rsid w:val="005714D3"/>
    <w:rsid w:val="00587A16"/>
    <w:rsid w:val="005A0ED0"/>
    <w:rsid w:val="005B2D09"/>
    <w:rsid w:val="005D22F7"/>
    <w:rsid w:val="006034E4"/>
    <w:rsid w:val="00604B78"/>
    <w:rsid w:val="00611A31"/>
    <w:rsid w:val="00626141"/>
    <w:rsid w:val="00630794"/>
    <w:rsid w:val="006308C2"/>
    <w:rsid w:val="00650D23"/>
    <w:rsid w:val="00674DA9"/>
    <w:rsid w:val="00696892"/>
    <w:rsid w:val="006D4DAE"/>
    <w:rsid w:val="006D5146"/>
    <w:rsid w:val="006F2AD2"/>
    <w:rsid w:val="007019C7"/>
    <w:rsid w:val="00720848"/>
    <w:rsid w:val="00746A81"/>
    <w:rsid w:val="00763107"/>
    <w:rsid w:val="00771039"/>
    <w:rsid w:val="007779D7"/>
    <w:rsid w:val="0078509D"/>
    <w:rsid w:val="007976D3"/>
    <w:rsid w:val="007B28E9"/>
    <w:rsid w:val="007E0C8B"/>
    <w:rsid w:val="007F3A99"/>
    <w:rsid w:val="00803A65"/>
    <w:rsid w:val="008112B6"/>
    <w:rsid w:val="00812218"/>
    <w:rsid w:val="008125C8"/>
    <w:rsid w:val="008363F2"/>
    <w:rsid w:val="00836E33"/>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330DA"/>
    <w:rsid w:val="00941C69"/>
    <w:rsid w:val="00962CE8"/>
    <w:rsid w:val="0098300B"/>
    <w:rsid w:val="009B36D4"/>
    <w:rsid w:val="009C160F"/>
    <w:rsid w:val="009D7B43"/>
    <w:rsid w:val="00A133BE"/>
    <w:rsid w:val="00A1787A"/>
    <w:rsid w:val="00A17DC4"/>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787D"/>
    <w:rsid w:val="00AE6D25"/>
    <w:rsid w:val="00B230A4"/>
    <w:rsid w:val="00B2743D"/>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C04AA"/>
    <w:rsid w:val="00D21BA0"/>
    <w:rsid w:val="00D2311B"/>
    <w:rsid w:val="00D35113"/>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F669C"/>
    <w:rsid w:val="00F06D90"/>
    <w:rsid w:val="00F12666"/>
    <w:rsid w:val="00F22885"/>
    <w:rsid w:val="00F53193"/>
    <w:rsid w:val="00F65D8F"/>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4217</Words>
  <Characters>24041</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Julian Garcia</cp:lastModifiedBy>
  <cp:revision>2</cp:revision>
  <cp:lastPrinted>2012-12-07T01:10:00Z</cp:lastPrinted>
  <dcterms:created xsi:type="dcterms:W3CDTF">2012-12-17T15:26:00Z</dcterms:created>
  <dcterms:modified xsi:type="dcterms:W3CDTF">2012-12-17T15:26:00Z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