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D14DA" w14:textId="19C9BE10" w:rsidR="00C46448" w:rsidRPr="001D6906" w:rsidRDefault="003849CC" w:rsidP="00D24BEC">
      <w:pPr>
        <w:pStyle w:val="Heading1"/>
      </w:pPr>
      <w:r w:rsidRPr="001D6906">
        <w:t xml:space="preserve">Project info </w:t>
      </w:r>
    </w:p>
    <w:p w14:paraId="6A65A57D" w14:textId="1BDD51DE" w:rsidR="003849CC" w:rsidRDefault="003849CC">
      <w:r>
        <w:t xml:space="preserve">The MEA Opportunities Commercial Optimisation </w:t>
      </w:r>
      <w:r w:rsidR="001D6906">
        <w:t xml:space="preserve">Hopper and </w:t>
      </w:r>
      <w:r>
        <w:t>Report is a Power BI dashboard</w:t>
      </w:r>
      <w:r w:rsidR="001D6906">
        <w:t xml:space="preserve"> based on a</w:t>
      </w:r>
      <w:r w:rsidR="00D24BEC">
        <w:t>n excel hopper</w:t>
      </w:r>
      <w:r>
        <w:t xml:space="preserve"> used to monitor Commercial Opportunities for the Middle East &amp; Africa Region. It uses the data found in the </w:t>
      </w:r>
      <w:hyperlink r:id="rId9" w:history="1">
        <w:r w:rsidRPr="003849CC">
          <w:rPr>
            <w:rStyle w:val="Hyperlink"/>
          </w:rPr>
          <w:t>MEA Profit Opportunities Tracker 21.04</w:t>
        </w:r>
      </w:hyperlink>
      <w:r>
        <w:t xml:space="preserve"> which can be found on the MEA Commercial Optimisation Team Channel. </w:t>
      </w:r>
    </w:p>
    <w:p w14:paraId="015B6250" w14:textId="6C6021EC" w:rsidR="003849CC" w:rsidRDefault="00FE40CF">
      <w:r>
        <w:t xml:space="preserve">The MEA Profit Opportunities Tracker is an excel file that lists the Asks, Levers and the estimates in 3 different estimation levels </w:t>
      </w:r>
      <w:r w:rsidRPr="00FE40CF">
        <w:rPr>
          <w:color w:val="4C94D8" w:themeColor="text2" w:themeTint="80"/>
        </w:rPr>
        <w:t>Hopper</w:t>
      </w:r>
      <w:r>
        <w:t xml:space="preserve">, </w:t>
      </w:r>
      <w:r w:rsidRPr="00FE40CF">
        <w:rPr>
          <w:color w:val="BF4E14" w:themeColor="accent2" w:themeShade="BF"/>
        </w:rPr>
        <w:t>ICT Estimates</w:t>
      </w:r>
      <w:r>
        <w:t xml:space="preserve">, and </w:t>
      </w:r>
      <w:r w:rsidRPr="00FE40CF">
        <w:rPr>
          <w:color w:val="00B050"/>
        </w:rPr>
        <w:t>Contract</w:t>
      </w:r>
      <w:r>
        <w:t>. The different estimation levels are used to show how accurate were we by comparing the estimation levels in the Baseline tab in the Power BI Dashboard.</w:t>
      </w:r>
    </w:p>
    <w:p w14:paraId="2B08765B" w14:textId="149A735D" w:rsidR="001113CA" w:rsidRDefault="00FE40CF" w:rsidP="00D24BEC">
      <w:pPr>
        <w:pStyle w:val="Heading1"/>
      </w:pPr>
      <w:r>
        <w:t>MEA Profit Opportunities Tracker 21.04</w:t>
      </w:r>
    </w:p>
    <w:p w14:paraId="03FDF7E6" w14:textId="056B1EDA" w:rsidR="00FE40CF" w:rsidRDefault="00FE40CF">
      <w:r>
        <w:t>The Opportunities Hopper, is the excel sheet where the data used for the Dashboard is used. It is split into the following sheets</w:t>
      </w:r>
    </w:p>
    <w:p w14:paraId="6FE47FFF" w14:textId="4EE0B87F" w:rsidR="00FE40CF" w:rsidRDefault="00FE40CF" w:rsidP="00D24BEC">
      <w:pPr>
        <w:pStyle w:val="Heading2"/>
      </w:pPr>
      <w:r>
        <w:t>MEA LOG</w:t>
      </w:r>
    </w:p>
    <w:p w14:paraId="6A4102D7" w14:textId="28390580" w:rsidR="001113CA" w:rsidRDefault="001113CA">
      <w:r w:rsidRPr="001113CA">
        <w:rPr>
          <w:noProof/>
        </w:rPr>
        <w:drawing>
          <wp:inline distT="0" distB="0" distL="0" distR="0" wp14:anchorId="2E94BD78" wp14:editId="67F2CA75">
            <wp:extent cx="5731510" cy="1254760"/>
            <wp:effectExtent l="0" t="0" r="2540" b="2540"/>
            <wp:docPr id="6190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23203" name=""/>
                    <pic:cNvPicPr/>
                  </pic:nvPicPr>
                  <pic:blipFill>
                    <a:blip r:embed="rId10"/>
                    <a:stretch>
                      <a:fillRect/>
                    </a:stretch>
                  </pic:blipFill>
                  <pic:spPr>
                    <a:xfrm>
                      <a:off x="0" y="0"/>
                      <a:ext cx="5731510" cy="1254760"/>
                    </a:xfrm>
                    <a:prstGeom prst="rect">
                      <a:avLst/>
                    </a:prstGeom>
                  </pic:spPr>
                </pic:pic>
              </a:graphicData>
            </a:graphic>
          </wp:inline>
        </w:drawing>
      </w:r>
    </w:p>
    <w:p w14:paraId="6E05E368" w14:textId="69F834B7" w:rsidR="001113CA" w:rsidRDefault="001113CA">
      <w:r>
        <w:t>The “MEA LOG” sheet lists the opportunities and any related details. This is where new opportunities is to be added, along with any details  relating to the opportunity i.e. Project name, Customer, Levers, Priority, Probability and Complexity. The Status (found in column Q) is to be updated as opportunities mature through the Status levels mentioned below:</w:t>
      </w:r>
    </w:p>
    <w:p w14:paraId="33014AD7" w14:textId="42750B4D" w:rsidR="001113CA" w:rsidRDefault="001113CA" w:rsidP="001113CA">
      <w:pPr>
        <w:pStyle w:val="ListParagraph"/>
        <w:numPr>
          <w:ilvl w:val="0"/>
          <w:numId w:val="1"/>
        </w:numPr>
      </w:pPr>
      <w:r>
        <w:t>Hopper</w:t>
      </w:r>
      <w:r w:rsidR="005A0253">
        <w:t xml:space="preserve">: Opportunity is defined and listed in the hopper </w:t>
      </w:r>
    </w:p>
    <w:p w14:paraId="5D7F5A14" w14:textId="1DD2BA01" w:rsidR="005A0253" w:rsidRDefault="005A0253" w:rsidP="001113CA">
      <w:pPr>
        <w:pStyle w:val="ListParagraph"/>
        <w:numPr>
          <w:ilvl w:val="0"/>
          <w:numId w:val="1"/>
        </w:numPr>
      </w:pPr>
      <w:r>
        <w:t xml:space="preserve">ICT: Approval to chase the Opportunity is obtained and an ICT is currently chasing the opportunity </w:t>
      </w:r>
    </w:p>
    <w:p w14:paraId="1DB9876A" w14:textId="2D5CE9EE" w:rsidR="005A0253" w:rsidRDefault="005A0253" w:rsidP="001113CA">
      <w:pPr>
        <w:pStyle w:val="ListParagraph"/>
        <w:numPr>
          <w:ilvl w:val="0"/>
          <w:numId w:val="1"/>
        </w:numPr>
      </w:pPr>
      <w:r>
        <w:t xml:space="preserve">Negotiations: Rolls-Royce is currently in contact with the specified customer on the opportunity </w:t>
      </w:r>
    </w:p>
    <w:p w14:paraId="3A0F1A40" w14:textId="57D09D35" w:rsidR="005A0253" w:rsidRDefault="005A0253" w:rsidP="001113CA">
      <w:pPr>
        <w:pStyle w:val="ListParagraph"/>
        <w:numPr>
          <w:ilvl w:val="0"/>
          <w:numId w:val="1"/>
        </w:numPr>
      </w:pPr>
      <w:r>
        <w:t xml:space="preserve">Contracting: Proposal and/or any relevant documents is signed by the customer, and a contract is being developed/amended </w:t>
      </w:r>
    </w:p>
    <w:p w14:paraId="230C9C07" w14:textId="7807237B" w:rsidR="005A0253" w:rsidRDefault="005A0253" w:rsidP="001113CA">
      <w:pPr>
        <w:pStyle w:val="ListParagraph"/>
        <w:numPr>
          <w:ilvl w:val="0"/>
          <w:numId w:val="1"/>
        </w:numPr>
      </w:pPr>
      <w:r>
        <w:t xml:space="preserve">Completed: Contract is signed </w:t>
      </w:r>
      <w:r w:rsidR="007B0161">
        <w:t>and profit is actualised.</w:t>
      </w:r>
    </w:p>
    <w:p w14:paraId="566F6991" w14:textId="77777777" w:rsidR="00075943" w:rsidRDefault="007B0161" w:rsidP="007B0161">
      <w:r>
        <w:t>The “</w:t>
      </w:r>
      <w:r w:rsidRPr="007B0161">
        <w:rPr>
          <w:color w:val="00B0F0"/>
        </w:rPr>
        <w:t>Hopper</w:t>
      </w:r>
      <w:r>
        <w:t xml:space="preserve">” level is where initial Account Management Evaluations Estimate is to be Inputted, however, as BE gets developed and more accurate estimates are evaluated, </w:t>
      </w:r>
      <w:r w:rsidR="00075943">
        <w:t xml:space="preserve">it is recommended to input new </w:t>
      </w:r>
      <w:r w:rsidR="00075943" w:rsidRPr="00075943">
        <w:rPr>
          <w:b/>
          <w:bCs/>
        </w:rPr>
        <w:t>Term Benefit,</w:t>
      </w:r>
      <w:r w:rsidR="00075943">
        <w:t xml:space="preserve"> </w:t>
      </w:r>
      <w:r w:rsidR="00075943">
        <w:rPr>
          <w:b/>
          <w:bCs/>
        </w:rPr>
        <w:t>2026,</w:t>
      </w:r>
      <w:r w:rsidR="00075943">
        <w:t xml:space="preserve"> and</w:t>
      </w:r>
      <w:r w:rsidR="00075943">
        <w:rPr>
          <w:b/>
          <w:bCs/>
        </w:rPr>
        <w:t xml:space="preserve"> 2027 </w:t>
      </w:r>
      <w:r w:rsidR="00075943">
        <w:t xml:space="preserve">estimates in the </w:t>
      </w:r>
      <w:r w:rsidR="00075943" w:rsidRPr="00075943">
        <w:rPr>
          <w:b/>
          <w:bCs/>
          <w:color w:val="FFC000"/>
        </w:rPr>
        <w:t>ICT Estimates</w:t>
      </w:r>
      <w:r w:rsidR="00075943">
        <w:t xml:space="preserve"> that can be accessed by clicking the </w:t>
      </w:r>
      <w:hyperlink r:id="rId11" w:anchor="'L2'!A1" w:history="1">
        <w:r w:rsidR="00075943" w:rsidRPr="00075943">
          <w:rPr>
            <w:rFonts w:ascii="Agency FB" w:eastAsia="Times New Roman" w:hAnsi="Agency FB" w:cs="Calibri"/>
            <w:b/>
            <w:bCs/>
            <w:color w:val="FFC000"/>
            <w:kern w:val="0"/>
            <w:sz w:val="28"/>
            <w:szCs w:val="28"/>
            <w:u w:val="single"/>
            <w:lang w:eastAsia="en-GB"/>
            <w14:ligatures w14:val="none"/>
          </w:rPr>
          <w:t>ICT Estimates</w:t>
        </w:r>
      </w:hyperlink>
      <w:r w:rsidR="00075943" w:rsidRPr="00075943">
        <w:t xml:space="preserve"> </w:t>
      </w:r>
      <w:r w:rsidR="00075943">
        <w:t>(which can be shown in the top right of Figure.1).</w:t>
      </w:r>
    </w:p>
    <w:p w14:paraId="65C4471D" w14:textId="77777777" w:rsidR="00075943" w:rsidRDefault="00075943" w:rsidP="007B0161">
      <w:r w:rsidRPr="00075943">
        <w:rPr>
          <w:noProof/>
        </w:rPr>
        <w:lastRenderedPageBreak/>
        <w:drawing>
          <wp:inline distT="0" distB="0" distL="0" distR="0" wp14:anchorId="26593B0B" wp14:editId="527CF50B">
            <wp:extent cx="5731510" cy="1162050"/>
            <wp:effectExtent l="0" t="0" r="2540" b="0"/>
            <wp:docPr id="190930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4446" name=""/>
                    <pic:cNvPicPr/>
                  </pic:nvPicPr>
                  <pic:blipFill>
                    <a:blip r:embed="rId12"/>
                    <a:stretch>
                      <a:fillRect/>
                    </a:stretch>
                  </pic:blipFill>
                  <pic:spPr>
                    <a:xfrm>
                      <a:off x="0" y="0"/>
                      <a:ext cx="5731510" cy="1162050"/>
                    </a:xfrm>
                    <a:prstGeom prst="rect">
                      <a:avLst/>
                    </a:prstGeom>
                  </pic:spPr>
                </pic:pic>
              </a:graphicData>
            </a:graphic>
          </wp:inline>
        </w:drawing>
      </w:r>
      <w:r>
        <w:t xml:space="preserve"> </w:t>
      </w:r>
    </w:p>
    <w:p w14:paraId="408A39C3" w14:textId="550E3961" w:rsidR="007B0161" w:rsidRDefault="00075943" w:rsidP="007B0161">
      <w:r>
        <w:t xml:space="preserve">The </w:t>
      </w:r>
      <w:hyperlink r:id="rId13" w:anchor="'L2'!A1" w:history="1">
        <w:r w:rsidRPr="00075943">
          <w:rPr>
            <w:rFonts w:ascii="Agency FB" w:eastAsia="Times New Roman" w:hAnsi="Agency FB" w:cs="Calibri"/>
            <w:b/>
            <w:bCs/>
            <w:color w:val="FFC000"/>
            <w:kern w:val="0"/>
            <w:sz w:val="28"/>
            <w:szCs w:val="28"/>
            <w:u w:val="single"/>
            <w:lang w:eastAsia="en-GB"/>
            <w14:ligatures w14:val="none"/>
          </w:rPr>
          <w:t>ICT Estimates</w:t>
        </w:r>
      </w:hyperlink>
      <w:r>
        <w:rPr>
          <w:rFonts w:ascii="Agency FB" w:eastAsia="Times New Roman" w:hAnsi="Agency FB" w:cs="Calibri"/>
          <w:b/>
          <w:bCs/>
          <w:color w:val="FFC000"/>
          <w:kern w:val="0"/>
          <w:sz w:val="28"/>
          <w:szCs w:val="28"/>
          <w:u w:val="single"/>
          <w:lang w:eastAsia="en-GB"/>
          <w14:ligatures w14:val="none"/>
        </w:rPr>
        <w:t xml:space="preserve"> </w:t>
      </w:r>
      <w:r>
        <w:t>(shown as L2 sheet in the excel workbook) is to only include Profit Impact estimates that was evaluated by the ICT team, Service Business, or BE teams</w:t>
      </w:r>
      <w:r w:rsidR="00C1141F">
        <w:t>. Columns C through Q is shaded as no input (other than estimates) should be inputted in the ICT sheet.</w:t>
      </w:r>
    </w:p>
    <w:p w14:paraId="55AF3505" w14:textId="4667B1FC" w:rsidR="00C1141F" w:rsidRDefault="00C1141F" w:rsidP="007B0161">
      <w:r w:rsidRPr="00C1141F">
        <w:rPr>
          <w:noProof/>
        </w:rPr>
        <w:drawing>
          <wp:inline distT="0" distB="0" distL="0" distR="0" wp14:anchorId="1323F52E" wp14:editId="344DA3A9">
            <wp:extent cx="5731510" cy="1159510"/>
            <wp:effectExtent l="0" t="0" r="2540" b="2540"/>
            <wp:docPr id="111392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23179" name=""/>
                    <pic:cNvPicPr/>
                  </pic:nvPicPr>
                  <pic:blipFill>
                    <a:blip r:embed="rId14"/>
                    <a:stretch>
                      <a:fillRect/>
                    </a:stretch>
                  </pic:blipFill>
                  <pic:spPr>
                    <a:xfrm>
                      <a:off x="0" y="0"/>
                      <a:ext cx="5731510" cy="1159510"/>
                    </a:xfrm>
                    <a:prstGeom prst="rect">
                      <a:avLst/>
                    </a:prstGeom>
                  </pic:spPr>
                </pic:pic>
              </a:graphicData>
            </a:graphic>
          </wp:inline>
        </w:drawing>
      </w:r>
    </w:p>
    <w:p w14:paraId="7C4873AB" w14:textId="77777777" w:rsidR="008B19A1" w:rsidRDefault="00C1141F">
      <w:r>
        <w:t>Similar to the ICT Estimates,</w:t>
      </w:r>
      <w:r w:rsidRPr="00C1141F">
        <w:rPr>
          <w:color w:val="92D050"/>
        </w:rPr>
        <w:t xml:space="preserve"> </w:t>
      </w:r>
      <w:hyperlink r:id="rId15" w:anchor="'L2'!A1" w:history="1">
        <w:r w:rsidRPr="00C1141F">
          <w:rPr>
            <w:rFonts w:ascii="Agency FB" w:eastAsia="Times New Roman" w:hAnsi="Agency FB" w:cs="Calibri"/>
            <w:b/>
            <w:bCs/>
            <w:color w:val="92D050"/>
            <w:kern w:val="0"/>
            <w:sz w:val="28"/>
            <w:szCs w:val="28"/>
            <w:u w:val="single"/>
            <w:lang w:eastAsia="en-GB"/>
            <w14:ligatures w14:val="none"/>
          </w:rPr>
          <w:t>Contract</w:t>
        </w:r>
      </w:hyperlink>
      <w:r>
        <w:rPr>
          <w:rFonts w:ascii="Agency FB" w:eastAsia="Times New Roman" w:hAnsi="Agency FB" w:cs="Calibri"/>
          <w:b/>
          <w:bCs/>
          <w:color w:val="92D050"/>
          <w:kern w:val="0"/>
          <w:sz w:val="28"/>
          <w:szCs w:val="28"/>
          <w:u w:val="single"/>
          <w:lang w:eastAsia="en-GB"/>
          <w14:ligatures w14:val="none"/>
        </w:rPr>
        <w:t xml:space="preserve"> </w:t>
      </w:r>
      <w:r>
        <w:t>Levels will include the estimates evaluated at the contracting level.</w:t>
      </w:r>
      <w:r w:rsidR="008B19A1">
        <w:t xml:space="preserve"> </w:t>
      </w:r>
    </w:p>
    <w:p w14:paraId="1DE35207" w14:textId="7B64BB5D" w:rsidR="00C1141F" w:rsidRDefault="008B19A1" w:rsidP="00D24BEC">
      <w:pPr>
        <w:pStyle w:val="Heading2"/>
      </w:pPr>
      <w:r>
        <w:t>Timeline Sheet</w:t>
      </w:r>
      <w:r w:rsidR="00C1141F">
        <w:t xml:space="preserve"> </w:t>
      </w:r>
    </w:p>
    <w:p w14:paraId="1095E420" w14:textId="5251FBEC" w:rsidR="001D6906" w:rsidRDefault="001D6906">
      <w:r w:rsidRPr="001D6906">
        <w:rPr>
          <w:noProof/>
        </w:rPr>
        <w:drawing>
          <wp:inline distT="0" distB="0" distL="0" distR="0" wp14:anchorId="2E3A7CE7" wp14:editId="7861E5AB">
            <wp:extent cx="5731510" cy="2263140"/>
            <wp:effectExtent l="0" t="0" r="2540" b="3810"/>
            <wp:docPr id="182328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1851" name=""/>
                    <pic:cNvPicPr/>
                  </pic:nvPicPr>
                  <pic:blipFill>
                    <a:blip r:embed="rId16"/>
                    <a:stretch>
                      <a:fillRect/>
                    </a:stretch>
                  </pic:blipFill>
                  <pic:spPr>
                    <a:xfrm>
                      <a:off x="0" y="0"/>
                      <a:ext cx="5731510" cy="2263140"/>
                    </a:xfrm>
                    <a:prstGeom prst="rect">
                      <a:avLst/>
                    </a:prstGeom>
                  </pic:spPr>
                </pic:pic>
              </a:graphicData>
            </a:graphic>
          </wp:inline>
        </w:drawing>
      </w:r>
    </w:p>
    <w:p w14:paraId="51F54363" w14:textId="32687366" w:rsidR="008B19A1" w:rsidRDefault="008B19A1">
      <w:r>
        <w:t xml:space="preserve">The Timeline sheet shows the Timeline and milestones set </w:t>
      </w:r>
      <w:r w:rsidR="001D6906">
        <w:t>against</w:t>
      </w:r>
      <w:r>
        <w:t xml:space="preserve"> </w:t>
      </w:r>
      <w:r w:rsidR="001D6906">
        <w:t xml:space="preserve">each project. The </w:t>
      </w:r>
      <w:r w:rsidR="00A86ABF">
        <w:t>Major</w:t>
      </w:r>
      <w:r w:rsidR="001D6906">
        <w:t xml:space="preserve"> milestones set for all projects are as follows:</w:t>
      </w:r>
    </w:p>
    <w:p w14:paraId="35079D2F" w14:textId="26C8BFF5" w:rsidR="001D6906" w:rsidRPr="001D6906" w:rsidRDefault="001D6906" w:rsidP="001D6906">
      <w:pPr>
        <w:pStyle w:val="ListParagraph"/>
        <w:numPr>
          <w:ilvl w:val="0"/>
          <w:numId w:val="2"/>
        </w:numPr>
        <w:rPr>
          <w:b/>
          <w:bCs/>
          <w:color w:val="0070C0"/>
        </w:rPr>
      </w:pPr>
      <w:r>
        <w:rPr>
          <w:b/>
          <w:bCs/>
          <w:color w:val="0070C0"/>
        </w:rPr>
        <w:t>Hopper</w:t>
      </w:r>
    </w:p>
    <w:p w14:paraId="6BD2358C" w14:textId="00C14A15" w:rsidR="001D6906" w:rsidRDefault="001D6906" w:rsidP="001D6906">
      <w:pPr>
        <w:pStyle w:val="ListParagraph"/>
        <w:numPr>
          <w:ilvl w:val="1"/>
          <w:numId w:val="2"/>
        </w:numPr>
      </w:pPr>
      <w:r>
        <w:t>Idea Generation</w:t>
      </w:r>
    </w:p>
    <w:p w14:paraId="4A56F907" w14:textId="0FFB406D" w:rsidR="001D6906" w:rsidRDefault="001D6906" w:rsidP="001D6906">
      <w:pPr>
        <w:pStyle w:val="ListParagraph"/>
        <w:numPr>
          <w:ilvl w:val="1"/>
          <w:numId w:val="2"/>
        </w:numPr>
      </w:pPr>
      <w:r>
        <w:t>Approval to Launch</w:t>
      </w:r>
    </w:p>
    <w:p w14:paraId="114B8EFD" w14:textId="6BB38406" w:rsidR="001D6906" w:rsidRDefault="001D6906" w:rsidP="001D6906">
      <w:pPr>
        <w:pStyle w:val="ListParagraph"/>
        <w:numPr>
          <w:ilvl w:val="0"/>
          <w:numId w:val="2"/>
        </w:numPr>
        <w:rPr>
          <w:b/>
          <w:bCs/>
          <w:color w:val="FFC000"/>
        </w:rPr>
      </w:pPr>
      <w:r w:rsidRPr="001D6906">
        <w:rPr>
          <w:b/>
          <w:bCs/>
          <w:color w:val="FFC000"/>
        </w:rPr>
        <w:t>ICT</w:t>
      </w:r>
    </w:p>
    <w:p w14:paraId="33316790" w14:textId="516FB01C" w:rsidR="001D6906" w:rsidRPr="001D6906" w:rsidRDefault="001D6906" w:rsidP="001D6906">
      <w:pPr>
        <w:pStyle w:val="ListParagraph"/>
        <w:numPr>
          <w:ilvl w:val="1"/>
          <w:numId w:val="2"/>
        </w:numPr>
        <w:rPr>
          <w:b/>
          <w:bCs/>
          <w:color w:val="FFC000"/>
        </w:rPr>
      </w:pPr>
      <w:r>
        <w:t>Strategy Approval</w:t>
      </w:r>
    </w:p>
    <w:p w14:paraId="6A2C9E33" w14:textId="6BE75AD7" w:rsidR="001D6906" w:rsidRPr="001D6906" w:rsidRDefault="001D6906" w:rsidP="001D6906">
      <w:pPr>
        <w:pStyle w:val="ListParagraph"/>
        <w:numPr>
          <w:ilvl w:val="1"/>
          <w:numId w:val="2"/>
        </w:numPr>
        <w:rPr>
          <w:b/>
          <w:bCs/>
          <w:color w:val="FFC000"/>
        </w:rPr>
      </w:pPr>
      <w:r>
        <w:t xml:space="preserve">BE Generated </w:t>
      </w:r>
    </w:p>
    <w:p w14:paraId="5CB42D08" w14:textId="02DA0612" w:rsidR="001D6906" w:rsidRPr="001D6906" w:rsidRDefault="001D6906" w:rsidP="001D6906">
      <w:pPr>
        <w:pStyle w:val="ListParagraph"/>
        <w:numPr>
          <w:ilvl w:val="1"/>
          <w:numId w:val="2"/>
        </w:numPr>
        <w:rPr>
          <w:b/>
          <w:bCs/>
          <w:color w:val="FFC000"/>
        </w:rPr>
      </w:pPr>
      <w:r>
        <w:t>Approval</w:t>
      </w:r>
    </w:p>
    <w:p w14:paraId="77919C6D" w14:textId="223096BF" w:rsidR="001D6906" w:rsidRDefault="001D6906" w:rsidP="001D6906">
      <w:pPr>
        <w:pStyle w:val="ListParagraph"/>
        <w:numPr>
          <w:ilvl w:val="0"/>
          <w:numId w:val="2"/>
        </w:numPr>
        <w:rPr>
          <w:b/>
          <w:bCs/>
          <w:color w:val="92D050"/>
        </w:rPr>
      </w:pPr>
      <w:r w:rsidRPr="001D6906">
        <w:rPr>
          <w:b/>
          <w:bCs/>
          <w:color w:val="92D050"/>
        </w:rPr>
        <w:t>Ne</w:t>
      </w:r>
      <w:r>
        <w:rPr>
          <w:b/>
          <w:bCs/>
          <w:color w:val="92D050"/>
        </w:rPr>
        <w:t>gotiations</w:t>
      </w:r>
    </w:p>
    <w:p w14:paraId="0FD049F4" w14:textId="05A18480" w:rsidR="001D6906" w:rsidRPr="001D6906" w:rsidRDefault="001D6906" w:rsidP="001D6906">
      <w:pPr>
        <w:pStyle w:val="ListParagraph"/>
        <w:numPr>
          <w:ilvl w:val="1"/>
          <w:numId w:val="2"/>
        </w:numPr>
        <w:rPr>
          <w:b/>
          <w:bCs/>
          <w:color w:val="92D050"/>
        </w:rPr>
      </w:pPr>
      <w:r>
        <w:t>Negotiation Strategy</w:t>
      </w:r>
    </w:p>
    <w:p w14:paraId="1114E485" w14:textId="77777777" w:rsidR="001D6906" w:rsidRPr="001D6906" w:rsidRDefault="001D6906" w:rsidP="001D6906">
      <w:pPr>
        <w:pStyle w:val="ListParagraph"/>
        <w:numPr>
          <w:ilvl w:val="1"/>
          <w:numId w:val="2"/>
        </w:numPr>
        <w:rPr>
          <w:b/>
          <w:bCs/>
          <w:color w:val="92D050"/>
        </w:rPr>
      </w:pPr>
      <w:r>
        <w:t>Proposal Submitted</w:t>
      </w:r>
    </w:p>
    <w:p w14:paraId="597FB1D3" w14:textId="2B981A7C" w:rsidR="001D6906" w:rsidRPr="001D6906" w:rsidRDefault="001D6906" w:rsidP="001D6906">
      <w:pPr>
        <w:pStyle w:val="ListParagraph"/>
        <w:numPr>
          <w:ilvl w:val="1"/>
          <w:numId w:val="2"/>
        </w:numPr>
        <w:rPr>
          <w:b/>
          <w:bCs/>
          <w:color w:val="92D050"/>
        </w:rPr>
      </w:pPr>
      <w:r>
        <w:lastRenderedPageBreak/>
        <w:t>Proposal Signed</w:t>
      </w:r>
    </w:p>
    <w:p w14:paraId="3C7CCC80" w14:textId="3202A9EF" w:rsidR="001D6906" w:rsidRDefault="00A86ABF" w:rsidP="00D3298A">
      <w:r>
        <w:t xml:space="preserve">Timelines will be inputted through “Date Input Sheet”. </w:t>
      </w:r>
      <w:r w:rsidR="00D3298A" w:rsidRPr="00D3298A">
        <w:t xml:space="preserve">Please make sure the dates entered in the “Date Input” sheet is consistent and </w:t>
      </w:r>
      <w:r w:rsidR="00D3298A" w:rsidRPr="00D3298A">
        <w:rPr>
          <w:b/>
          <w:bCs/>
        </w:rPr>
        <w:t xml:space="preserve">NO </w:t>
      </w:r>
      <w:r w:rsidR="00D3298A" w:rsidRPr="00D3298A">
        <w:t>milestones are set on the same week.</w:t>
      </w:r>
    </w:p>
    <w:p w14:paraId="7E1288DA" w14:textId="09E44DA2" w:rsidR="001D6906" w:rsidRDefault="00D24BEC" w:rsidP="00D24BEC">
      <w:pPr>
        <w:pStyle w:val="Heading1"/>
      </w:pPr>
      <w:r>
        <w:t>MEA Commercial Optimisation Dashboard (</w:t>
      </w:r>
      <w:r w:rsidR="001D6906">
        <w:t>Power BI</w:t>
      </w:r>
      <w:r>
        <w:t xml:space="preserve"> Report)</w:t>
      </w:r>
    </w:p>
    <w:p w14:paraId="0118AB7F" w14:textId="71D4ECE0" w:rsidR="00CB31F4" w:rsidRPr="00CB31F4" w:rsidRDefault="00CB31F4" w:rsidP="00CB31F4">
      <w:pPr>
        <w:pStyle w:val="Heading2"/>
      </w:pPr>
      <w:r>
        <w:t>Data Connection</w:t>
      </w:r>
    </w:p>
    <w:p w14:paraId="57652AA1" w14:textId="77CAD8DF" w:rsidR="001D6906" w:rsidRPr="001D6906" w:rsidRDefault="001D6906" w:rsidP="001D6906">
      <w:pPr>
        <w:rPr>
          <w:b/>
          <w:bCs/>
        </w:rPr>
      </w:pPr>
      <w:r>
        <w:t>The Power BI runs of the data found in the Hopper file.</w:t>
      </w:r>
      <w:r w:rsidR="00D24BEC">
        <w:t xml:space="preserve"> The data is connected via a SharePoint folder connection to the MEA Commercial Optimisation SharePoint.   </w:t>
      </w:r>
      <w:r>
        <w:t xml:space="preserve">  </w:t>
      </w:r>
    </w:p>
    <w:p w14:paraId="79D72D55" w14:textId="7D464A85" w:rsidR="00C1141F" w:rsidRDefault="00D24BEC">
      <w:r w:rsidRPr="00D24BEC">
        <w:rPr>
          <w:noProof/>
        </w:rPr>
        <w:drawing>
          <wp:inline distT="0" distB="0" distL="0" distR="0" wp14:anchorId="2D284E1E" wp14:editId="0AD53025">
            <wp:extent cx="2709722" cy="2444435"/>
            <wp:effectExtent l="19050" t="19050" r="14605" b="13335"/>
            <wp:docPr id="9470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1739" name=""/>
                    <pic:cNvPicPr/>
                  </pic:nvPicPr>
                  <pic:blipFill>
                    <a:blip r:embed="rId17"/>
                    <a:stretch>
                      <a:fillRect/>
                    </a:stretch>
                  </pic:blipFill>
                  <pic:spPr>
                    <a:xfrm>
                      <a:off x="0" y="0"/>
                      <a:ext cx="2728476" cy="2461353"/>
                    </a:xfrm>
                    <a:prstGeom prst="rect">
                      <a:avLst/>
                    </a:prstGeom>
                    <a:ln>
                      <a:solidFill>
                        <a:schemeClr val="tx1"/>
                      </a:solidFill>
                    </a:ln>
                  </pic:spPr>
                </pic:pic>
              </a:graphicData>
            </a:graphic>
          </wp:inline>
        </w:drawing>
      </w:r>
      <w:r w:rsidRPr="00D24BEC">
        <w:rPr>
          <w:noProof/>
        </w:rPr>
        <w:drawing>
          <wp:inline distT="0" distB="0" distL="0" distR="0" wp14:anchorId="0CA5CFEC" wp14:editId="5ABAABD8">
            <wp:extent cx="2058352" cy="1991762"/>
            <wp:effectExtent l="19050" t="19050" r="18415" b="27940"/>
            <wp:docPr id="112708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1344" name=""/>
                    <pic:cNvPicPr/>
                  </pic:nvPicPr>
                  <pic:blipFill>
                    <a:blip r:embed="rId18"/>
                    <a:stretch>
                      <a:fillRect/>
                    </a:stretch>
                  </pic:blipFill>
                  <pic:spPr>
                    <a:xfrm>
                      <a:off x="0" y="0"/>
                      <a:ext cx="2062412" cy="1995691"/>
                    </a:xfrm>
                    <a:prstGeom prst="rect">
                      <a:avLst/>
                    </a:prstGeom>
                    <a:ln>
                      <a:solidFill>
                        <a:schemeClr val="tx1"/>
                      </a:solidFill>
                    </a:ln>
                  </pic:spPr>
                </pic:pic>
              </a:graphicData>
            </a:graphic>
          </wp:inline>
        </w:drawing>
      </w:r>
    </w:p>
    <w:p w14:paraId="72CD8AD8" w14:textId="5B0535B3" w:rsidR="00D24BEC" w:rsidRDefault="00D24BEC">
      <w:r w:rsidRPr="00D24BEC">
        <w:rPr>
          <w:noProof/>
        </w:rPr>
        <w:drawing>
          <wp:inline distT="0" distB="0" distL="0" distR="0" wp14:anchorId="71E9E9F8" wp14:editId="563A3A1D">
            <wp:extent cx="5731510" cy="1798320"/>
            <wp:effectExtent l="19050" t="19050" r="21590" b="11430"/>
            <wp:docPr id="138151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12004" name=""/>
                    <pic:cNvPicPr/>
                  </pic:nvPicPr>
                  <pic:blipFill>
                    <a:blip r:embed="rId19"/>
                    <a:stretch>
                      <a:fillRect/>
                    </a:stretch>
                  </pic:blipFill>
                  <pic:spPr>
                    <a:xfrm>
                      <a:off x="0" y="0"/>
                      <a:ext cx="5731510" cy="1798320"/>
                    </a:xfrm>
                    <a:prstGeom prst="rect">
                      <a:avLst/>
                    </a:prstGeom>
                    <a:ln>
                      <a:solidFill>
                        <a:schemeClr val="tx1"/>
                      </a:solidFill>
                    </a:ln>
                  </pic:spPr>
                </pic:pic>
              </a:graphicData>
            </a:graphic>
          </wp:inline>
        </w:drawing>
      </w:r>
    </w:p>
    <w:p w14:paraId="787498D3" w14:textId="44F1114F" w:rsidR="00D24BEC" w:rsidRDefault="00701D0B">
      <w:r>
        <w:t>This generates a query of all files that can be found in the SharePoint folder, from which the “MEA Profit Opportunity Tracker 21.04.xlsx” was selected, and the “MEA LOG” sheet was imported to create the “LOG sheet” Query.</w:t>
      </w:r>
    </w:p>
    <w:p w14:paraId="6934AFF9" w14:textId="2C31D23D" w:rsidR="00701D0B" w:rsidRDefault="00701D0B">
      <w:r w:rsidRPr="00701D0B">
        <w:rPr>
          <w:noProof/>
        </w:rPr>
        <w:lastRenderedPageBreak/>
        <w:drawing>
          <wp:inline distT="0" distB="0" distL="0" distR="0" wp14:anchorId="0E5B3665" wp14:editId="7D2C630E">
            <wp:extent cx="5731510" cy="3226435"/>
            <wp:effectExtent l="0" t="0" r="2540" b="0"/>
            <wp:docPr id="155248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81087" name=""/>
                    <pic:cNvPicPr/>
                  </pic:nvPicPr>
                  <pic:blipFill>
                    <a:blip r:embed="rId20"/>
                    <a:stretch>
                      <a:fillRect/>
                    </a:stretch>
                  </pic:blipFill>
                  <pic:spPr>
                    <a:xfrm>
                      <a:off x="0" y="0"/>
                      <a:ext cx="5731510" cy="3226435"/>
                    </a:xfrm>
                    <a:prstGeom prst="rect">
                      <a:avLst/>
                    </a:prstGeom>
                  </pic:spPr>
                </pic:pic>
              </a:graphicData>
            </a:graphic>
          </wp:inline>
        </w:drawing>
      </w:r>
    </w:p>
    <w:p w14:paraId="4917111D" w14:textId="620017BD" w:rsidR="00701D0B" w:rsidRDefault="00701D0B">
      <w:r>
        <w:t xml:space="preserve">Clean up of the query can be done by removing the Top empty rows, unnecessary columns.  Troubleshooting can be done through this tab as it shows where the error is located depending on the applied Power Query Step. </w:t>
      </w:r>
    </w:p>
    <w:p w14:paraId="44A3C8E7" w14:textId="6BF0CE1A" w:rsidR="00701D0B" w:rsidRDefault="00701D0B">
      <w:r>
        <w:t>The following Queries are used in the Power BI Report:</w:t>
      </w:r>
    </w:p>
    <w:tbl>
      <w:tblPr>
        <w:tblStyle w:val="TableGrid"/>
        <w:tblW w:w="0" w:type="auto"/>
        <w:tblInd w:w="-5" w:type="dxa"/>
        <w:tblLook w:val="04A0" w:firstRow="1" w:lastRow="0" w:firstColumn="1" w:lastColumn="0" w:noHBand="0" w:noVBand="1"/>
      </w:tblPr>
      <w:tblGrid>
        <w:gridCol w:w="2127"/>
        <w:gridCol w:w="6894"/>
      </w:tblGrid>
      <w:tr w:rsidR="00CB31F4" w:rsidRPr="00CB31F4" w14:paraId="2996E2C4" w14:textId="4F184BC8" w:rsidTr="00CB31F4">
        <w:tc>
          <w:tcPr>
            <w:tcW w:w="2127" w:type="dxa"/>
          </w:tcPr>
          <w:p w14:paraId="2F7EABF0" w14:textId="0FC70D57" w:rsidR="00CB31F4" w:rsidRPr="00CB31F4" w:rsidRDefault="00CB31F4" w:rsidP="001C3F22">
            <w:r w:rsidRPr="00CB31F4">
              <w:t>LOG Sheet</w:t>
            </w:r>
          </w:p>
        </w:tc>
        <w:tc>
          <w:tcPr>
            <w:tcW w:w="6894" w:type="dxa"/>
          </w:tcPr>
          <w:p w14:paraId="72201E15" w14:textId="430429A0" w:rsidR="00CB31F4" w:rsidRPr="00CB31F4" w:rsidRDefault="00CB31F4" w:rsidP="001C3F22">
            <w:r w:rsidRPr="00CB31F4">
              <w:t>Data extracted from the “MEA LOG” sheet</w:t>
            </w:r>
          </w:p>
        </w:tc>
      </w:tr>
      <w:tr w:rsidR="00CB31F4" w:rsidRPr="00CB31F4" w14:paraId="6615F6B8" w14:textId="552EF115" w:rsidTr="00CB31F4">
        <w:tc>
          <w:tcPr>
            <w:tcW w:w="2127" w:type="dxa"/>
          </w:tcPr>
          <w:p w14:paraId="1C86451C" w14:textId="06C9312C" w:rsidR="00CB31F4" w:rsidRPr="00CB31F4" w:rsidRDefault="00CB31F4" w:rsidP="001C3F22">
            <w:r w:rsidRPr="00CB31F4">
              <w:t>ICT</w:t>
            </w:r>
          </w:p>
        </w:tc>
        <w:tc>
          <w:tcPr>
            <w:tcW w:w="6894" w:type="dxa"/>
          </w:tcPr>
          <w:p w14:paraId="04E38A60" w14:textId="65DE5063" w:rsidR="00CB31F4" w:rsidRPr="00CB31F4" w:rsidRDefault="00CB31F4" w:rsidP="001C3F22">
            <w:r w:rsidRPr="00CB31F4">
              <w:t>Data Extracted from the “ICT Estimates”/L2 Sheet</w:t>
            </w:r>
          </w:p>
        </w:tc>
      </w:tr>
      <w:tr w:rsidR="00CB31F4" w:rsidRPr="00CB31F4" w14:paraId="664C2D19" w14:textId="28402CE3" w:rsidTr="00CB31F4">
        <w:tc>
          <w:tcPr>
            <w:tcW w:w="2127" w:type="dxa"/>
          </w:tcPr>
          <w:p w14:paraId="73A6EFD8" w14:textId="32603927" w:rsidR="00CB31F4" w:rsidRPr="00CB31F4" w:rsidRDefault="00CB31F4" w:rsidP="001C3F22">
            <w:r w:rsidRPr="00CB31F4">
              <w:t>Contracting</w:t>
            </w:r>
          </w:p>
        </w:tc>
        <w:tc>
          <w:tcPr>
            <w:tcW w:w="6894" w:type="dxa"/>
          </w:tcPr>
          <w:p w14:paraId="4106DA27" w14:textId="564C71F4" w:rsidR="00CB31F4" w:rsidRPr="00CB31F4" w:rsidRDefault="00CB31F4" w:rsidP="001C3F22">
            <w:r w:rsidRPr="00CB31F4">
              <w:t>Data Extracted from the “Contracting”/L3 sheet</w:t>
            </w:r>
          </w:p>
        </w:tc>
      </w:tr>
      <w:tr w:rsidR="00CB31F4" w:rsidRPr="00CB31F4" w14:paraId="0CE60D56" w14:textId="3EEBF444" w:rsidTr="00CB31F4">
        <w:tc>
          <w:tcPr>
            <w:tcW w:w="2127" w:type="dxa"/>
          </w:tcPr>
          <w:p w14:paraId="136B0D33" w14:textId="13C43F2F" w:rsidR="00CB31F4" w:rsidRPr="00CB31F4" w:rsidRDefault="00CB31F4" w:rsidP="001C3F22">
            <w:r w:rsidRPr="00CB31F4">
              <w:t>Timeline</w:t>
            </w:r>
          </w:p>
        </w:tc>
        <w:tc>
          <w:tcPr>
            <w:tcW w:w="6894" w:type="dxa"/>
          </w:tcPr>
          <w:p w14:paraId="7D06B655" w14:textId="6AB8B135" w:rsidR="00CB31F4" w:rsidRPr="00CB31F4" w:rsidRDefault="00CB31F4" w:rsidP="001C3F22">
            <w:r w:rsidRPr="00CB31F4">
              <w:t>Timeline data that can be found in “Timeline” sheet</w:t>
            </w:r>
          </w:p>
        </w:tc>
      </w:tr>
    </w:tbl>
    <w:p w14:paraId="4E7292B2" w14:textId="5B151B9A" w:rsidR="00D8503C" w:rsidRDefault="00D8503C" w:rsidP="00D8503C">
      <w:r>
        <w:t xml:space="preserve">The extracted queries are linked to the following Datasets </w:t>
      </w:r>
    </w:p>
    <w:p w14:paraId="0DE85E42" w14:textId="77777777" w:rsidR="00CB31F4" w:rsidRDefault="00D8503C" w:rsidP="00D8503C">
      <w:r>
        <w:tab/>
      </w:r>
    </w:p>
    <w:tbl>
      <w:tblPr>
        <w:tblStyle w:val="TableGrid"/>
        <w:tblW w:w="0" w:type="auto"/>
        <w:tblLook w:val="04A0" w:firstRow="1" w:lastRow="0" w:firstColumn="1" w:lastColumn="0" w:noHBand="0" w:noVBand="1"/>
      </w:tblPr>
      <w:tblGrid>
        <w:gridCol w:w="2122"/>
        <w:gridCol w:w="6894"/>
      </w:tblGrid>
      <w:tr w:rsidR="00CB31F4" w:rsidRPr="00CB31F4" w14:paraId="120F48D9" w14:textId="1B1D138F" w:rsidTr="00CB31F4">
        <w:tc>
          <w:tcPr>
            <w:tcW w:w="2122" w:type="dxa"/>
          </w:tcPr>
          <w:p w14:paraId="5F3BBEB0" w14:textId="65352192" w:rsidR="00CB31F4" w:rsidRPr="00CB31F4" w:rsidRDefault="00CB31F4" w:rsidP="00FF1E26">
            <w:r w:rsidRPr="00CB31F4">
              <w:t>Calendar_Weekly</w:t>
            </w:r>
          </w:p>
        </w:tc>
        <w:tc>
          <w:tcPr>
            <w:tcW w:w="6894" w:type="dxa"/>
          </w:tcPr>
          <w:p w14:paraId="45840368" w14:textId="37A22AD7" w:rsidR="00CB31F4" w:rsidRPr="00CB31F4" w:rsidRDefault="00CB31F4" w:rsidP="00FF1E26">
            <w:r w:rsidRPr="00CB31F4">
              <w:t>Used to generate the Timeline Matrix found in the Timeline tab</w:t>
            </w:r>
          </w:p>
        </w:tc>
      </w:tr>
      <w:tr w:rsidR="00CB31F4" w14:paraId="5DA497E4" w14:textId="748377EE" w:rsidTr="00CB31F4">
        <w:tc>
          <w:tcPr>
            <w:tcW w:w="2122" w:type="dxa"/>
          </w:tcPr>
          <w:p w14:paraId="6F6A5750" w14:textId="244B55A5" w:rsidR="00CB31F4" w:rsidRDefault="00CB31F4" w:rsidP="00FF1E26">
            <w:r w:rsidRPr="00CB31F4">
              <w:t>Customer_W/C</w:t>
            </w:r>
          </w:p>
        </w:tc>
        <w:tc>
          <w:tcPr>
            <w:tcW w:w="6894" w:type="dxa"/>
          </w:tcPr>
          <w:p w14:paraId="729CECC7" w14:textId="6476A4E0" w:rsidR="00CB31F4" w:rsidRPr="00CB31F4" w:rsidRDefault="00CB31F4" w:rsidP="00FF1E26">
            <w:r w:rsidRPr="00CB31F4">
              <w:t>Used to link the milestones and customer to the Calendar_Weekly</w:t>
            </w:r>
          </w:p>
        </w:tc>
      </w:tr>
    </w:tbl>
    <w:p w14:paraId="316EBCBC" w14:textId="51D7CF62" w:rsidR="00D8503C" w:rsidRDefault="00D8503C" w:rsidP="00D8503C">
      <w:r>
        <w:t>Dataset</w:t>
      </w:r>
    </w:p>
    <w:tbl>
      <w:tblPr>
        <w:tblStyle w:val="TableGrid"/>
        <w:tblW w:w="0" w:type="auto"/>
        <w:tblLook w:val="04A0" w:firstRow="1" w:lastRow="0" w:firstColumn="1" w:lastColumn="0" w:noHBand="0" w:noVBand="1"/>
      </w:tblPr>
      <w:tblGrid>
        <w:gridCol w:w="2122"/>
        <w:gridCol w:w="6894"/>
      </w:tblGrid>
      <w:tr w:rsidR="00CB31F4" w:rsidRPr="00CB31F4" w14:paraId="6558DA1C" w14:textId="77777777" w:rsidTr="00CB31F4">
        <w:tc>
          <w:tcPr>
            <w:tcW w:w="2122" w:type="dxa"/>
          </w:tcPr>
          <w:p w14:paraId="236E497F" w14:textId="4DD70AD2" w:rsidR="00CB31F4" w:rsidRPr="00CB31F4" w:rsidRDefault="00CB31F4" w:rsidP="00155D90">
            <w:r w:rsidRPr="00CB31F4">
              <w:t>Probability Sort</w:t>
            </w:r>
          </w:p>
        </w:tc>
        <w:tc>
          <w:tcPr>
            <w:tcW w:w="6894" w:type="dxa"/>
          </w:tcPr>
          <w:p w14:paraId="590664E0" w14:textId="26B13763" w:rsidR="00CB31F4" w:rsidRPr="00CB31F4" w:rsidRDefault="00CB31F4" w:rsidP="00155D90">
            <w:r w:rsidRPr="00CB31F4">
              <w:t xml:space="preserve">Used to sort the probability from Low to High in Power BI visuals </w:t>
            </w:r>
          </w:p>
        </w:tc>
      </w:tr>
      <w:tr w:rsidR="00CB31F4" w:rsidRPr="00CB31F4" w14:paraId="74A56877" w14:textId="77777777" w:rsidTr="00CB31F4">
        <w:tc>
          <w:tcPr>
            <w:tcW w:w="2122" w:type="dxa"/>
          </w:tcPr>
          <w:p w14:paraId="1CB4643A" w14:textId="54EBA810" w:rsidR="00CB31F4" w:rsidRPr="00CB31F4" w:rsidRDefault="00CB31F4" w:rsidP="00155D90">
            <w:r w:rsidRPr="00CB31F4">
              <w:t>Project Status</w:t>
            </w:r>
          </w:p>
        </w:tc>
        <w:tc>
          <w:tcPr>
            <w:tcW w:w="6894" w:type="dxa"/>
          </w:tcPr>
          <w:p w14:paraId="4F75C8CE" w14:textId="6D4D4D49" w:rsidR="00CB31F4" w:rsidRPr="00CB31F4" w:rsidRDefault="00CB31F4" w:rsidP="00155D90">
            <w:r w:rsidRPr="00CB31F4">
              <w:t xml:space="preserve">Lists all Customers and Projects </w:t>
            </w:r>
          </w:p>
        </w:tc>
      </w:tr>
      <w:tr w:rsidR="00CB31F4" w:rsidRPr="00CB31F4" w14:paraId="728C9BCE" w14:textId="77777777" w:rsidTr="00CB31F4">
        <w:tc>
          <w:tcPr>
            <w:tcW w:w="2122" w:type="dxa"/>
          </w:tcPr>
          <w:p w14:paraId="08A59113" w14:textId="19153852" w:rsidR="00CB31F4" w:rsidRPr="00CB31F4" w:rsidRDefault="00CB31F4" w:rsidP="00155D90">
            <w:r w:rsidRPr="00CB31F4">
              <w:t>Status_Stages</w:t>
            </w:r>
          </w:p>
        </w:tc>
        <w:tc>
          <w:tcPr>
            <w:tcW w:w="6894" w:type="dxa"/>
          </w:tcPr>
          <w:p w14:paraId="52BB327C" w14:textId="1FF93BCF" w:rsidR="00CB31F4" w:rsidRPr="00CB31F4" w:rsidRDefault="00CB31F4" w:rsidP="00155D90">
            <w:r w:rsidRPr="00CB31F4">
              <w:t>Sort the Milestones used in the Timeline</w:t>
            </w:r>
          </w:p>
        </w:tc>
      </w:tr>
      <w:tr w:rsidR="00CB31F4" w:rsidRPr="00CB31F4" w14:paraId="45969539" w14:textId="77777777" w:rsidTr="00CB31F4">
        <w:tc>
          <w:tcPr>
            <w:tcW w:w="2122" w:type="dxa"/>
          </w:tcPr>
          <w:p w14:paraId="6754B762" w14:textId="5359553E" w:rsidR="00CB31F4" w:rsidRPr="00CB31F4" w:rsidRDefault="00CB31F4" w:rsidP="00155D90">
            <w:r>
              <w:t>Week Commence Dates</w:t>
            </w:r>
          </w:p>
        </w:tc>
        <w:tc>
          <w:tcPr>
            <w:tcW w:w="6894" w:type="dxa"/>
          </w:tcPr>
          <w:p w14:paraId="380C293B" w14:textId="25AF60AF" w:rsidR="00CB31F4" w:rsidRPr="00CB31F4" w:rsidRDefault="00CB31F4" w:rsidP="00155D90">
            <w:r>
              <w:t>Used to generate a list of all Week Commence dates from 30-12-2024 to 20-12-2027</w:t>
            </w:r>
          </w:p>
        </w:tc>
      </w:tr>
    </w:tbl>
    <w:p w14:paraId="0C4B67FC" w14:textId="77777777" w:rsidR="00CB31F4" w:rsidRDefault="00CB31F4" w:rsidP="00D8503C"/>
    <w:p w14:paraId="26F25ED8" w14:textId="77777777" w:rsidR="00CB31F4" w:rsidRDefault="00CB31F4" w:rsidP="00D8503C"/>
    <w:p w14:paraId="51EA6386" w14:textId="77777777" w:rsidR="00CB31F4" w:rsidRDefault="00CB31F4" w:rsidP="00D8503C"/>
    <w:p w14:paraId="135607CF" w14:textId="77777777" w:rsidR="00CB31F4" w:rsidRDefault="00CB31F4" w:rsidP="00D8503C"/>
    <w:p w14:paraId="6422DD98" w14:textId="77777777" w:rsidR="00CB31F4" w:rsidRDefault="00CB31F4" w:rsidP="00D8503C"/>
    <w:p w14:paraId="78DD484F" w14:textId="66765189" w:rsidR="00D8503C" w:rsidRDefault="00D8503C" w:rsidP="00D8503C">
      <w:r>
        <w:tab/>
      </w:r>
    </w:p>
    <w:p w14:paraId="16BC8F2F" w14:textId="532D637D" w:rsidR="00AD2171" w:rsidRDefault="00AD2171" w:rsidP="00CB31F4">
      <w:pPr>
        <w:pStyle w:val="Heading2"/>
      </w:pPr>
      <w:r>
        <w:lastRenderedPageBreak/>
        <w:t>Report tab</w:t>
      </w:r>
    </w:p>
    <w:p w14:paraId="530D757E" w14:textId="058A06D9" w:rsidR="00364301" w:rsidRDefault="00364301" w:rsidP="00D8503C">
      <w:r w:rsidRPr="00364301">
        <w:rPr>
          <w:noProof/>
        </w:rPr>
        <w:drawing>
          <wp:inline distT="0" distB="0" distL="0" distR="0" wp14:anchorId="1B3558F9" wp14:editId="10A0DE84">
            <wp:extent cx="5731510" cy="3181350"/>
            <wp:effectExtent l="0" t="0" r="0" b="0"/>
            <wp:docPr id="84990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00060" name=""/>
                    <pic:cNvPicPr/>
                  </pic:nvPicPr>
                  <pic:blipFill>
                    <a:blip r:embed="rId21"/>
                    <a:stretch>
                      <a:fillRect/>
                    </a:stretch>
                  </pic:blipFill>
                  <pic:spPr>
                    <a:xfrm>
                      <a:off x="0" y="0"/>
                      <a:ext cx="5731510" cy="3181350"/>
                    </a:xfrm>
                    <a:prstGeom prst="rect">
                      <a:avLst/>
                    </a:prstGeom>
                  </pic:spPr>
                </pic:pic>
              </a:graphicData>
            </a:graphic>
          </wp:inline>
        </w:drawing>
      </w:r>
    </w:p>
    <w:p w14:paraId="541C5CC6" w14:textId="470C8109" w:rsidR="00AD2171" w:rsidRDefault="00AD2171" w:rsidP="00D8503C">
      <w:r>
        <w:t>The report tab visualises financial impact of all opportunities. The Totals that can be found on the top of the report shows the sum per the corresponding term. They’re effected by any filters that are applied on the report, showing the totals for a specific customer, opportunity type, or sum of impact all opportunities in a specific status.</w:t>
      </w:r>
    </w:p>
    <w:p w14:paraId="5B448EE0" w14:textId="10309B63" w:rsidR="00364301" w:rsidRDefault="00364301" w:rsidP="00D8503C">
      <w:r>
        <w:t xml:space="preserve">The Estimation level can be selected using the “Estimation Level” filter found on the rightmost section of the tab. </w:t>
      </w:r>
    </w:p>
    <w:p w14:paraId="58D26325" w14:textId="3C66297D" w:rsidR="00364301" w:rsidRDefault="00364301" w:rsidP="00CB31F4">
      <w:pPr>
        <w:pStyle w:val="Heading2"/>
      </w:pPr>
      <w:r>
        <w:t>Baseline tab</w:t>
      </w:r>
    </w:p>
    <w:p w14:paraId="6FF7018D" w14:textId="77777777" w:rsidR="00364301" w:rsidRDefault="00364301" w:rsidP="00D8503C"/>
    <w:p w14:paraId="0F8B507E" w14:textId="4CFE9BAE" w:rsidR="00364301" w:rsidRDefault="00364301" w:rsidP="00D8503C">
      <w:r>
        <w:t xml:space="preserve">The Baseline tab is where includes a line graph that can be shown in the bottom section showing the difference between the Hopper, ICT and Contracting Estimates, Totals can be shown on the left of the estimation baseline  </w:t>
      </w:r>
    </w:p>
    <w:p w14:paraId="3DC79A78" w14:textId="6ED21F17" w:rsidR="00364301" w:rsidRDefault="00364301" w:rsidP="00D8503C"/>
    <w:p w14:paraId="5DEF736E" w14:textId="592F0AC0" w:rsidR="00364301" w:rsidRDefault="00364301" w:rsidP="00CB31F4">
      <w:pPr>
        <w:pStyle w:val="Heading2"/>
      </w:pPr>
      <w:r>
        <w:t>Timeline Tab</w:t>
      </w:r>
    </w:p>
    <w:p w14:paraId="60F5C3F1" w14:textId="49560D17" w:rsidR="00364301" w:rsidRDefault="00364301" w:rsidP="00D8503C">
      <w:r>
        <w:t xml:space="preserve">The Timeline tab shows the projects planned timelines based on the timeline sheet. The time line matrix which can be shown on the bottom section, monitors the current progression phase through Hopper, ICT and Negotiations. The tracker sets the Proposal signature as the Project Completion date, and the days left until the planned proposal signature can be shown for each project. </w:t>
      </w:r>
    </w:p>
    <w:p w14:paraId="5A192EDB" w14:textId="77777777" w:rsidR="003849CC" w:rsidRDefault="003849CC"/>
    <w:sectPr w:rsidR="003849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42396" w14:textId="77777777" w:rsidR="00892E45" w:rsidRDefault="00892E45" w:rsidP="003849CC">
      <w:pPr>
        <w:spacing w:after="0" w:line="240" w:lineRule="auto"/>
      </w:pPr>
      <w:r>
        <w:separator/>
      </w:r>
    </w:p>
  </w:endnote>
  <w:endnote w:type="continuationSeparator" w:id="0">
    <w:p w14:paraId="117403EA" w14:textId="77777777" w:rsidR="00892E45" w:rsidRDefault="00892E45" w:rsidP="00384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3DBC0" w14:textId="77777777" w:rsidR="00892E45" w:rsidRDefault="00892E45" w:rsidP="003849CC">
      <w:pPr>
        <w:spacing w:after="0" w:line="240" w:lineRule="auto"/>
      </w:pPr>
      <w:r>
        <w:separator/>
      </w:r>
    </w:p>
  </w:footnote>
  <w:footnote w:type="continuationSeparator" w:id="0">
    <w:p w14:paraId="4C69A3DF" w14:textId="77777777" w:rsidR="00892E45" w:rsidRDefault="00892E45" w:rsidP="00384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843DA"/>
    <w:multiLevelType w:val="hybridMultilevel"/>
    <w:tmpl w:val="1F0ED140"/>
    <w:lvl w:ilvl="0" w:tplc="051AFBAA">
      <w:start w:val="1"/>
      <w:numFmt w:val="upperRoman"/>
      <w:lvlText w:val="%1."/>
      <w:lvlJc w:val="right"/>
      <w:pPr>
        <w:ind w:left="720" w:hanging="360"/>
      </w:pPr>
      <w:rPr>
        <w:b w:val="0"/>
        <w:bCs w:val="0"/>
        <w:color w:val="auto"/>
      </w:rPr>
    </w:lvl>
    <w:lvl w:ilvl="1" w:tplc="4D3A2354">
      <w:start w:val="1"/>
      <w:numFmt w:val="lowerLetter"/>
      <w:lvlText w:val="%2."/>
      <w:lvlJc w:val="left"/>
      <w:pPr>
        <w:ind w:left="1440" w:hanging="360"/>
      </w:pPr>
      <w:rPr>
        <w:b w:val="0"/>
        <w:bCs w:val="0"/>
        <w:color w:val="auto"/>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ED33B87"/>
    <w:multiLevelType w:val="hybridMultilevel"/>
    <w:tmpl w:val="C368FF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1797535">
    <w:abstractNumId w:val="1"/>
  </w:num>
  <w:num w:numId="2" w16cid:durableId="339546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CC"/>
    <w:rsid w:val="00073A0B"/>
    <w:rsid w:val="00075943"/>
    <w:rsid w:val="0010096D"/>
    <w:rsid w:val="001113CA"/>
    <w:rsid w:val="001663B1"/>
    <w:rsid w:val="001D6906"/>
    <w:rsid w:val="0020262C"/>
    <w:rsid w:val="002051D7"/>
    <w:rsid w:val="002115FE"/>
    <w:rsid w:val="00364301"/>
    <w:rsid w:val="003849CC"/>
    <w:rsid w:val="005A0253"/>
    <w:rsid w:val="0063146E"/>
    <w:rsid w:val="0065779D"/>
    <w:rsid w:val="00701D0B"/>
    <w:rsid w:val="00790B30"/>
    <w:rsid w:val="007B0161"/>
    <w:rsid w:val="00857BB9"/>
    <w:rsid w:val="00892E45"/>
    <w:rsid w:val="008A0F14"/>
    <w:rsid w:val="008A4169"/>
    <w:rsid w:val="008B19A1"/>
    <w:rsid w:val="008D0D96"/>
    <w:rsid w:val="00986033"/>
    <w:rsid w:val="009C1ED2"/>
    <w:rsid w:val="00A86ABF"/>
    <w:rsid w:val="00AD2171"/>
    <w:rsid w:val="00AE7DDD"/>
    <w:rsid w:val="00C1141F"/>
    <w:rsid w:val="00C46448"/>
    <w:rsid w:val="00CB31F4"/>
    <w:rsid w:val="00CF7EA6"/>
    <w:rsid w:val="00D24BEC"/>
    <w:rsid w:val="00D3298A"/>
    <w:rsid w:val="00D8503C"/>
    <w:rsid w:val="00FC356C"/>
    <w:rsid w:val="00FE40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D403A"/>
  <w15:chartTrackingRefBased/>
  <w15:docId w15:val="{524CBC9F-CEF4-4E47-A3DC-2326405DD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4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4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9CC"/>
    <w:rPr>
      <w:rFonts w:eastAsiaTheme="majorEastAsia" w:cstheme="majorBidi"/>
      <w:color w:val="272727" w:themeColor="text1" w:themeTint="D8"/>
    </w:rPr>
  </w:style>
  <w:style w:type="paragraph" w:styleId="Title">
    <w:name w:val="Title"/>
    <w:basedOn w:val="Normal"/>
    <w:next w:val="Normal"/>
    <w:link w:val="TitleChar"/>
    <w:uiPriority w:val="10"/>
    <w:qFormat/>
    <w:rsid w:val="00384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9CC"/>
    <w:pPr>
      <w:spacing w:before="160"/>
      <w:jc w:val="center"/>
    </w:pPr>
    <w:rPr>
      <w:i/>
      <w:iCs/>
      <w:color w:val="404040" w:themeColor="text1" w:themeTint="BF"/>
    </w:rPr>
  </w:style>
  <w:style w:type="character" w:customStyle="1" w:styleId="QuoteChar">
    <w:name w:val="Quote Char"/>
    <w:basedOn w:val="DefaultParagraphFont"/>
    <w:link w:val="Quote"/>
    <w:uiPriority w:val="29"/>
    <w:rsid w:val="003849CC"/>
    <w:rPr>
      <w:i/>
      <w:iCs/>
      <w:color w:val="404040" w:themeColor="text1" w:themeTint="BF"/>
    </w:rPr>
  </w:style>
  <w:style w:type="paragraph" w:styleId="ListParagraph">
    <w:name w:val="List Paragraph"/>
    <w:basedOn w:val="Normal"/>
    <w:uiPriority w:val="34"/>
    <w:qFormat/>
    <w:rsid w:val="003849CC"/>
    <w:pPr>
      <w:ind w:left="720"/>
      <w:contextualSpacing/>
    </w:pPr>
  </w:style>
  <w:style w:type="character" w:styleId="IntenseEmphasis">
    <w:name w:val="Intense Emphasis"/>
    <w:basedOn w:val="DefaultParagraphFont"/>
    <w:uiPriority w:val="21"/>
    <w:qFormat/>
    <w:rsid w:val="003849CC"/>
    <w:rPr>
      <w:i/>
      <w:iCs/>
      <w:color w:val="0F4761" w:themeColor="accent1" w:themeShade="BF"/>
    </w:rPr>
  </w:style>
  <w:style w:type="paragraph" w:styleId="IntenseQuote">
    <w:name w:val="Intense Quote"/>
    <w:basedOn w:val="Normal"/>
    <w:next w:val="Normal"/>
    <w:link w:val="IntenseQuoteChar"/>
    <w:uiPriority w:val="30"/>
    <w:qFormat/>
    <w:rsid w:val="00384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9CC"/>
    <w:rPr>
      <w:i/>
      <w:iCs/>
      <w:color w:val="0F4761" w:themeColor="accent1" w:themeShade="BF"/>
    </w:rPr>
  </w:style>
  <w:style w:type="character" w:styleId="IntenseReference">
    <w:name w:val="Intense Reference"/>
    <w:basedOn w:val="DefaultParagraphFont"/>
    <w:uiPriority w:val="32"/>
    <w:qFormat/>
    <w:rsid w:val="003849CC"/>
    <w:rPr>
      <w:b/>
      <w:bCs/>
      <w:smallCaps/>
      <w:color w:val="0F4761" w:themeColor="accent1" w:themeShade="BF"/>
      <w:spacing w:val="5"/>
    </w:rPr>
  </w:style>
  <w:style w:type="paragraph" w:styleId="Header">
    <w:name w:val="header"/>
    <w:basedOn w:val="Normal"/>
    <w:link w:val="HeaderChar"/>
    <w:uiPriority w:val="99"/>
    <w:unhideWhenUsed/>
    <w:rsid w:val="00384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9CC"/>
  </w:style>
  <w:style w:type="paragraph" w:styleId="Footer">
    <w:name w:val="footer"/>
    <w:basedOn w:val="Normal"/>
    <w:link w:val="FooterChar"/>
    <w:uiPriority w:val="99"/>
    <w:unhideWhenUsed/>
    <w:rsid w:val="00384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9CC"/>
  </w:style>
  <w:style w:type="character" w:styleId="Hyperlink">
    <w:name w:val="Hyperlink"/>
    <w:basedOn w:val="DefaultParagraphFont"/>
    <w:uiPriority w:val="99"/>
    <w:unhideWhenUsed/>
    <w:rsid w:val="003849CC"/>
    <w:rPr>
      <w:color w:val="467886" w:themeColor="hyperlink"/>
      <w:u w:val="single"/>
    </w:rPr>
  </w:style>
  <w:style w:type="character" w:styleId="UnresolvedMention">
    <w:name w:val="Unresolved Mention"/>
    <w:basedOn w:val="DefaultParagraphFont"/>
    <w:uiPriority w:val="99"/>
    <w:semiHidden/>
    <w:unhideWhenUsed/>
    <w:rsid w:val="003849CC"/>
    <w:rPr>
      <w:color w:val="605E5C"/>
      <w:shd w:val="clear" w:color="auto" w:fill="E1DFDD"/>
    </w:rPr>
  </w:style>
  <w:style w:type="table" w:styleId="TableGrid">
    <w:name w:val="Table Grid"/>
    <w:basedOn w:val="TableNormal"/>
    <w:uiPriority w:val="39"/>
    <w:rsid w:val="00CB3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800725">
      <w:bodyDiv w:val="1"/>
      <w:marLeft w:val="0"/>
      <w:marRight w:val="0"/>
      <w:marTop w:val="0"/>
      <w:marBottom w:val="0"/>
      <w:divBdr>
        <w:top w:val="none" w:sz="0" w:space="0" w:color="auto"/>
        <w:left w:val="none" w:sz="0" w:space="0" w:color="auto"/>
        <w:bottom w:val="none" w:sz="0" w:space="0" w:color="auto"/>
        <w:right w:val="none" w:sz="0" w:space="0" w:color="auto"/>
      </w:divBdr>
      <w:divsChild>
        <w:div w:id="374499737">
          <w:marLeft w:val="446"/>
          <w:marRight w:val="0"/>
          <w:marTop w:val="120"/>
          <w:marBottom w:val="0"/>
          <w:divBdr>
            <w:top w:val="none" w:sz="0" w:space="0" w:color="auto"/>
            <w:left w:val="none" w:sz="0" w:space="0" w:color="auto"/>
            <w:bottom w:val="none" w:sz="0" w:space="0" w:color="auto"/>
            <w:right w:val="none" w:sz="0" w:space="0" w:color="auto"/>
          </w:divBdr>
        </w:div>
      </w:divsChild>
    </w:div>
    <w:div w:id="1444576105">
      <w:bodyDiv w:val="1"/>
      <w:marLeft w:val="0"/>
      <w:marRight w:val="0"/>
      <w:marTop w:val="0"/>
      <w:marBottom w:val="0"/>
      <w:divBdr>
        <w:top w:val="none" w:sz="0" w:space="0" w:color="auto"/>
        <w:left w:val="none" w:sz="0" w:space="0" w:color="auto"/>
        <w:bottom w:val="none" w:sz="0" w:space="0" w:color="auto"/>
        <w:right w:val="none" w:sz="0" w:space="0" w:color="auto"/>
      </w:divBdr>
    </w:div>
    <w:div w:id="170394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u670404\AppData\Local\Microsoft\Windows\INetCache\Content.MSO\69FDA443.xlsx" TargetMode="Externa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u670404\AppData\Local\Microsoft\Windows\INetCache\Content.MSO\69FDA443.xlsx" TargetMode="External"/><Relationship Id="rId5" Type="http://schemas.openxmlformats.org/officeDocument/2006/relationships/settings" Target="settings.xml"/><Relationship Id="rId15" Type="http://schemas.openxmlformats.org/officeDocument/2006/relationships/hyperlink" Target="file:///C:\Users\u670404\AppData\Local\Microsoft\Windows\INetCache\Content.MSO\69FDA443.xlsx"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yperlink" Target="https://rollsroyce.sharepoint.com/sites/MEACommercialOptimisation/Shared%20Documents/General/MEA%20Profit%20Opportunities%20Tracker%2021.04.xlsx?web=1"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</Value>
</WrappedLabelHistory>
</file>

<file path=customXml/item2.xml><?xml version="1.0" encoding="utf-8"?>
<sisl xmlns:xsi="http://www.w3.org/2001/XMLSchema-instance" xmlns:xsd="http://www.w3.org/2001/XMLSchema" xmlns="http://www.boldonjames.com/2008/01/sie/internal/label" sislVersion="0" policy="e56daa8a-7b27-48ac-85d4-db65acb580b6" origin="userSelected">
  <element uid="8b2d8d36-50e9-4e35-b179-b787235cbfe0" value=""/>
  <element uid="49330798-7003-4e86-8332-af49f20564a6" value=""/>
  <element uid="ec6abd3b-c0d6-4fa7-a60a-349d0f822e3b" value=""/>
  <element uid="46fe2329-c02b-4495-b624-12a499d069e2" value=""/>
  <element uid="28b8f907-c4fe-4291-886d-ded1ddc540c2" value=""/>
</sisl>
</file>

<file path=customXml/itemProps1.xml><?xml version="1.0" encoding="utf-8"?>
<ds:datastoreItem xmlns:ds="http://schemas.openxmlformats.org/officeDocument/2006/customXml" ds:itemID="{5F0CC3BF-55A8-410C-9B2B-72C30564E119}">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E9821154-E234-4900-A0A3-4C5A9E0B0BD3}">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Mohammed</dc:creator>
  <cp:keywords>|1:Pvt|5:NonExpCont|6:NonGov|2:Rolls-Royce|22:No|</cp:keywords>
  <dc:description/>
  <cp:lastModifiedBy>Ali, Mohammed</cp:lastModifiedBy>
  <cp:revision>3</cp:revision>
  <dcterms:created xsi:type="dcterms:W3CDTF">2025-07-23T06:19:00Z</dcterms:created>
  <dcterms:modified xsi:type="dcterms:W3CDTF">2025-08-07T12:59:00Z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99d2afeb-14e0-4d8f-94e7-9af7d516c5ee</vt:lpwstr>
  </property>
  <property fmtid="{D5CDD505-2E9C-101B-9397-08002B2CF9AE}" pid="3" name="bjSaver">
    <vt:lpwstr>8y/JFd6ppl0NvreUPSjY09lBuHZZ+c3y</vt:lpwstr>
  </property>
  <property fmtid="{D5CDD505-2E9C-101B-9397-08002B2CF9AE}" pid="4" name="bjDocumentLabelXML">
    <vt:lpwstr>&lt;?xml version="1.0" encoding="us-ascii"?&gt;&lt;sisl xmlns:xsi="http://www.w3.org/2001/XMLSchema-instance" xmlns:xsd="http://www.w3.org/2001/XMLSchema" sislVersion="0" policy="e56daa8a-7b27-48ac-85d4-db65acb580b6" origin="userSelected" xmlns="http://www.boldonj</vt:lpwstr>
  </property>
  <property fmtid="{D5CDD505-2E9C-101B-9397-08002B2CF9AE}" pid="5" name="bjDocumentLabelXML-0">
    <vt:lpwstr>ames.com/2008/01/sie/internal/label"&gt;&lt;element uid="8b2d8d36-50e9-4e35-b179-b787235cbfe0" value="" /&gt;&lt;element uid="49330798-7003-4e86-8332-af49f20564a6" value="" /&gt;&lt;element uid="ec6abd3b-c0d6-4fa7-a60a-349d0f822e3b" value="" /&gt;&lt;element uid="46fe2329-c02b-4</vt:lpwstr>
  </property>
  <property fmtid="{D5CDD505-2E9C-101B-9397-08002B2CF9AE}" pid="6" name="bjDocumentLabelXML-1">
    <vt:lpwstr>495-b624-12a499d069e2" value="" /&gt;&lt;element uid="28b8f907-c4fe-4291-886d-ded1ddc540c2" value="" /&gt;&lt;/sisl&gt;</vt:lpwstr>
  </property>
  <property fmtid="{D5CDD505-2E9C-101B-9397-08002B2CF9AE}" pid="7" name="bjDocumentSecurityLabel">
    <vt:lpwstr>Private - Rolls-Royce Content Only - Not Subject to Export Control     </vt:lpwstr>
  </property>
  <property fmtid="{D5CDD505-2E9C-101B-9397-08002B2CF9AE}" pid="8" name="GovSecClass">
    <vt:lpwstr>No_Classification</vt:lpwstr>
  </property>
  <property fmtid="{D5CDD505-2E9C-101B-9397-08002B2CF9AE}" pid="9" name="Ownership">
    <vt:lpwstr>Rolls-Royce_content_only</vt:lpwstr>
  </property>
  <property fmtid="{D5CDD505-2E9C-101B-9397-08002B2CF9AE}" pid="10" name="TCGovSecClass">
    <vt:lpwstr>No_Classification</vt:lpwstr>
  </property>
  <property fmtid="{D5CDD505-2E9C-101B-9397-08002B2CF9AE}" pid="11" name="BusinessSensitivity">
    <vt:lpwstr>Private</vt:lpwstr>
  </property>
  <property fmtid="{D5CDD505-2E9C-101B-9397-08002B2CF9AE}" pid="12" name="ExportControlled">
    <vt:lpwstr>Not_Subject_to_Export_Control</vt:lpwstr>
  </property>
  <property fmtid="{D5CDD505-2E9C-101B-9397-08002B2CF9AE}" pid="13" name="bjLabelHistoryID">
    <vt:lpwstr>{5F0CC3BF-55A8-410C-9B2B-72C30564E119}</vt:lpwstr>
  </property>
</Properties>
</file>