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EF" w:rsidRPr="00355B11" w:rsidRDefault="00F118EF" w:rsidP="00F118EF">
      <w:pPr>
        <w:pStyle w:val="Title"/>
        <w:rPr>
          <w:b/>
          <w:sz w:val="22"/>
          <w:szCs w:val="22"/>
        </w:rPr>
      </w:pPr>
      <w:r w:rsidRPr="00355B11">
        <w:rPr>
          <w:b/>
          <w:sz w:val="22"/>
          <w:szCs w:val="22"/>
        </w:rPr>
        <w:t>Department Master Syllabus</w:t>
      </w:r>
    </w:p>
    <w:p w:rsidR="00F118EF" w:rsidRPr="00355B11" w:rsidRDefault="00F118EF" w:rsidP="00F118EF">
      <w:pPr>
        <w:pStyle w:val="Heading1"/>
        <w:jc w:val="center"/>
        <w:rPr>
          <w:sz w:val="22"/>
        </w:rPr>
      </w:pPr>
      <w:smartTag w:uri="urn:schemas-microsoft-com:office:smarttags" w:element="place">
        <w:smartTag w:uri="urn:schemas-microsoft-com:office:smarttags" w:element="PlaceName">
          <w:r w:rsidRPr="00355B11">
            <w:rPr>
              <w:sz w:val="22"/>
            </w:rPr>
            <w:t>Camden</w:t>
          </w:r>
        </w:smartTag>
        <w:r w:rsidRPr="00355B11">
          <w:rPr>
            <w:sz w:val="22"/>
          </w:rPr>
          <w:t xml:space="preserve"> </w:t>
        </w:r>
        <w:smartTag w:uri="urn:schemas-microsoft-com:office:smarttags" w:element="PlaceType">
          <w:r w:rsidRPr="00355B11">
            <w:rPr>
              <w:sz w:val="22"/>
            </w:rPr>
            <w:t>County</w:t>
          </w:r>
        </w:smartTag>
        <w:r w:rsidRPr="00355B11">
          <w:rPr>
            <w:sz w:val="22"/>
          </w:rPr>
          <w:t xml:space="preserve"> </w:t>
        </w:r>
        <w:smartTag w:uri="urn:schemas-microsoft-com:office:smarttags" w:element="PlaceType">
          <w:r w:rsidRPr="00355B11">
            <w:rPr>
              <w:sz w:val="22"/>
            </w:rPr>
            <w:t>College</w:t>
          </w:r>
        </w:smartTag>
      </w:smartTag>
    </w:p>
    <w:p w:rsidR="00F118EF" w:rsidRPr="00355B11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napToGrid w:val="0"/>
          <w:color w:val="000000"/>
          <w:sz w:val="22"/>
        </w:rPr>
      </w:pPr>
      <w:smartTag w:uri="urn:schemas-microsoft-com:office:smarttags" w:element="place">
        <w:smartTag w:uri="urn:schemas-microsoft-com:office:smarttags" w:element="City">
          <w:r w:rsidRPr="00355B11">
            <w:rPr>
              <w:b/>
              <w:snapToGrid w:val="0"/>
              <w:color w:val="000000"/>
              <w:sz w:val="22"/>
            </w:rPr>
            <w:t>Blackwood</w:t>
          </w:r>
        </w:smartTag>
        <w:r w:rsidRPr="00355B11">
          <w:rPr>
            <w:b/>
            <w:snapToGrid w:val="0"/>
            <w:color w:val="000000"/>
            <w:sz w:val="22"/>
          </w:rPr>
          <w:t xml:space="preserve">, </w:t>
        </w:r>
        <w:smartTag w:uri="urn:schemas-microsoft-com:office:smarttags" w:element="State">
          <w:r w:rsidRPr="00355B11">
            <w:rPr>
              <w:b/>
              <w:snapToGrid w:val="0"/>
              <w:color w:val="000000"/>
              <w:sz w:val="22"/>
            </w:rPr>
            <w:t>New Jersey</w:t>
          </w:r>
        </w:smartTag>
      </w:smartTag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b/>
          <w:bCs/>
          <w:snapToGrid w:val="0"/>
          <w:color w:val="000000"/>
          <w:sz w:val="22"/>
        </w:rPr>
        <w:t>Course Title</w:t>
      </w:r>
      <w:r>
        <w:rPr>
          <w:snapToGrid w:val="0"/>
          <w:color w:val="000000"/>
          <w:sz w:val="22"/>
        </w:rPr>
        <w:t>:</w:t>
      </w:r>
      <w:r>
        <w:rPr>
          <w:b/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 w:rsidRPr="009C0889">
        <w:rPr>
          <w:b/>
          <w:bCs/>
          <w:snapToGrid w:val="0"/>
          <w:color w:val="000000"/>
          <w:sz w:val="22"/>
        </w:rPr>
        <w:t>Statistics I</w:t>
      </w:r>
      <w:r>
        <w:rPr>
          <w:b/>
          <w:bCs/>
          <w:snapToGrid w:val="0"/>
          <w:color w:val="000000"/>
          <w:sz w:val="22"/>
        </w:rPr>
        <w:t>I</w:t>
      </w:r>
    </w:p>
    <w:p w:rsidR="00F118EF" w:rsidRPr="00B75128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b/>
          <w:bCs/>
          <w:snapToGrid w:val="0"/>
          <w:color w:val="000000"/>
          <w:sz w:val="22"/>
        </w:rPr>
        <w:t>Course Number</w:t>
      </w:r>
      <w:r>
        <w:rPr>
          <w:snapToGrid w:val="0"/>
          <w:color w:val="000000"/>
          <w:sz w:val="22"/>
        </w:rPr>
        <w:t>:</w:t>
      </w:r>
      <w:r>
        <w:rPr>
          <w:b/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  <w:t>MTH-172</w:t>
      </w:r>
      <w:r>
        <w:rPr>
          <w:snapToGrid w:val="0"/>
          <w:color w:val="000000"/>
          <w:sz w:val="22"/>
        </w:rPr>
        <w:t xml:space="preserve"> </w:t>
      </w:r>
    </w:p>
    <w:p w:rsidR="00F118EF" w:rsidRPr="00B75128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b/>
          <w:bCs/>
          <w:snapToGrid w:val="0"/>
          <w:color w:val="000000"/>
          <w:sz w:val="22"/>
        </w:rPr>
        <w:t>Department/Program Affiliation:</w:t>
      </w:r>
      <w:r>
        <w:rPr>
          <w:b/>
          <w:snapToGrid w:val="0"/>
          <w:color w:val="000000"/>
          <w:sz w:val="22"/>
        </w:rPr>
        <w:tab/>
      </w:r>
      <w:r w:rsidRPr="009C0889">
        <w:rPr>
          <w:b/>
          <w:snapToGrid w:val="0"/>
          <w:color w:val="000000"/>
          <w:sz w:val="22"/>
        </w:rPr>
        <w:t>Mathematics</w:t>
      </w:r>
    </w:p>
    <w:p w:rsidR="00F118EF" w:rsidRPr="00B75128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F118EF" w:rsidRPr="003D7F99" w:rsidRDefault="00F118EF" w:rsidP="00F118EF">
      <w:pPr>
        <w:rPr>
          <w:b/>
          <w:sz w:val="22"/>
          <w:szCs w:val="22"/>
        </w:rPr>
      </w:pPr>
      <w:r w:rsidRPr="003D7F99">
        <w:rPr>
          <w:b/>
          <w:sz w:val="22"/>
          <w:szCs w:val="22"/>
        </w:rPr>
        <w:t xml:space="preserve">Date of Review: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New January 2011</w:t>
      </w:r>
    </w:p>
    <w:p w:rsidR="00F118EF" w:rsidRPr="003D7F99" w:rsidRDefault="00F118EF" w:rsidP="00F118EF">
      <w:pPr>
        <w:pStyle w:val="Block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0"/>
        <w:rPr>
          <w:rFonts w:ascii="Times New Roman" w:hAnsi="Times New Roman" w:cs="Times New Roman"/>
          <w:sz w:val="22"/>
          <w:lang w:val="en-US"/>
        </w:rPr>
      </w:pPr>
      <w:r w:rsidRPr="003D7F99">
        <w:rPr>
          <w:rFonts w:ascii="Times New Roman" w:hAnsi="Times New Roman" w:cs="Times New Roman"/>
          <w:sz w:val="22"/>
          <w:lang w:val="en-US"/>
        </w:rPr>
        <w:t xml:space="preserve">(This Department Master Syllabus has been examined by the program/department faculty members and it is decided that no revision is necessary at this time.) </w:t>
      </w:r>
    </w:p>
    <w:p w:rsidR="00F118EF" w:rsidRPr="00B75128" w:rsidRDefault="00F118EF" w:rsidP="00F118EF">
      <w:pPr>
        <w:rPr>
          <w:sz w:val="16"/>
          <w:szCs w:val="16"/>
        </w:rPr>
      </w:pPr>
    </w:p>
    <w:p w:rsidR="00F118EF" w:rsidRPr="003D7F99" w:rsidRDefault="00F118EF" w:rsidP="00F118EF">
      <w:pPr>
        <w:rPr>
          <w:sz w:val="22"/>
          <w:szCs w:val="22"/>
        </w:rPr>
      </w:pPr>
      <w:r w:rsidRPr="003D7F99">
        <w:rPr>
          <w:b/>
          <w:sz w:val="22"/>
          <w:szCs w:val="22"/>
        </w:rPr>
        <w:t>Date of Last Revision</w:t>
      </w:r>
      <w:r w:rsidRPr="003D7F99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118EF" w:rsidRPr="003D7F99" w:rsidRDefault="00F118EF" w:rsidP="00F118EF">
      <w:pPr>
        <w:rPr>
          <w:sz w:val="22"/>
          <w:szCs w:val="22"/>
        </w:rPr>
      </w:pPr>
      <w:r w:rsidRPr="003D7F99">
        <w:rPr>
          <w:sz w:val="22"/>
          <w:szCs w:val="22"/>
        </w:rPr>
        <w:t xml:space="preserve">(This Department Master Syllabus has been examined by the program/department faculty members and it is decided a change requiring a revision is necessary at this time.) </w:t>
      </w:r>
    </w:p>
    <w:p w:rsidR="00F118EF" w:rsidRPr="00B75128" w:rsidRDefault="00F118EF" w:rsidP="00F118EF">
      <w:pPr>
        <w:tabs>
          <w:tab w:val="left" w:pos="1080"/>
        </w:tabs>
        <w:rPr>
          <w:sz w:val="16"/>
          <w:szCs w:val="16"/>
        </w:rPr>
      </w:pPr>
    </w:p>
    <w:p w:rsidR="00F118EF" w:rsidRPr="003D7F99" w:rsidRDefault="00F118EF" w:rsidP="00F11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proofErr w:type="gramStart"/>
      <w:r w:rsidRPr="003D7F99">
        <w:rPr>
          <w:b/>
          <w:sz w:val="22"/>
          <w:szCs w:val="22"/>
        </w:rPr>
        <w:t>N.B.</w:t>
      </w:r>
      <w:proofErr w:type="gramEnd"/>
      <w:r w:rsidRPr="003D7F99">
        <w:rPr>
          <w:sz w:val="22"/>
          <w:szCs w:val="22"/>
        </w:rPr>
        <w:t xml:space="preserve">    A change to the course materials alone (textbooks and/or supplementary materials) may not constitute a revision.  Any other change to the items listed below on this form is considered a revision and requires approval by the program faculty at a Program/Department Meeting and by the division at a Chairs and Coordinator Meeting. </w:t>
      </w:r>
    </w:p>
    <w:p w:rsidR="00F118EF" w:rsidRPr="00B75128" w:rsidRDefault="00F118EF" w:rsidP="00F118EF">
      <w:pPr>
        <w:rPr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b/>
          <w:bCs/>
          <w:snapToGrid w:val="0"/>
          <w:color w:val="000000"/>
          <w:sz w:val="22"/>
        </w:rPr>
        <w:t>Credits:</w:t>
      </w:r>
      <w:r>
        <w:rPr>
          <w:b/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>3</w:t>
      </w:r>
    </w:p>
    <w:p w:rsidR="00F118EF" w:rsidRPr="00B75128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b/>
          <w:bCs/>
          <w:snapToGrid w:val="0"/>
          <w:color w:val="000000"/>
          <w:sz w:val="22"/>
        </w:rPr>
        <w:t>Contact Hours</w:t>
      </w:r>
      <w:r>
        <w:rPr>
          <w:snapToGrid w:val="0"/>
          <w:color w:val="000000"/>
          <w:sz w:val="22"/>
        </w:rPr>
        <w:t>:</w:t>
      </w:r>
      <w:r>
        <w:rPr>
          <w:b/>
          <w:snapToGrid w:val="0"/>
          <w:color w:val="000000"/>
          <w:sz w:val="22"/>
        </w:rPr>
        <w:tab/>
      </w:r>
      <w:r>
        <w:rPr>
          <w:b/>
          <w:bCs/>
          <w:snapToGrid w:val="0"/>
          <w:color w:val="000000"/>
          <w:sz w:val="22"/>
        </w:rPr>
        <w:t>Lecture</w:t>
      </w:r>
      <w:r>
        <w:rPr>
          <w:snapToGrid w:val="0"/>
          <w:color w:val="000000"/>
          <w:sz w:val="22"/>
        </w:rPr>
        <w:t xml:space="preserve"> </w:t>
      </w:r>
      <w:r>
        <w:rPr>
          <w:snapToGrid w:val="0"/>
          <w:color w:val="000000"/>
          <w:sz w:val="22"/>
        </w:rPr>
        <w:tab/>
        <w:t>3</w:t>
      </w:r>
      <w:r>
        <w:rPr>
          <w:snapToGrid w:val="0"/>
          <w:color w:val="000000"/>
          <w:sz w:val="22"/>
        </w:rPr>
        <w:tab/>
      </w:r>
      <w:proofErr w:type="gramStart"/>
      <w:r>
        <w:rPr>
          <w:b/>
          <w:bCs/>
          <w:snapToGrid w:val="0"/>
          <w:color w:val="000000"/>
          <w:sz w:val="22"/>
        </w:rPr>
        <w:t>Lab</w:t>
      </w:r>
      <w:proofErr w:type="gramEnd"/>
      <w:r>
        <w:rPr>
          <w:b/>
          <w:bCs/>
          <w:snapToGrid w:val="0"/>
          <w:color w:val="000000"/>
          <w:sz w:val="22"/>
        </w:rPr>
        <w:tab/>
      </w:r>
      <w:r>
        <w:rPr>
          <w:b/>
          <w:bCs/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>0</w:t>
      </w:r>
      <w:r>
        <w:rPr>
          <w:snapToGrid w:val="0"/>
          <w:color w:val="000000"/>
          <w:sz w:val="22"/>
        </w:rPr>
        <w:tab/>
      </w:r>
      <w:r w:rsidRPr="000C6FE8">
        <w:rPr>
          <w:b/>
          <w:snapToGrid w:val="0"/>
          <w:color w:val="000000"/>
          <w:sz w:val="22"/>
        </w:rPr>
        <w:t>Other</w:t>
      </w:r>
    </w:p>
    <w:p w:rsidR="00F118EF" w:rsidRPr="00B75128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rPr>
          <w:snapToGrid w:val="0"/>
          <w:color w:val="000000"/>
          <w:sz w:val="22"/>
        </w:rPr>
      </w:pPr>
      <w:r>
        <w:rPr>
          <w:b/>
          <w:bCs/>
          <w:snapToGrid w:val="0"/>
          <w:color w:val="000000"/>
          <w:sz w:val="22"/>
        </w:rPr>
        <w:t>Prerequisites:</w:t>
      </w:r>
      <w:r>
        <w:rPr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>
        <w:rPr>
          <w:bCs/>
          <w:snapToGrid w:val="0"/>
          <w:color w:val="000000"/>
          <w:sz w:val="22"/>
        </w:rPr>
        <w:t xml:space="preserve">MTH-171 (Statistics I) </w:t>
      </w:r>
    </w:p>
    <w:p w:rsidR="00F118EF" w:rsidRPr="00B75128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proofErr w:type="spellStart"/>
      <w:r>
        <w:rPr>
          <w:b/>
          <w:bCs/>
          <w:snapToGrid w:val="0"/>
          <w:color w:val="000000"/>
          <w:sz w:val="22"/>
        </w:rPr>
        <w:t>Corequisites</w:t>
      </w:r>
      <w:proofErr w:type="spellEnd"/>
      <w:r>
        <w:rPr>
          <w:snapToGrid w:val="0"/>
          <w:color w:val="000000"/>
          <w:sz w:val="22"/>
        </w:rPr>
        <w:t>:</w:t>
      </w:r>
      <w:r>
        <w:rPr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>None</w:t>
      </w:r>
    </w:p>
    <w:p w:rsidR="00F118EF" w:rsidRPr="00B75128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b/>
          <w:snapToGrid w:val="0"/>
          <w:color w:val="000000"/>
          <w:sz w:val="22"/>
        </w:rPr>
        <w:t>Course Description:</w:t>
      </w:r>
    </w:p>
    <w:p w:rsidR="00F118EF" w:rsidRPr="00804C84" w:rsidRDefault="00F118EF" w:rsidP="00F118EF">
      <w:pPr>
        <w:pStyle w:val="BodyText"/>
        <w:rPr>
          <w:sz w:val="22"/>
          <w:szCs w:val="22"/>
        </w:rPr>
      </w:pPr>
      <w:r w:rsidRPr="00804C84">
        <w:rPr>
          <w:sz w:val="22"/>
          <w:szCs w:val="22"/>
        </w:rPr>
        <w:t>This course is a continuation of Statisti</w:t>
      </w:r>
      <w:r>
        <w:rPr>
          <w:sz w:val="22"/>
          <w:szCs w:val="22"/>
        </w:rPr>
        <w:t>cs I.  Topics covered include c</w:t>
      </w:r>
      <w:r w:rsidRPr="00804C84">
        <w:rPr>
          <w:sz w:val="22"/>
          <w:szCs w:val="22"/>
        </w:rPr>
        <w:t>onfidence intervals and hypothesis testing on two populations; type I and type II errors, power of the test, inference for simple linear and multiple regression; chi-</w:t>
      </w:r>
      <w:r>
        <w:rPr>
          <w:sz w:val="22"/>
          <w:szCs w:val="22"/>
        </w:rPr>
        <w:t>square tests for goodness-of-fit</w:t>
      </w:r>
      <w:r w:rsidRPr="00804C84">
        <w:rPr>
          <w:sz w:val="22"/>
          <w:szCs w:val="22"/>
        </w:rPr>
        <w:t xml:space="preserve">, independence, and homogeneity;  </w:t>
      </w:r>
      <w:r w:rsidRPr="00804C84">
        <w:rPr>
          <w:i/>
          <w:sz w:val="22"/>
          <w:szCs w:val="22"/>
        </w:rPr>
        <w:t>F</w:t>
      </w:r>
      <w:r>
        <w:rPr>
          <w:sz w:val="22"/>
          <w:szCs w:val="22"/>
        </w:rPr>
        <w:t xml:space="preserve"> distributions and</w:t>
      </w:r>
      <w:r w:rsidRPr="00804C84">
        <w:rPr>
          <w:sz w:val="22"/>
          <w:szCs w:val="22"/>
        </w:rPr>
        <w:t xml:space="preserve"> analysis of variance; and nonparametric tests. Use of a graphing calculator (TI-83/84 Plus) along with a statistical software package is required.</w:t>
      </w:r>
    </w:p>
    <w:p w:rsidR="00F118EF" w:rsidRPr="00B75128" w:rsidRDefault="00F118EF" w:rsidP="00F118EF">
      <w:pPr>
        <w:pStyle w:val="BodyText"/>
        <w:rPr>
          <w:sz w:val="16"/>
          <w:szCs w:val="16"/>
        </w:rPr>
      </w:pPr>
    </w:p>
    <w:p w:rsidR="00F118EF" w:rsidRPr="0025575E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b/>
          <w:snapToGrid w:val="0"/>
          <w:color w:val="000000"/>
          <w:sz w:val="22"/>
          <w:szCs w:val="22"/>
        </w:rPr>
        <w:t xml:space="preserve">Course </w:t>
      </w:r>
      <w:r w:rsidRPr="0025575E">
        <w:rPr>
          <w:b/>
          <w:snapToGrid w:val="0"/>
          <w:color w:val="000000"/>
          <w:sz w:val="22"/>
          <w:szCs w:val="22"/>
        </w:rPr>
        <w:t>Student Learning Outcomes:</w:t>
      </w:r>
      <w:r>
        <w:rPr>
          <w:b/>
          <w:snapToGrid w:val="0"/>
          <w:color w:val="000000"/>
          <w:sz w:val="22"/>
          <w:szCs w:val="22"/>
        </w:rPr>
        <w:t xml:space="preserve"> </w:t>
      </w:r>
      <w:r>
        <w:rPr>
          <w:sz w:val="24"/>
        </w:rPr>
        <w:t>(Cognitive, Psychomotor, Affective Domains)</w:t>
      </w:r>
    </w:p>
    <w:p w:rsidR="00F118EF" w:rsidRPr="001547A9" w:rsidRDefault="00F118EF" w:rsidP="00F118EF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 w:rsidRPr="001547A9">
        <w:rPr>
          <w:snapToGrid w:val="0"/>
          <w:color w:val="000000"/>
          <w:sz w:val="22"/>
          <w:szCs w:val="22"/>
        </w:rPr>
        <w:t>Upon completion of this course students will be able to:</w:t>
      </w:r>
    </w:p>
    <w:p w:rsidR="00F118EF" w:rsidRPr="00B139AA" w:rsidRDefault="00F118EF" w:rsidP="00F118EF">
      <w:pPr>
        <w:widowControl w:val="0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proofErr w:type="gramStart"/>
      <w:r>
        <w:rPr>
          <w:snapToGrid w:val="0"/>
          <w:color w:val="000000"/>
          <w:sz w:val="22"/>
          <w:szCs w:val="22"/>
        </w:rPr>
        <w:t>a</w:t>
      </w:r>
      <w:r w:rsidRPr="001547A9">
        <w:rPr>
          <w:snapToGrid w:val="0"/>
          <w:color w:val="000000"/>
          <w:sz w:val="22"/>
          <w:szCs w:val="22"/>
        </w:rPr>
        <w:t>nalyze</w:t>
      </w:r>
      <w:proofErr w:type="gramEnd"/>
      <w:r w:rsidRPr="001547A9">
        <w:rPr>
          <w:snapToGrid w:val="0"/>
          <w:color w:val="000000"/>
          <w:sz w:val="22"/>
          <w:szCs w:val="22"/>
        </w:rPr>
        <w:t xml:space="preserve"> statistics through the use of the </w:t>
      </w:r>
      <w:r w:rsidRPr="00804C84">
        <w:rPr>
          <w:sz w:val="22"/>
          <w:szCs w:val="22"/>
        </w:rPr>
        <w:t>TI-83/84 Plus</w:t>
      </w:r>
      <w:r>
        <w:rPr>
          <w:snapToGrid w:val="0"/>
          <w:color w:val="000000"/>
          <w:sz w:val="22"/>
          <w:szCs w:val="22"/>
        </w:rPr>
        <w:t xml:space="preserve"> graphics</w:t>
      </w:r>
      <w:r w:rsidRPr="001547A9">
        <w:rPr>
          <w:snapToGrid w:val="0"/>
          <w:color w:val="000000"/>
          <w:sz w:val="22"/>
          <w:szCs w:val="22"/>
        </w:rPr>
        <w:t xml:space="preserve"> calculator</w:t>
      </w:r>
      <w:r w:rsidRPr="006C76EC">
        <w:rPr>
          <w:snapToGrid w:val="0"/>
          <w:color w:val="000000"/>
          <w:sz w:val="22"/>
          <w:szCs w:val="22"/>
        </w:rPr>
        <w:t xml:space="preserve"> </w:t>
      </w:r>
      <w:r>
        <w:rPr>
          <w:snapToGrid w:val="0"/>
          <w:color w:val="000000"/>
          <w:sz w:val="22"/>
          <w:szCs w:val="22"/>
        </w:rPr>
        <w:t>and software</w:t>
      </w:r>
      <w:r w:rsidRPr="001547A9">
        <w:rPr>
          <w:snapToGrid w:val="0"/>
          <w:color w:val="000000"/>
          <w:sz w:val="22"/>
          <w:szCs w:val="22"/>
        </w:rPr>
        <w:t>.</w:t>
      </w:r>
    </w:p>
    <w:p w:rsidR="00F118EF" w:rsidRPr="001547A9" w:rsidRDefault="00F118EF" w:rsidP="00F118EF">
      <w:pPr>
        <w:pStyle w:val="BodyTextIndent"/>
        <w:widowControl w:val="0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r w:rsidRPr="001547A9">
        <w:rPr>
          <w:sz w:val="22"/>
          <w:szCs w:val="22"/>
        </w:rPr>
        <w:t>nalyze</w:t>
      </w:r>
      <w:proofErr w:type="gramEnd"/>
      <w:r w:rsidRPr="001547A9">
        <w:rPr>
          <w:sz w:val="22"/>
          <w:szCs w:val="22"/>
        </w:rPr>
        <w:t xml:space="preserve"> statistical claims and perform the proper hypothesis test</w:t>
      </w:r>
      <w:r>
        <w:rPr>
          <w:sz w:val="22"/>
          <w:szCs w:val="22"/>
        </w:rPr>
        <w:t xml:space="preserve"> when </w:t>
      </w:r>
      <w:r w:rsidRPr="001547A9">
        <w:rPr>
          <w:sz w:val="22"/>
          <w:szCs w:val="22"/>
        </w:rPr>
        <w:t>test</w:t>
      </w:r>
      <w:r>
        <w:rPr>
          <w:sz w:val="22"/>
          <w:szCs w:val="22"/>
        </w:rPr>
        <w:t>ing claims from</w:t>
      </w:r>
      <w:r w:rsidRPr="001547A9">
        <w:rPr>
          <w:sz w:val="22"/>
          <w:szCs w:val="22"/>
        </w:rPr>
        <w:t xml:space="preserve"> samples of one population.</w:t>
      </w:r>
    </w:p>
    <w:p w:rsidR="00F118EF" w:rsidRPr="001547A9" w:rsidRDefault="00F118EF" w:rsidP="00F118EF">
      <w:pPr>
        <w:widowControl w:val="0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i/>
          <w:snapToGrid w:val="0"/>
          <w:color w:val="000000"/>
          <w:sz w:val="22"/>
          <w:szCs w:val="22"/>
        </w:rPr>
      </w:pPr>
      <w:proofErr w:type="gramStart"/>
      <w:r>
        <w:rPr>
          <w:snapToGrid w:val="0"/>
          <w:color w:val="000000"/>
          <w:sz w:val="22"/>
          <w:szCs w:val="22"/>
        </w:rPr>
        <w:t>a</w:t>
      </w:r>
      <w:r w:rsidRPr="001547A9">
        <w:rPr>
          <w:snapToGrid w:val="0"/>
          <w:color w:val="000000"/>
          <w:sz w:val="22"/>
          <w:szCs w:val="22"/>
        </w:rPr>
        <w:t>nalyze</w:t>
      </w:r>
      <w:proofErr w:type="gramEnd"/>
      <w:r w:rsidRPr="001547A9">
        <w:rPr>
          <w:snapToGrid w:val="0"/>
          <w:color w:val="000000"/>
          <w:sz w:val="22"/>
          <w:szCs w:val="22"/>
        </w:rPr>
        <w:t xml:space="preserve"> Type I and Type II errors by reading and developing operational curves. </w:t>
      </w:r>
    </w:p>
    <w:p w:rsidR="00F118EF" w:rsidRPr="001547A9" w:rsidRDefault="00F118EF" w:rsidP="00F118EF">
      <w:pPr>
        <w:pStyle w:val="BodyTextIndent"/>
        <w:widowControl w:val="0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p</w:t>
      </w:r>
      <w:r w:rsidRPr="001547A9">
        <w:rPr>
          <w:sz w:val="22"/>
          <w:szCs w:val="22"/>
        </w:rPr>
        <w:t>erform</w:t>
      </w:r>
      <w:proofErr w:type="gramEnd"/>
      <w:r w:rsidRPr="001547A9">
        <w:rPr>
          <w:sz w:val="22"/>
          <w:szCs w:val="22"/>
        </w:rPr>
        <w:t xml:space="preserve"> hypothesis tests for testing differences between means, proportions, and variances of two populations.</w:t>
      </w:r>
    </w:p>
    <w:p w:rsidR="00F118EF" w:rsidRPr="001547A9" w:rsidRDefault="00F118EF" w:rsidP="00F118EF">
      <w:pPr>
        <w:widowControl w:val="0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i/>
          <w:iCs/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>demonstrate</w:t>
      </w:r>
      <w:r w:rsidRPr="001547A9">
        <w:rPr>
          <w:snapToGrid w:val="0"/>
          <w:color w:val="000000"/>
          <w:sz w:val="22"/>
          <w:szCs w:val="22"/>
        </w:rPr>
        <w:t xml:space="preserve"> comprehension of </w:t>
      </w:r>
      <w:r>
        <w:rPr>
          <w:snapToGrid w:val="0"/>
          <w:color w:val="000000"/>
          <w:sz w:val="22"/>
          <w:szCs w:val="22"/>
        </w:rPr>
        <w:t xml:space="preserve">inference for </w:t>
      </w:r>
      <w:r w:rsidRPr="00804C84">
        <w:rPr>
          <w:sz w:val="22"/>
          <w:szCs w:val="22"/>
        </w:rPr>
        <w:t>simple linear and multiple regression</w:t>
      </w:r>
    </w:p>
    <w:p w:rsidR="00F118EF" w:rsidRPr="001547A9" w:rsidRDefault="00F118EF" w:rsidP="00F118EF">
      <w:pPr>
        <w:widowControl w:val="0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i/>
          <w:iCs/>
          <w:snapToGrid w:val="0"/>
          <w:color w:val="000000"/>
          <w:sz w:val="22"/>
          <w:szCs w:val="22"/>
        </w:rPr>
      </w:pPr>
      <w:proofErr w:type="gramStart"/>
      <w:r>
        <w:rPr>
          <w:snapToGrid w:val="0"/>
          <w:color w:val="000000"/>
          <w:sz w:val="22"/>
          <w:szCs w:val="22"/>
        </w:rPr>
        <w:t>c</w:t>
      </w:r>
      <w:r w:rsidRPr="001547A9">
        <w:rPr>
          <w:snapToGrid w:val="0"/>
          <w:color w:val="000000"/>
          <w:sz w:val="22"/>
          <w:szCs w:val="22"/>
        </w:rPr>
        <w:t>ompare</w:t>
      </w:r>
      <w:proofErr w:type="gramEnd"/>
      <w:r w:rsidRPr="001547A9">
        <w:rPr>
          <w:snapToGrid w:val="0"/>
          <w:color w:val="000000"/>
          <w:sz w:val="22"/>
          <w:szCs w:val="22"/>
        </w:rPr>
        <w:t xml:space="preserve"> several groups of data using the methods of analysis of variance.</w:t>
      </w:r>
      <w:r w:rsidRPr="001547A9">
        <w:rPr>
          <w:snapToGrid w:val="0"/>
          <w:color w:val="000000"/>
          <w:sz w:val="22"/>
          <w:szCs w:val="22"/>
        </w:rPr>
        <w:tab/>
      </w:r>
    </w:p>
    <w:p w:rsidR="00F118EF" w:rsidRPr="006C76EC" w:rsidRDefault="00F118EF" w:rsidP="00F118EF">
      <w:pPr>
        <w:widowControl w:val="0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>perform and interpret</w:t>
      </w:r>
      <w:r w:rsidRPr="006C76EC">
        <w:rPr>
          <w:snapToGrid w:val="0"/>
          <w:color w:val="000000"/>
          <w:sz w:val="22"/>
          <w:szCs w:val="22"/>
        </w:rPr>
        <w:t xml:space="preserve"> chi-squared analyses </w:t>
      </w:r>
    </w:p>
    <w:p w:rsidR="00F118EF" w:rsidRDefault="00F118EF" w:rsidP="00F118EF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24"/>
          <w:szCs w:val="24"/>
        </w:rPr>
      </w:pPr>
      <w:r>
        <w:rPr>
          <w:sz w:val="22"/>
          <w:szCs w:val="22"/>
        </w:rPr>
        <w:t>perform and interpret</w:t>
      </w:r>
      <w:r w:rsidRPr="006C76EC">
        <w:rPr>
          <w:sz w:val="22"/>
          <w:szCs w:val="22"/>
        </w:rPr>
        <w:t xml:space="preserve"> nonparametric tests when the population distributions are non-normal or unknown</w:t>
      </w: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16"/>
          <w:szCs w:val="16"/>
        </w:rPr>
      </w:pPr>
    </w:p>
    <w:p w:rsidR="00F118EF" w:rsidRPr="007B327B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16"/>
          <w:szCs w:val="16"/>
        </w:rPr>
      </w:pPr>
    </w:p>
    <w:p w:rsidR="00F118EF" w:rsidRPr="007B327B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b/>
          <w:snapToGrid w:val="0"/>
          <w:color w:val="000000"/>
          <w:sz w:val="22"/>
          <w:szCs w:val="22"/>
        </w:rPr>
      </w:pPr>
      <w:r w:rsidRPr="007B327B">
        <w:rPr>
          <w:b/>
          <w:sz w:val="22"/>
          <w:szCs w:val="22"/>
        </w:rPr>
        <w:t>General Education Student Learning Outcomes:</w:t>
      </w:r>
    </w:p>
    <w:p w:rsidR="00F118EF" w:rsidRPr="007B327B" w:rsidRDefault="00F118EF" w:rsidP="00F118EF">
      <w:pPr>
        <w:pStyle w:val="Heading2"/>
        <w:jc w:val="left"/>
        <w:rPr>
          <w:b w:val="0"/>
          <w:sz w:val="22"/>
          <w:szCs w:val="22"/>
        </w:rPr>
      </w:pPr>
      <w:r w:rsidRPr="007B327B">
        <w:rPr>
          <w:b w:val="0"/>
          <w:sz w:val="22"/>
          <w:szCs w:val="22"/>
        </w:rPr>
        <w:t xml:space="preserve">Students will apply appropriate mathematical and statistical concepts and operations to interpret data and </w:t>
      </w:r>
      <w:r w:rsidRPr="007B327B">
        <w:rPr>
          <w:b w:val="0"/>
          <w:sz w:val="22"/>
          <w:szCs w:val="22"/>
        </w:rPr>
        <w:t>t</w:t>
      </w:r>
      <w:r w:rsidRPr="007B327B">
        <w:rPr>
          <w:b w:val="0"/>
          <w:sz w:val="22"/>
          <w:szCs w:val="22"/>
        </w:rPr>
        <w:t>o solve problems.</w:t>
      </w:r>
    </w:p>
    <w:p w:rsidR="00F118EF" w:rsidRPr="007B327B" w:rsidRDefault="00F118EF" w:rsidP="00F118EF"/>
    <w:p w:rsidR="00F118EF" w:rsidRDefault="00F118EF" w:rsidP="00F118EF">
      <w:pPr>
        <w:pStyle w:val="Heading2"/>
        <w:jc w:val="left"/>
        <w:rPr>
          <w:sz w:val="22"/>
        </w:rPr>
      </w:pPr>
      <w:r>
        <w:rPr>
          <w:sz w:val="22"/>
        </w:rPr>
        <w:t>Course Outline:</w:t>
      </w:r>
    </w:p>
    <w:p w:rsidR="00F118EF" w:rsidRDefault="00F118EF" w:rsidP="00F118EF">
      <w:pPr>
        <w:pStyle w:val="Heading3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Unit I</w:t>
      </w:r>
      <w:r w:rsidRPr="00CB3C5E">
        <w:rPr>
          <w:b/>
          <w:sz w:val="22"/>
          <w:szCs w:val="22"/>
        </w:rPr>
        <w:t xml:space="preserve"> </w:t>
      </w:r>
    </w:p>
    <w:p w:rsidR="00F118EF" w:rsidRDefault="00F118EF" w:rsidP="00F118EF">
      <w:pPr>
        <w:pStyle w:val="Heading3"/>
        <w:tabs>
          <w:tab w:val="left" w:pos="360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Confidence Intervals for One Population Mean When </w:t>
      </w:r>
      <w:r w:rsidRPr="009A35C7">
        <w:rPr>
          <w:position w:val="-6"/>
          <w:sz w:val="22"/>
          <w:szCs w:val="22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5" r:pict="rId6" o:title=""/>
          </v:shape>
          <o:OLEObject Type="Embed" ProgID="Equation.DSMT4" ShapeID="_x0000_i1025" DrawAspect="Content" ObjectID="_1365332072" r:id="rId7"/>
        </w:object>
      </w:r>
      <w:r>
        <w:rPr>
          <w:sz w:val="22"/>
          <w:szCs w:val="22"/>
        </w:rPr>
        <w:t xml:space="preserve"> Is Unknown (Review)</w:t>
      </w:r>
    </w:p>
    <w:p w:rsidR="00F118EF" w:rsidRDefault="00F118EF" w:rsidP="00F118EF">
      <w:pPr>
        <w:pStyle w:val="Heading3"/>
        <w:tabs>
          <w:tab w:val="left" w:pos="360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  <w:t>Terms, Errors, and Hypotheses (Review)</w:t>
      </w:r>
    </w:p>
    <w:p w:rsidR="00F118EF" w:rsidRPr="00B139AA" w:rsidRDefault="00F118EF" w:rsidP="00F118EF">
      <w:pPr>
        <w:pStyle w:val="Heading3"/>
        <w:tabs>
          <w:tab w:val="left" w:pos="360"/>
        </w:tabs>
        <w:jc w:val="left"/>
        <w:rPr>
          <w:b/>
          <w:sz w:val="22"/>
          <w:szCs w:val="22"/>
        </w:rPr>
      </w:pPr>
      <w:r>
        <w:rPr>
          <w:sz w:val="22"/>
          <w:szCs w:val="22"/>
        </w:rPr>
        <w:tab/>
        <w:t xml:space="preserve">Hypothesis Tests for One Population Mean When </w:t>
      </w:r>
      <w:r w:rsidRPr="009A35C7">
        <w:rPr>
          <w:position w:val="-6"/>
          <w:sz w:val="22"/>
          <w:szCs w:val="22"/>
        </w:rPr>
        <w:object w:dxaOrig="240" w:dyaOrig="220">
          <v:shape id="_x0000_i1026" type="#_x0000_t75" style="width:12pt;height:11.25pt" o:ole="">
            <v:imagedata r:id="rId5" r:pict="rId8" o:title=""/>
          </v:shape>
          <o:OLEObject Type="Embed" ProgID="Equation.DSMT4" ShapeID="_x0000_i1026" DrawAspect="Content" ObjectID="_1365332073" r:id="rId9"/>
        </w:object>
      </w:r>
      <w:r>
        <w:rPr>
          <w:sz w:val="22"/>
          <w:szCs w:val="22"/>
        </w:rPr>
        <w:t xml:space="preserve"> Is Unknown (Review)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The </w:t>
      </w:r>
      <w:proofErr w:type="spellStart"/>
      <w:r>
        <w:rPr>
          <w:sz w:val="22"/>
          <w:szCs w:val="22"/>
        </w:rPr>
        <w:t>Wilcoxon</w:t>
      </w:r>
      <w:proofErr w:type="spellEnd"/>
      <w:r>
        <w:rPr>
          <w:sz w:val="22"/>
          <w:szCs w:val="22"/>
        </w:rPr>
        <w:t xml:space="preserve"> Signed-Rank Test</w:t>
      </w:r>
    </w:p>
    <w:p w:rsidR="00F118EF" w:rsidRPr="00B761E6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  <w:r>
        <w:rPr>
          <w:sz w:val="22"/>
          <w:szCs w:val="22"/>
        </w:rPr>
        <w:tab/>
        <w:t xml:space="preserve">Which Procedure Should </w:t>
      </w:r>
      <w:proofErr w:type="gramStart"/>
      <w:r>
        <w:rPr>
          <w:sz w:val="22"/>
          <w:szCs w:val="22"/>
        </w:rPr>
        <w:t>be</w:t>
      </w:r>
      <w:proofErr w:type="gramEnd"/>
      <w:r>
        <w:rPr>
          <w:sz w:val="22"/>
          <w:szCs w:val="22"/>
        </w:rPr>
        <w:t xml:space="preserve"> Used?</w:t>
      </w:r>
    </w:p>
    <w:p w:rsidR="00F118EF" w:rsidRPr="00786BD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  <w:szCs w:val="22"/>
        </w:rPr>
      </w:pPr>
      <w:r>
        <w:rPr>
          <w:b/>
          <w:snapToGrid w:val="0"/>
          <w:color w:val="000000"/>
          <w:sz w:val="22"/>
          <w:szCs w:val="22"/>
        </w:rPr>
        <w:t>Unit II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Type II Error Probabilities; Power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 xml:space="preserve">The Sampling Distribution of the Difference </w:t>
      </w:r>
      <w:proofErr w:type="gramStart"/>
      <w:r>
        <w:rPr>
          <w:snapToGrid w:val="0"/>
          <w:color w:val="000000"/>
          <w:sz w:val="22"/>
          <w:szCs w:val="22"/>
        </w:rPr>
        <w:t>Between</w:t>
      </w:r>
      <w:proofErr w:type="gramEnd"/>
      <w:r>
        <w:rPr>
          <w:snapToGrid w:val="0"/>
          <w:color w:val="000000"/>
          <w:sz w:val="22"/>
          <w:szCs w:val="22"/>
        </w:rPr>
        <w:t xml:space="preserve"> Two Sample Means for Independent</w:t>
      </w:r>
      <w:r>
        <w:rPr>
          <w:b/>
          <w:snapToGrid w:val="0"/>
          <w:color w:val="000000"/>
          <w:sz w:val="22"/>
          <w:szCs w:val="22"/>
        </w:rPr>
        <w:t xml:space="preserve"> </w:t>
      </w:r>
      <w:r>
        <w:rPr>
          <w:b/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>Samples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Inferences for Two Population Means, Using Independent Samples: Standard Deviations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Assumed Not Equal</w:t>
      </w:r>
    </w:p>
    <w:p w:rsidR="00F118EF" w:rsidRPr="00B139AA" w:rsidRDefault="00F118EF" w:rsidP="00F118EF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  <w:szCs w:val="22"/>
        </w:rPr>
      </w:pPr>
      <w:r>
        <w:rPr>
          <w:sz w:val="22"/>
          <w:szCs w:val="22"/>
        </w:rPr>
        <w:tab/>
        <w:t>The Mann-Whitney Test</w:t>
      </w:r>
    </w:p>
    <w:p w:rsidR="00F118EF" w:rsidRDefault="00F118EF" w:rsidP="00F118EF">
      <w:pPr>
        <w:tabs>
          <w:tab w:val="left" w:pos="360"/>
          <w:tab w:val="left" w:pos="108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Inferences for Two Population Means, Using Paired Samples</w:t>
      </w:r>
    </w:p>
    <w:p w:rsidR="00F118EF" w:rsidRDefault="00F118EF" w:rsidP="00F118EF">
      <w:pPr>
        <w:tabs>
          <w:tab w:val="left" w:pos="360"/>
          <w:tab w:val="left" w:pos="108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Inferences for Two Population Proportions</w:t>
      </w:r>
    </w:p>
    <w:p w:rsidR="00F118EF" w:rsidRPr="00786BDF" w:rsidRDefault="00F118EF" w:rsidP="00F118EF">
      <w:pPr>
        <w:tabs>
          <w:tab w:val="left" w:pos="360"/>
          <w:tab w:val="left" w:pos="1080"/>
        </w:tabs>
        <w:rPr>
          <w:sz w:val="16"/>
          <w:szCs w:val="16"/>
        </w:rPr>
      </w:pPr>
      <w:r>
        <w:rPr>
          <w:snapToGrid w:val="0"/>
          <w:color w:val="000000"/>
          <w:sz w:val="22"/>
          <w:szCs w:val="22"/>
        </w:rPr>
        <w:tab/>
      </w:r>
    </w:p>
    <w:p w:rsidR="00F118EF" w:rsidRPr="00345751" w:rsidRDefault="00F118EF" w:rsidP="00F118EF">
      <w:pP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Unit III</w:t>
      </w:r>
    </w:p>
    <w:p w:rsidR="00F118EF" w:rsidRPr="009A35C7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360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 xml:space="preserve">. </w:t>
      </w:r>
      <w:r>
        <w:rPr>
          <w:snapToGrid w:val="0"/>
          <w:color w:val="000000"/>
          <w:sz w:val="22"/>
          <w:szCs w:val="22"/>
        </w:rPr>
        <w:tab/>
        <w:t>The Chi-Square Distribution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360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Chi-Square Goodness-of-Fit Test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Contingency Tables; Association</w:t>
      </w:r>
    </w:p>
    <w:p w:rsidR="00F118EF" w:rsidRPr="009A35C7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>Chi-Square Independence Test</w:t>
      </w:r>
    </w:p>
    <w:p w:rsidR="00F118EF" w:rsidRPr="009E3D95" w:rsidRDefault="00F118EF" w:rsidP="00F118EF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360"/>
        <w:rPr>
          <w:snapToGrid w:val="0"/>
          <w:color w:val="000000"/>
          <w:sz w:val="16"/>
          <w:szCs w:val="16"/>
        </w:rPr>
      </w:pPr>
      <w:r>
        <w:rPr>
          <w:snapToGrid w:val="0"/>
          <w:color w:val="000000"/>
          <w:sz w:val="22"/>
          <w:szCs w:val="22"/>
        </w:rPr>
        <w:tab/>
      </w: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  <w:szCs w:val="22"/>
        </w:rPr>
      </w:pPr>
      <w:r>
        <w:rPr>
          <w:b/>
          <w:snapToGrid w:val="0"/>
          <w:color w:val="000000"/>
          <w:sz w:val="22"/>
          <w:szCs w:val="22"/>
        </w:rPr>
        <w:t>Unit IV</w:t>
      </w:r>
    </w:p>
    <w:p w:rsidR="00F118EF" w:rsidRPr="009A35C7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The Regression Model; Analysis of Residuals</w:t>
      </w:r>
    </w:p>
    <w:p w:rsidR="00F118EF" w:rsidRPr="009A35C7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Inferences for the Slope of the Population Regression Line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 xml:space="preserve"> </w:t>
      </w:r>
      <w:r>
        <w:rPr>
          <w:snapToGrid w:val="0"/>
          <w:color w:val="000000"/>
          <w:sz w:val="22"/>
          <w:szCs w:val="22"/>
        </w:rPr>
        <w:tab/>
        <w:t>Estimation and Prediction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Inferences in Correlation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Testing for Normality (Ryan-Joiner or Shapiro-</w:t>
      </w:r>
      <w:proofErr w:type="spellStart"/>
      <w:r>
        <w:rPr>
          <w:snapToGrid w:val="0"/>
          <w:color w:val="000000"/>
          <w:sz w:val="22"/>
          <w:szCs w:val="22"/>
        </w:rPr>
        <w:t>Wilk</w:t>
      </w:r>
      <w:proofErr w:type="spellEnd"/>
      <w:r>
        <w:rPr>
          <w:snapToGrid w:val="0"/>
          <w:color w:val="000000"/>
          <w:sz w:val="22"/>
          <w:szCs w:val="22"/>
        </w:rPr>
        <w:t xml:space="preserve"> test)</w:t>
      </w:r>
    </w:p>
    <w:p w:rsidR="00F118EF" w:rsidRPr="00B761E6" w:rsidRDefault="00F118EF" w:rsidP="00F118EF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  <w:szCs w:val="22"/>
        </w:rPr>
      </w:pPr>
      <w:r>
        <w:rPr>
          <w:b/>
          <w:snapToGrid w:val="0"/>
          <w:color w:val="000000"/>
          <w:sz w:val="22"/>
          <w:szCs w:val="22"/>
        </w:rPr>
        <w:t>Unit V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b/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>The Multiple Linear Regression Model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Estimation of the Regression Parameters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Inferences Concerning the Utility of the Regression Model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Inferences Concerning the Utility of Particular Predictor Variables</w:t>
      </w:r>
    </w:p>
    <w:p w:rsidR="00F118EF" w:rsidRPr="00B761E6" w:rsidRDefault="00F118EF" w:rsidP="00F118EF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F118EF" w:rsidRPr="00345751" w:rsidRDefault="00F118EF" w:rsidP="00F118EF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  <w:szCs w:val="22"/>
        </w:rPr>
      </w:pPr>
      <w:r>
        <w:rPr>
          <w:b/>
          <w:snapToGrid w:val="0"/>
          <w:color w:val="000000"/>
          <w:sz w:val="22"/>
          <w:szCs w:val="22"/>
        </w:rPr>
        <w:t>Unit VI</w:t>
      </w:r>
    </w:p>
    <w:p w:rsidR="00F118EF" w:rsidRPr="00375C45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 xml:space="preserve">The </w:t>
      </w:r>
      <w:r>
        <w:rPr>
          <w:i/>
          <w:snapToGrid w:val="0"/>
          <w:color w:val="000000"/>
          <w:sz w:val="22"/>
          <w:szCs w:val="22"/>
        </w:rPr>
        <w:t>F</w:t>
      </w:r>
      <w:r>
        <w:rPr>
          <w:snapToGrid w:val="0"/>
          <w:color w:val="000000"/>
          <w:sz w:val="22"/>
          <w:szCs w:val="22"/>
        </w:rPr>
        <w:t>-Distribution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One-Way ANOVA: The Logic and Procedure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 xml:space="preserve">The </w:t>
      </w:r>
      <w:proofErr w:type="spellStart"/>
      <w:r>
        <w:rPr>
          <w:snapToGrid w:val="0"/>
          <w:color w:val="000000"/>
          <w:sz w:val="22"/>
          <w:szCs w:val="22"/>
        </w:rPr>
        <w:t>Kruskal</w:t>
      </w:r>
      <w:proofErr w:type="spellEnd"/>
      <w:r>
        <w:rPr>
          <w:snapToGrid w:val="0"/>
          <w:color w:val="000000"/>
          <w:sz w:val="22"/>
          <w:szCs w:val="22"/>
        </w:rPr>
        <w:t>-Wallis Test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Two-Way ANOVA (may not be in textbook) (Optional)</w:t>
      </w:r>
    </w:p>
    <w:p w:rsidR="00F118EF" w:rsidRPr="00B761E6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16"/>
          <w:szCs w:val="16"/>
        </w:rPr>
      </w:pPr>
    </w:p>
    <w:p w:rsidR="00F118EF" w:rsidRPr="00B2069E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r w:rsidRPr="00B2069E">
        <w:rPr>
          <w:b/>
          <w:sz w:val="22"/>
          <w:szCs w:val="22"/>
        </w:rPr>
        <w:t>Course Activities:</w:t>
      </w:r>
    </w:p>
    <w:p w:rsidR="00F118EF" w:rsidRPr="00B2069E" w:rsidRDefault="00F118EF" w:rsidP="00F118EF">
      <w:pPr>
        <w:widowControl w:val="0"/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r w:rsidRPr="00B2069E">
        <w:rPr>
          <w:sz w:val="22"/>
          <w:szCs w:val="22"/>
        </w:rPr>
        <w:t>The classroom activities will include formal and infor</w:t>
      </w:r>
      <w:r>
        <w:rPr>
          <w:sz w:val="22"/>
          <w:szCs w:val="22"/>
        </w:rPr>
        <w:t>mal lectures where new material</w:t>
      </w:r>
      <w:r w:rsidRPr="00B2069E">
        <w:rPr>
          <w:sz w:val="22"/>
          <w:szCs w:val="22"/>
        </w:rPr>
        <w:t xml:space="preserve"> and assigned problems will be explained.  Students will have the opportunity to contribute to the discussion and to ask </w:t>
      </w:r>
      <w:r w:rsidRPr="00B2069E">
        <w:rPr>
          <w:sz w:val="22"/>
          <w:szCs w:val="22"/>
        </w:rPr>
        <w:lastRenderedPageBreak/>
        <w:t xml:space="preserve">questions about the material.  The calculator and statistical software will </w:t>
      </w:r>
      <w:proofErr w:type="gramStart"/>
      <w:r w:rsidRPr="00B2069E">
        <w:rPr>
          <w:sz w:val="22"/>
          <w:szCs w:val="22"/>
        </w:rPr>
        <w:t>be  integral</w:t>
      </w:r>
      <w:proofErr w:type="gramEnd"/>
      <w:r w:rsidRPr="00B2069E">
        <w:rPr>
          <w:sz w:val="22"/>
          <w:szCs w:val="22"/>
        </w:rPr>
        <w:t xml:space="preserve"> parts of the class.</w:t>
      </w:r>
    </w:p>
    <w:p w:rsidR="00F118EF" w:rsidRPr="00B761E6" w:rsidRDefault="00F118EF" w:rsidP="00F118EF">
      <w:pPr>
        <w:widowControl w:val="0"/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</w:p>
    <w:p w:rsidR="00F118EF" w:rsidRPr="00DB2AE6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b/>
          <w:color w:val="000000"/>
          <w:sz w:val="22"/>
        </w:rPr>
        <w:t>Assessment of Student Learning Outcomes</w:t>
      </w:r>
      <w:r w:rsidRPr="00EA051D">
        <w:rPr>
          <w:color w:val="000000"/>
          <w:sz w:val="22"/>
        </w:rPr>
        <w:t>:  The</w:t>
      </w:r>
      <w:r>
        <w:rPr>
          <w:color w:val="000000"/>
          <w:sz w:val="22"/>
        </w:rPr>
        <w:t xml:space="preserve"> student will be evaluated on the degree to which student learning outcomes are achieved. </w:t>
      </w:r>
      <w:r w:rsidRPr="00DB2AE6">
        <w:rPr>
          <w:color w:val="000000"/>
          <w:sz w:val="24"/>
          <w:szCs w:val="24"/>
        </w:rPr>
        <w:t>In addition to a minimum of two tests</w:t>
      </w:r>
      <w:r>
        <w:rPr>
          <w:color w:val="000000"/>
          <w:sz w:val="24"/>
          <w:szCs w:val="24"/>
        </w:rPr>
        <w:t>,</w:t>
      </w:r>
      <w:r>
        <w:rPr>
          <w:color w:val="000000"/>
          <w:sz w:val="22"/>
        </w:rPr>
        <w:t xml:space="preserve"> a variety of methods may be used such as class participation, projects, homework assignments, etc. (there must be some evidence that the learning outcomes have been achieved.) </w:t>
      </w:r>
      <w:r w:rsidRPr="00DB2AE6">
        <w:rPr>
          <w:sz w:val="24"/>
          <w:szCs w:val="24"/>
        </w:rPr>
        <w:t>Student progress will be evaluated on the following basis:</w:t>
      </w:r>
    </w:p>
    <w:p w:rsidR="00F118EF" w:rsidRPr="00B761E6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F118EF" w:rsidRPr="00DB2AE6" w:rsidRDefault="00F118EF" w:rsidP="00F118EF">
      <w:pPr>
        <w:widowControl w:val="0"/>
        <w:tabs>
          <w:tab w:val="left" w:pos="720"/>
          <w:tab w:val="left" w:pos="13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color w:val="000000"/>
          <w:sz w:val="22"/>
        </w:rPr>
        <w:tab/>
        <w:t xml:space="preserve">1.       </w:t>
      </w:r>
      <w:r w:rsidRPr="000B4D17">
        <w:rPr>
          <w:sz w:val="22"/>
          <w:szCs w:val="22"/>
        </w:rPr>
        <w:t>Unit Tests</w:t>
      </w:r>
    </w:p>
    <w:p w:rsidR="00F118EF" w:rsidRPr="000B4D17" w:rsidRDefault="00F118EF" w:rsidP="00F118EF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0" w:hanging="540"/>
        <w:rPr>
          <w:color w:val="000000"/>
          <w:sz w:val="22"/>
          <w:szCs w:val="22"/>
        </w:rPr>
      </w:pPr>
      <w:r w:rsidRPr="00DB2AE6">
        <w:rPr>
          <w:szCs w:val="24"/>
        </w:rPr>
        <w:t xml:space="preserve">2.  </w:t>
      </w:r>
      <w:r>
        <w:rPr>
          <w:szCs w:val="24"/>
        </w:rPr>
        <w:tab/>
      </w:r>
      <w:r w:rsidRPr="000B4D17">
        <w:rPr>
          <w:sz w:val="22"/>
          <w:szCs w:val="22"/>
        </w:rPr>
        <w:t>Periodic Quizzes, if you deem they are necessary to motivate students to study and attend class on a regular basis</w:t>
      </w:r>
    </w:p>
    <w:p w:rsidR="00F118EF" w:rsidRDefault="00F118EF" w:rsidP="00F118EF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0" w:hanging="540"/>
        <w:rPr>
          <w:sz w:val="22"/>
          <w:szCs w:val="22"/>
        </w:rPr>
      </w:pPr>
      <w:r>
        <w:rPr>
          <w:color w:val="000000"/>
          <w:sz w:val="22"/>
        </w:rPr>
        <w:t>3.</w:t>
      </w:r>
      <w:r>
        <w:rPr>
          <w:color w:val="000000"/>
          <w:sz w:val="22"/>
        </w:rPr>
        <w:tab/>
      </w:r>
      <w:r w:rsidRPr="00160CBF">
        <w:rPr>
          <w:sz w:val="22"/>
          <w:szCs w:val="22"/>
        </w:rPr>
        <w:t>Electronic Home</w:t>
      </w:r>
      <w:r>
        <w:rPr>
          <w:sz w:val="22"/>
          <w:szCs w:val="22"/>
        </w:rPr>
        <w:t xml:space="preserve">work assignments, if graded. </w:t>
      </w:r>
    </w:p>
    <w:p w:rsidR="00F118EF" w:rsidRPr="00160CBF" w:rsidRDefault="00F118EF" w:rsidP="00F118EF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0" w:hanging="540"/>
        <w:rPr>
          <w:color w:val="000000"/>
          <w:sz w:val="22"/>
          <w:szCs w:val="22"/>
        </w:rPr>
      </w:pPr>
      <w:r>
        <w:rPr>
          <w:color w:val="000000"/>
          <w:sz w:val="22"/>
        </w:rPr>
        <w:t>4.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>Software projects</w:t>
      </w:r>
    </w:p>
    <w:p w:rsidR="00F118EF" w:rsidRPr="000B4D17" w:rsidRDefault="00F118EF" w:rsidP="00F118EF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</w:rPr>
        <w:t>5.</w:t>
      </w:r>
      <w:r>
        <w:rPr>
          <w:color w:val="000000"/>
          <w:sz w:val="22"/>
        </w:rPr>
        <w:tab/>
      </w:r>
      <w:r w:rsidRPr="000B4D17">
        <w:rPr>
          <w:sz w:val="22"/>
          <w:szCs w:val="22"/>
        </w:rPr>
        <w:t>Class attendance, if you have specified this at the beginning of the semester.</w:t>
      </w:r>
    </w:p>
    <w:p w:rsidR="00F118EF" w:rsidRDefault="00F118EF" w:rsidP="00F118EF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color w:val="000000"/>
          <w:sz w:val="22"/>
        </w:rPr>
      </w:pPr>
      <w:r>
        <w:rPr>
          <w:color w:val="000000"/>
          <w:sz w:val="22"/>
        </w:rPr>
        <w:t>6.</w:t>
      </w:r>
      <w:r>
        <w:rPr>
          <w:color w:val="000000"/>
          <w:sz w:val="22"/>
        </w:rPr>
        <w:tab/>
        <w:t>Comprehensive final examination (optional)</w:t>
      </w:r>
    </w:p>
    <w:p w:rsidR="00F118EF" w:rsidRPr="00B761E6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16"/>
          <w:szCs w:val="16"/>
        </w:rPr>
      </w:pPr>
    </w:p>
    <w:p w:rsidR="00F118EF" w:rsidRPr="000B296E" w:rsidRDefault="00F118EF" w:rsidP="00F118EF">
      <w:pPr>
        <w:pStyle w:val="Heading2"/>
        <w:jc w:val="left"/>
        <w:rPr>
          <w:sz w:val="22"/>
          <w:szCs w:val="22"/>
        </w:rPr>
      </w:pPr>
      <w:r w:rsidRPr="000B296E">
        <w:rPr>
          <w:sz w:val="22"/>
          <w:szCs w:val="22"/>
        </w:rPr>
        <w:t>Grading:</w:t>
      </w:r>
    </w:p>
    <w:p w:rsidR="00F118EF" w:rsidRPr="000B296E" w:rsidRDefault="00F118EF" w:rsidP="00F118EF">
      <w:pPr>
        <w:pStyle w:val="BodyText"/>
        <w:rPr>
          <w:sz w:val="22"/>
          <w:szCs w:val="22"/>
        </w:rPr>
      </w:pPr>
      <w:r w:rsidRPr="000B296E">
        <w:rPr>
          <w:sz w:val="22"/>
          <w:szCs w:val="22"/>
        </w:rPr>
        <w:t>Grades will be based on the student’s performance in the above designated areas.  Percentages will be assigned by each individual professor.</w:t>
      </w:r>
    </w:p>
    <w:p w:rsidR="00F118EF" w:rsidRPr="00B761E6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16"/>
          <w:szCs w:val="16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A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90  to</w:t>
      </w:r>
      <w:proofErr w:type="gramEnd"/>
      <w:r>
        <w:rPr>
          <w:snapToGrid w:val="0"/>
          <w:color w:val="000000"/>
          <w:sz w:val="22"/>
        </w:rPr>
        <w:t xml:space="preserve"> 100</w:t>
      </w: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B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80  to</w:t>
      </w:r>
      <w:proofErr w:type="gramEnd"/>
      <w:r>
        <w:rPr>
          <w:snapToGrid w:val="0"/>
          <w:color w:val="000000"/>
          <w:sz w:val="22"/>
        </w:rPr>
        <w:t xml:space="preserve">  89</w:t>
      </w: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C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70  to</w:t>
      </w:r>
      <w:proofErr w:type="gramEnd"/>
      <w:r>
        <w:rPr>
          <w:snapToGrid w:val="0"/>
          <w:color w:val="000000"/>
          <w:sz w:val="22"/>
        </w:rPr>
        <w:t xml:space="preserve">  79</w:t>
      </w: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D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60  to</w:t>
      </w:r>
      <w:proofErr w:type="gramEnd"/>
      <w:r>
        <w:rPr>
          <w:snapToGrid w:val="0"/>
          <w:color w:val="000000"/>
          <w:sz w:val="22"/>
        </w:rPr>
        <w:t xml:space="preserve">  69</w:t>
      </w: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F</w:t>
      </w:r>
      <w:r>
        <w:rPr>
          <w:snapToGrid w:val="0"/>
          <w:color w:val="000000"/>
          <w:sz w:val="22"/>
        </w:rPr>
        <w:tab/>
        <w:t>Below 60</w:t>
      </w: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I</w:t>
      </w:r>
      <w:r>
        <w:rPr>
          <w:snapToGrid w:val="0"/>
          <w:color w:val="000000"/>
          <w:sz w:val="22"/>
        </w:rPr>
        <w:tab/>
        <w:t>Incomplete (only under extreme emergencies)</w:t>
      </w: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Must be completed within one semester.</w:t>
      </w:r>
      <w:proofErr w:type="gramEnd"/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NA</w:t>
      </w:r>
      <w:r>
        <w:rPr>
          <w:snapToGrid w:val="0"/>
          <w:color w:val="000000"/>
          <w:sz w:val="22"/>
        </w:rPr>
        <w:tab/>
        <w:t>Not Attending</w:t>
      </w: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XA</w:t>
      </w:r>
      <w:r>
        <w:rPr>
          <w:snapToGrid w:val="0"/>
          <w:color w:val="000000"/>
          <w:sz w:val="22"/>
        </w:rPr>
        <w:tab/>
        <w:t>Never Attended</w:t>
      </w:r>
    </w:p>
    <w:p w:rsidR="00F118EF" w:rsidRPr="00B2069E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W</w:t>
      </w:r>
      <w:r>
        <w:rPr>
          <w:snapToGrid w:val="0"/>
          <w:color w:val="000000"/>
          <w:sz w:val="22"/>
        </w:rPr>
        <w:tab/>
        <w:t>Withdraw (student must submit an official withdrawal form by the deadline)</w:t>
      </w: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</w:rPr>
      </w:pPr>
    </w:p>
    <w:p w:rsidR="00F118EF" w:rsidRDefault="00F118EF" w:rsidP="00F118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b/>
          <w:snapToGrid w:val="0"/>
          <w:color w:val="000000"/>
          <w:sz w:val="22"/>
        </w:rPr>
        <w:t>Course Materials: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sz w:val="22"/>
        </w:rPr>
      </w:pPr>
      <w:r>
        <w:rPr>
          <w:snapToGrid w:val="0"/>
          <w:sz w:val="22"/>
        </w:rPr>
        <w:t xml:space="preserve">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Textbook: </w:t>
      </w:r>
      <w:r>
        <w:rPr>
          <w:rFonts w:ascii="Script" w:hAnsi="Script"/>
          <w:b/>
          <w:snapToGrid w:val="0"/>
          <w:sz w:val="22"/>
        </w:rPr>
        <w:t xml:space="preserve"> </w:t>
      </w:r>
      <w:r>
        <w:rPr>
          <w:rFonts w:ascii="Script" w:hAnsi="Script"/>
          <w:b/>
          <w:snapToGrid w:val="0"/>
          <w:sz w:val="22"/>
        </w:rPr>
        <w:tab/>
      </w:r>
      <w:r>
        <w:rPr>
          <w:bCs/>
          <w:i/>
          <w:snapToGrid w:val="0"/>
          <w:sz w:val="22"/>
        </w:rPr>
        <w:t>Introductory Statistics</w:t>
      </w:r>
      <w:r>
        <w:rPr>
          <w:snapToGrid w:val="0"/>
          <w:sz w:val="22"/>
        </w:rPr>
        <w:t>, Weiss, Neil A</w:t>
      </w:r>
      <w:proofErr w:type="gramStart"/>
      <w:r>
        <w:rPr>
          <w:snapToGrid w:val="0"/>
          <w:sz w:val="22"/>
        </w:rPr>
        <w:t>,  Addison</w:t>
      </w:r>
      <w:proofErr w:type="gramEnd"/>
      <w:r>
        <w:rPr>
          <w:snapToGrid w:val="0"/>
          <w:sz w:val="22"/>
        </w:rPr>
        <w:t xml:space="preserve"> Wesley, 8</w:t>
      </w:r>
      <w:r>
        <w:rPr>
          <w:snapToGrid w:val="0"/>
          <w:sz w:val="22"/>
          <w:vertAlign w:val="superscript"/>
        </w:rPr>
        <w:t>th</w:t>
      </w:r>
      <w:r>
        <w:rPr>
          <w:snapToGrid w:val="0"/>
          <w:sz w:val="22"/>
        </w:rPr>
        <w:t xml:space="preserve"> ed.</w:t>
      </w:r>
    </w:p>
    <w:p w:rsidR="00F118EF" w:rsidRDefault="00F118EF" w:rsidP="00F118E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Student Solution Manual</w:t>
      </w:r>
    </w:p>
    <w:p w:rsidR="00F118EF" w:rsidRDefault="00F118EF" w:rsidP="00F118EF">
      <w:pPr>
        <w:rPr>
          <w:b/>
          <w:sz w:val="22"/>
          <w:szCs w:val="22"/>
        </w:rPr>
      </w:pPr>
    </w:p>
    <w:p w:rsidR="00F118EF" w:rsidRPr="000B296E" w:rsidRDefault="00F118EF" w:rsidP="00F118EF">
      <w:pPr>
        <w:rPr>
          <w:b/>
          <w:sz w:val="22"/>
          <w:szCs w:val="22"/>
        </w:rPr>
      </w:pPr>
      <w:r w:rsidRPr="000B296E">
        <w:rPr>
          <w:b/>
          <w:sz w:val="22"/>
          <w:szCs w:val="22"/>
        </w:rPr>
        <w:t>Supplemental Materials:</w:t>
      </w:r>
    </w:p>
    <w:p w:rsidR="00F118EF" w:rsidRPr="00B2069E" w:rsidRDefault="00F118EF" w:rsidP="00F118EF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Textbook specific </w:t>
      </w:r>
      <w:r w:rsidRPr="00B2069E">
        <w:rPr>
          <w:sz w:val="22"/>
          <w:szCs w:val="22"/>
        </w:rPr>
        <w:t>course mana</w:t>
      </w:r>
      <w:r>
        <w:rPr>
          <w:sz w:val="22"/>
          <w:szCs w:val="22"/>
        </w:rPr>
        <w:t>gement system.</w:t>
      </w:r>
      <w:proofErr w:type="gramEnd"/>
    </w:p>
    <w:p w:rsidR="002F17C2" w:rsidRDefault="002F17C2"/>
    <w:sectPr w:rsidR="002F17C2" w:rsidSect="002F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cript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54F4E"/>
    <w:multiLevelType w:val="hybridMultilevel"/>
    <w:tmpl w:val="75FC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F118EF"/>
    <w:rsid w:val="00226A55"/>
    <w:rsid w:val="00263F6F"/>
    <w:rsid w:val="002F17C2"/>
    <w:rsid w:val="00883821"/>
    <w:rsid w:val="00F11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8E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118EF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F118EF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F118EF"/>
    <w:pPr>
      <w:keepNext/>
      <w:jc w:val="center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18E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118E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F118EF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link w:val="BodyTextChar"/>
    <w:rsid w:val="00F118EF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118EF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Title">
    <w:name w:val="Title"/>
    <w:basedOn w:val="Normal"/>
    <w:link w:val="TitleChar"/>
    <w:qFormat/>
    <w:rsid w:val="00F118EF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F118EF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F118EF"/>
    <w:pPr>
      <w:ind w:left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F118EF"/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rsid w:val="00F118EF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620" w:right="1224"/>
    </w:pPr>
    <w:rPr>
      <w:rFonts w:ascii="Arial" w:hAnsi="Arial" w:cs="Arial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cz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845</Words>
  <Characters>4817</Characters>
  <Application>Microsoft Office Word</Application>
  <DocSecurity>0</DocSecurity>
  <Lines>40</Lines>
  <Paragraphs>11</Paragraphs>
  <ScaleCrop>false</ScaleCrop>
  <Company>Camden County College</Company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Colleen</dc:creator>
  <cp:keywords/>
  <dc:description/>
  <cp:lastModifiedBy>Clark, Colleen</cp:lastModifiedBy>
  <cp:revision>1</cp:revision>
  <dcterms:created xsi:type="dcterms:W3CDTF">2011-04-26T18:07:00Z</dcterms:created>
  <dcterms:modified xsi:type="dcterms:W3CDTF">2011-04-26T18:08:00Z</dcterms:modified>
</cp:coreProperties>
</file>