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rFonts w:ascii="Calibri" w:hAnsi="Calibri"/>
          <w:b/>
          <w:i w:val="0"/>
          <w:color w:val="7A5A00"/>
          <w:sz w:val="24"/>
        </w:rPr>
        <w:t>LANDCARE</w:t>
      </w:r>
    </w:p>
    <w:p>
      <w:pPr>
        <w:spacing w:after="160"/>
      </w:pPr>
      <w:r>
        <w:rPr>
          <w:rFonts w:ascii="Calibri" w:hAnsi="Calibri"/>
          <w:b/>
          <w:i w:val="0"/>
          <w:color w:val="0B2545"/>
          <w:sz w:val="60"/>
        </w:rPr>
        <w:t>Operational Handover</w:t>
      </w:r>
    </w:p>
    <w:p>
      <w:pPr>
        <w:spacing w:after="400"/>
        <w:pBdr>
          <w:bottom w:val="single" w:sz="16" w:space="4" w:color="2E74B5"/>
        </w:pBdr>
      </w:pPr>
      <w:r>
        <w:rPr>
          <w:rFonts w:ascii="Calibri" w:hAnsi="Calibri"/>
          <w:b w:val="0"/>
          <w:i w:val="0"/>
          <w:color w:val="5B6770"/>
          <w:sz w:val="28"/>
        </w:rPr>
        <w:t>A quick-start guide for the next GIS analyst and Codex agent</w:t>
      </w:r>
    </w:p>
    <w:p>
      <w:pPr>
        <w:spacing w:before="320" w:after="40" w:line="300" w:lineRule="auto"/>
      </w:pPr>
      <w:r>
        <w:rPr>
          <w:rFonts w:ascii="Calibri" w:hAnsi="Calibri"/>
          <w:b/>
          <w:i w:val="0"/>
          <w:color w:val="5B6770"/>
          <w:sz w:val="21"/>
        </w:rPr>
        <w:t>Status date: August 3, 2026</w:t>
      </w:r>
    </w:p>
    <w:p>
      <w:pPr>
        <w:spacing w:before="0" w:after="360" w:line="300" w:lineRule="auto"/>
      </w:pPr>
      <w:r>
        <w:rPr>
          <w:rFonts w:ascii="Calibri" w:hAnsi="Calibri"/>
          <w:b w:val="0"/>
          <w:i w:val="0"/>
          <w:color w:val="5B6770"/>
          <w:sz w:val="21"/>
        </w:rPr>
        <w:t>Operational target: ura-gis/land-care-assurance on master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Read first: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Live ArcGIS layers are authoritative at page load. Checked-in JSON/GeoJSON is the fallback/cache and finance contract.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BE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Security: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This guide contains no passwords, tokens, private keys, browser sessions, or Actions secret values. Use approved individual accounts and repository-scoped automation keys.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At a glance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Surface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Link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Map Monitor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Parcel map, evidence, field notes, filters</w:t>
            </w:r>
          </w:p>
        </w:tc>
        <w:tc>
          <w:tcPr>
            <w:tcW w:type="dxa" w:w="3360"/>
          </w:tcPr>
          <w:p>
            <w:pPr>
              <w:spacing w:after="0" w:line="259" w:lineRule="auto"/>
            </w:pPr>
            <w:hyperlink r:id="rId11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Open monitoring</w:t>
              </w:r>
            </w:hyperlink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KPI Dashboard</w:t>
            </w:r>
          </w:p>
        </w:tc>
        <w:tc>
          <w:tcPr>
            <w:tcW w:type="dxa" w:w="43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Completion, trends, contractor and finance context</w:t>
            </w:r>
          </w:p>
        </w:tc>
        <w:tc>
          <w:tcPr>
            <w:tcW w:type="dxa" w:w="3360"/>
            <w:shd w:fill="FAFBFC"/>
          </w:tcPr>
          <w:p>
            <w:pPr>
              <w:spacing w:after="0" w:line="259" w:lineRule="auto"/>
            </w:pPr>
            <w:hyperlink r:id="rId12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Open KPI</w:t>
              </w:r>
            </w:hyperlink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Contractor portal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Parcel details and approved evidence</w:t>
            </w:r>
          </w:p>
        </w:tc>
        <w:tc>
          <w:tcPr>
            <w:tcW w:type="dxa" w:w="3360"/>
          </w:tcPr>
          <w:p>
            <w:pPr>
              <w:spacing w:after="0" w:line="259" w:lineRule="auto"/>
            </w:pPr>
            <w:hyperlink r:id="rId13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Open contractor</w:t>
              </w:r>
            </w:hyperlink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Survey submission</w:t>
            </w:r>
          </w:p>
        </w:tc>
        <w:tc>
          <w:tcPr>
            <w:tcW w:type="dxa" w:w="43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Contractor evidence intake</w:t>
            </w:r>
          </w:p>
        </w:tc>
        <w:tc>
          <w:tcPr>
            <w:tcW w:type="dxa" w:w="3360"/>
            <w:shd w:fill="FAFBFC"/>
          </w:tcPr>
          <w:p>
            <w:pPr>
              <w:spacing w:after="0" w:line="259" w:lineRule="auto"/>
            </w:pPr>
            <w:hyperlink r:id="rId14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Open submission</w:t>
              </w:r>
            </w:hyperlink>
          </w:p>
        </w:tc>
      </w:tr>
    </w:tbl>
    <w:p>
      <w:pPr>
        <w:spacing w:after="40"/>
      </w:pPr>
    </w:p>
    <w:p>
      <w:pPr>
        <w:spacing w:before="200" w:after="0" w:line="300" w:lineRule="auto"/>
      </w:pPr>
      <w:r>
        <w:rPr>
          <w:rFonts w:ascii="Calibri" w:hAnsi="Calibri"/>
          <w:b w:val="0"/>
          <w:i/>
          <w:color w:val="5B6770"/>
          <w:sz w:val="19"/>
        </w:rPr>
        <w:t>Use this document as an index. The linked Markdown runbooks remain the canonical source for implementation details.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Handover status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The repository and web surfaces are prepared for the ura-gis ownership model. Treat the items below as two different kinds of work: repository/app changes are documented and reproducible; account, VM, and ArcGIS ownership changes require an administrator or successor action.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50"/>
        <w:gridCol w:w="34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What is true now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Next owner action</w:t>
            </w:r>
          </w:p>
        </w:tc>
      </w:tr>
      <w:tr>
        <w:tc>
          <w:tcPr>
            <w:tcW w:type="dxa" w:w="155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Complete / recorded</w:t>
            </w:r>
          </w:p>
        </w:tc>
        <w:tc>
          <w:tcPr>
            <w:tcW w:type="dxa" w:w="435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Repository target is ura-gis/land-care-assurance; branch remains master; Pages routes are documented.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Keep the repository public and verify the Pages workflow after any transfer or permission change.</w:t>
            </w:r>
          </w:p>
        </w:tc>
      </w:tr>
      <w:tr>
        <w:tc>
          <w:tcPr>
            <w:tcW w:type="dxa" w:w="155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Complete / recorded</w:t>
            </w:r>
          </w:p>
        </w:tc>
        <w:tc>
          <w:tcPr>
            <w:tcW w:type="dxa" w:w="435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Survey adapter uses item 7a2e1d9bacba461296c54a63f104cf51 and normalizes additional_comments to additional_notes.</w:t>
            </w:r>
          </w:p>
        </w:tc>
        <w:tc>
          <w:tcPr>
            <w:tcW w:type="dxa" w:w="34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Use the live ArcGIS endpoint for smoke tests and keep cache-busting imports aligned.</w:t>
            </w:r>
          </w:p>
        </w:tc>
      </w:tr>
      <w:tr>
        <w:tc>
          <w:tcPr>
            <w:tcW w:type="dxa" w:w="155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Pending</w:t>
            </w:r>
          </w:p>
        </w:tc>
        <w:tc>
          <w:tcPr>
            <w:tcW w:type="dxa" w:w="435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ArcGIS content still includes assets owned by the departing user account.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An ArcGIS administrator must transfer ownership, confirm sharing, and re-test the dashboards and Survey123 flow.</w:t>
            </w:r>
          </w:p>
        </w:tc>
      </w:tr>
      <w:tr>
        <w:tc>
          <w:tcPr>
            <w:tcW w:type="dxa" w:w="155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Pending</w:t>
            </w:r>
          </w:p>
        </w:tc>
        <w:tc>
          <w:tcPr>
            <w:tcW w:type="dxa" w:w="435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VM refresh must be independent of the intern account.</w:t>
            </w:r>
          </w:p>
        </w:tc>
        <w:tc>
          <w:tcPr>
            <w:tcW w:type="dxa" w:w="34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Install a repository-scoped deploy key, update the VM remote, run one checked refresh, then verify two unattended cycles.</w:t>
            </w:r>
          </w:p>
        </w:tc>
      </w:tr>
      <w:tr>
        <w:tc>
          <w:tcPr>
            <w:tcW w:type="dxa" w:w="155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Pending</w:t>
            </w:r>
          </w:p>
        </w:tc>
        <w:tc>
          <w:tcPr>
            <w:tcW w:type="dxa" w:w="435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Security cutover is not complete until access is removed.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Rotate the exposed password, enable 2FA, revoke old sessions/tokens, and remove departing access only after sign-off.</w:t>
            </w:r>
          </w:p>
        </w:tc>
      </w:tr>
    </w:tbl>
    <w:p>
      <w:pPr>
        <w:spacing w:after="40"/>
      </w:pPr>
    </w:p>
    <w:p>
      <w:pPr>
        <w:spacing w:before="0" w:after="100" w:line="240" w:lineRule="auto"/>
      </w:pPr>
      <w:r>
        <w:rPr>
          <w:rFonts w:ascii="Calibri" w:hAnsi="Calibri"/>
          <w:b w:val="0"/>
          <w:i/>
          <w:color w:val="5B6770"/>
          <w:sz w:val="17"/>
        </w:rPr>
        <w:t xml:space="preserve">Source: repository handover guide </w:t>
      </w:r>
      <w:hyperlink r:id="rId15">
        <w:r>
          <w:rPr>
            <w:color w:val="2E74B5"/>
            <w:u w:val="single"/>
            <w:rFonts w:ascii="Calibri" w:hAnsi="Calibri"/>
            <w:sz w:val="20"/>
          </w:rPr>
          <w:t>HANDOVER.md</w:t>
        </w:r>
      </w:hyperlink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How the platform works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There are three practical layers: upstream ingestion, authoritative stores, and the public app. The 4:00 AM task updates survey data; the 7:00 AM task rebuilds the checked-in fallback and publishes changes. The browser also queries ArcGIS directly at page 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33249"/>
            <wp:docPr id="1" name="Picture 1" descr="LandCare live data flow from Regrid through the GIS VM, PostgreSQL and ArcGIS Online to GitHub Pages and the monitoring apps" title="LandCare live data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care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3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300" w:lineRule="auto"/>
      </w:pPr>
      <w:r>
        <w:rPr>
          <w:rFonts w:ascii="Calibri" w:hAnsi="Calibri"/>
          <w:b w:val="0"/>
          <w:i/>
          <w:color w:val="5B6770"/>
          <w:sz w:val="18"/>
        </w:rPr>
        <w:t>The visual above is a quick reading aid. The Mermaid source below is the editable version for future analysts and agents.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flowchart LR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 xml:space="preserve">    Regrid["Regrid"] --&gt; VM["GIS VM ingestion"]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 xml:space="preserve">    VM --&gt; PG["PostgreSQL GISDB"]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 xml:space="preserve">    VM --&gt; AGOL["ArcGIS Online layers"]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 xml:space="preserve">    PG --&gt; Refresh["7 AM dashboard refresh"]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 xml:space="preserve">    Refresh --&gt; Repo["ura-gis GitHub repository"]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 xml:space="preserve">    Repo --&gt; Pages["GitHub Pages"]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 xml:space="preserve">    AGOL --&gt; App["Map / KPI / Contractor"]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 xml:space="preserve">    Pages --&gt; App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 xml:space="preserve">    App --&gt; Shell["ArcGIS dashboard shell"]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 xml:space="preserve">    Survey123["Survey123 evidence"] --&gt; AGOL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Authoritative sources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Source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Operational note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PostgreSQL gisdb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Raw Regrid survey rows, bundle assignments, ownership joins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Not public; consumed by the upstream and refresh workflows.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ArcGIS Online</w:t>
            </w:r>
          </w:p>
        </w:tc>
        <w:tc>
          <w:tcPr>
            <w:tcW w:type="dxa" w:w="35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Live survey, assignment, EPP, and evidence layers</w:t>
            </w:r>
          </w:p>
        </w:tc>
        <w:tc>
          <w:tcPr>
            <w:tcW w:type="dxa" w:w="36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Primary runtime source for current map/KPI data and comments.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GitHub Pages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Published Map, KPI, contractor, and survey-submission web app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Static deployment from the repository; Pages links do not automatically follow repository transfers.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docs/landcare/data</w:t>
            </w:r>
          </w:p>
        </w:tc>
        <w:tc>
          <w:tcPr>
            <w:tcW w:type="dxa" w:w="35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Fallback/cache and finance contract</w:t>
            </w:r>
          </w:p>
        </w:tc>
        <w:tc>
          <w:tcPr>
            <w:tcW w:type="dxa" w:w="36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Generated by the VM refresh; do not hand-edit generated values.</w:t>
            </w:r>
          </w:p>
        </w:tc>
      </w:tr>
    </w:tbl>
    <w:p>
      <w:pPr>
        <w:spacing w:after="40"/>
      </w:pPr>
    </w:p>
    <w:p>
      <w:pPr>
        <w:spacing w:before="0" w:after="100" w:line="240" w:lineRule="auto"/>
      </w:pPr>
      <w:r>
        <w:rPr>
          <w:rFonts w:ascii="Calibri" w:hAnsi="Calibri"/>
          <w:b w:val="0"/>
          <w:i/>
          <w:color w:val="5B6770"/>
          <w:sz w:val="17"/>
        </w:rPr>
        <w:t xml:space="preserve">Source: canonical architecture </w:t>
      </w:r>
      <w:hyperlink r:id="rId17">
        <w:r>
          <w:rPr>
            <w:color w:val="2E74B5"/>
            <w:u w:val="single"/>
            <w:rFonts w:ascii="Calibri" w:hAnsi="Calibri"/>
            <w:sz w:val="20"/>
          </w:rPr>
          <w:t>docs/landcare-architecture.md</w:t>
        </w:r>
      </w:hyperlink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URLs, layers, and schedule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Asset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Identifier / URL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Use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Survey layer item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hyperlink r:id="rId18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7a2e1d9bacba461296c54a63f104cf51</w:t>
              </w:r>
            </w:hyperlink>
          </w:p>
        </w:tc>
        <w:tc>
          <w:tcPr>
            <w:tcW w:type="dxa" w:w="33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All-period survey evidence and additional comments.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Survey REST layer</w:t>
            </w:r>
          </w:p>
        </w:tc>
        <w:tc>
          <w:tcPr>
            <w:tcW w:type="dxa" w:w="3900"/>
            <w:shd w:fill="FAFBFC"/>
          </w:tcPr>
          <w:p>
            <w:pPr>
              <w:spacing w:after="0" w:line="259" w:lineRule="auto"/>
            </w:pPr>
            <w:hyperlink r:id="rId19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FeatureServer/0</w:t>
              </w:r>
            </w:hyperlink>
          </w:p>
        </w:tc>
        <w:tc>
          <w:tcPr>
            <w:tcW w:type="dxa" w:w="33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Read-only ArcGIS queries by period, parcel, and comment.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Dashboard shell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hyperlink r:id="rId20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341377524e02486ba71684ad67d9b273</w:t>
              </w:r>
            </w:hyperlink>
          </w:p>
        </w:tc>
        <w:tc>
          <w:tcPr>
            <w:tcW w:type="dxa" w:w="33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ArcGIS dashboard shell embedding the Pages app.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Repository</w:t>
            </w:r>
          </w:p>
        </w:tc>
        <w:tc>
          <w:tcPr>
            <w:tcW w:type="dxa" w:w="3900"/>
            <w:shd w:fill="FAFBFC"/>
          </w:tcPr>
          <w:p>
            <w:pPr>
              <w:spacing w:after="0" w:line="259" w:lineRule="auto"/>
            </w:pPr>
            <w:hyperlink r:id="rId21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ura-gis/land-care-assurance</w:t>
              </w:r>
            </w:hyperlink>
          </w:p>
        </w:tc>
        <w:tc>
          <w:tcPr>
            <w:tcW w:type="dxa" w:w="33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Source, tests, Pages workflow, and operational docs.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Pages base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hyperlink r:id="rId22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ura-gis.github.io/land-care-assurance</w:t>
              </w:r>
            </w:hyperlink>
          </w:p>
        </w:tc>
        <w:tc>
          <w:tcPr>
            <w:tcW w:type="dxa" w:w="33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Public app base URL.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Scheduled flow (Eastern time)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Time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Task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Proof</w:t>
            </w:r>
          </w:p>
        </w:tc>
      </w:tr>
      <w:tr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4:00 AM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Upstream Regrid/GISDB survey pipeline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ArcGIS survey period/counts are fresh; upstream log is successful.</w:t>
            </w:r>
          </w:p>
        </w:tc>
      </w:tr>
      <w:tr>
        <w:tc>
          <w:tcPr>
            <w:tcW w:type="dxa" w:w="14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7:00 AM</w:t>
            </w:r>
          </w:p>
        </w:tc>
        <w:tc>
          <w:tcPr>
            <w:tcW w:type="dxa" w:w="39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LandCare Daily Dashboard Refresh</w:t>
            </w:r>
          </w:p>
        </w:tc>
        <w:tc>
          <w:tcPr>
            <w:tcW w:type="dxa" w:w="40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daily-refresh-status.json says success; validation passes; Pages deploys if files changed.</w:t>
            </w:r>
          </w:p>
        </w:tc>
      </w:tr>
      <w:tr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9:00 AM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Morning brief (if enabled)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Use repository variables for recipients/assignee; dry-run must not send email or create an issue.</w:t>
            </w:r>
          </w:p>
        </w:tc>
      </w:tr>
      <w:tr>
        <w:tc>
          <w:tcPr>
            <w:tcW w:type="dxa" w:w="14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15th, 4:15 AM</w:t>
            </w:r>
          </w:p>
        </w:tc>
        <w:tc>
          <w:tcPr>
            <w:tcW w:type="dxa" w:w="39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Monthly survey archive</w:t>
            </w:r>
          </w:p>
        </w:tc>
        <w:tc>
          <w:tcPr>
            <w:tcW w:type="dxa" w:w="40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Archive only; it is not the dashboard runtime source.</w:t>
            </w:r>
          </w:p>
        </w:tc>
      </w:tr>
    </w:tbl>
    <w:p>
      <w:pPr>
        <w:spacing w:after="40"/>
      </w:pPr>
    </w:p>
    <w:p>
      <w:pPr>
        <w:spacing w:before="0" w:after="100" w:line="240" w:lineRule="auto"/>
      </w:pPr>
      <w:r>
        <w:rPr>
          <w:rFonts w:ascii="Calibri" w:hAnsi="Calibri"/>
          <w:b w:val="0"/>
          <w:i/>
          <w:color w:val="5B6770"/>
          <w:sz w:val="17"/>
        </w:rPr>
        <w:t xml:space="preserve">Source: VM operations runbook </w:t>
      </w:r>
      <w:hyperlink r:id="rId23">
        <w:r>
          <w:rPr>
            <w:color w:val="2E74B5"/>
            <w:u w:val="single"/>
            <w:rFonts w:ascii="Calibri" w:hAnsi="Calibri"/>
            <w:sz w:val="20"/>
          </w:rPr>
          <w:t>docs/task-scheduler-vm-operations.md</w:t>
        </w:r>
      </w:hyperlink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Daily operations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Daily check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Check the upstream 4:00 AM task and the latest ArcGIS survey period/counts.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Check the 7:00 AM task and open C:\srv\logs\land-care-assurance\daily-refresh-status.json.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Confirm status is success, the generated date is today, and latest periods did not move backward.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If data changed, open Map Monitor and KPI; inspect completion, comments, field notes, and the Field Notes pane.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Check the Pages workflow and record any failure stage before attempting a retry.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F6B3A"/>
                <w:sz w:val="21"/>
              </w:rPr>
              <w:t xml:space="preserve">Healthy run: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The status JSON reports success, the validator passes, the latest period is current, and the public app loads live ArcGIS data.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Failure recovery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Read the dated refresh log before changing anything.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Use failed_stage to isolate the problem: pull/auth, PostgreSQL export, web-data build, finance build, QA, or commit/push.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Fix only the failing stage, then run the checked refresh and validation command from the VM runbook.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Re-open the status JSON and the public routes. If the same stage fails twice, escalate with the log, status JSON, commit SHA, and timestamp.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Rollback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For an application change, revert the focused commit through a pull request, re-run tests and Pages validation, then deploy. For generated data, restore the previous checked-in commit only after confirming the upstream source and finance inputs are not the cause. Never delete source data or rewrite history as a first response.</w:t>
      </w:r>
    </w:p>
    <w:p>
      <w:pPr>
        <w:spacing w:before="0" w:after="100" w:line="240" w:lineRule="auto"/>
      </w:pPr>
      <w:r>
        <w:rPr>
          <w:rFonts w:ascii="Calibri" w:hAnsi="Calibri"/>
          <w:b w:val="0"/>
          <w:i/>
          <w:color w:val="5B6770"/>
          <w:sz w:val="17"/>
        </w:rPr>
        <w:t xml:space="preserve">Source: VM smoke test </w:t>
      </w:r>
      <w:hyperlink r:id="rId24">
        <w:r>
          <w:rPr>
            <w:color w:val="2E74B5"/>
            <w:u w:val="single"/>
            <w:rFonts w:ascii="Calibri" w:hAnsi="Calibri"/>
            <w:sz w:val="20"/>
          </w:rPr>
          <w:t>docs/vm-smoke-test-regrid-daily-sync.md</w:t>
        </w:r>
      </w:hyperlink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Metric and data rules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Do not change silently: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Completion denominator, parcel-key normalization, live ArcGIS endpoint, or raw-record numerator changes require metric documentation and focused tests.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50"/>
        <w:gridCol w:w="351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Metric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Definition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Rule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Complete survey records</w:t>
            </w:r>
          </w:p>
        </w:tc>
        <w:tc>
          <w:tcPr>
            <w:tcW w:type="dxa" w:w="405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Raw live survey records whose normalized parcelnumb matches an assignment parcel.</w:t>
            </w:r>
          </w:p>
        </w:tc>
        <w:tc>
          <w:tcPr>
            <w:tcW w:type="dxa" w:w="351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This is the shared Map/KPI numerator. Repeated matched records remain by design.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Unique completed parcels</w:t>
            </w:r>
          </w:p>
        </w:tc>
        <w:tc>
          <w:tcPr>
            <w:tcW w:type="dxa" w:w="405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Distinct matched parcel keys.</w:t>
            </w:r>
          </w:p>
        </w:tc>
        <w:tc>
          <w:tcPr>
            <w:tcW w:type="dxa" w:w="351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Diagnostic only; do not substitute for the current numerator.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Active completion %</w:t>
            </w:r>
          </w:p>
        </w:tc>
        <w:tc>
          <w:tcPr>
            <w:tcW w:type="dxa" w:w="405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Complete survey records divided by Active assigned records.</w:t>
            </w:r>
          </w:p>
        </w:tc>
        <w:tc>
          <w:tcPr>
            <w:tcW w:type="dxa" w:w="351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Primary operational KPI.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Blended completion %</w:t>
            </w:r>
          </w:p>
        </w:tc>
        <w:tc>
          <w:tcPr>
            <w:tcW w:type="dxa" w:w="405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Complete survey records divided by all assigned records, including Request Only.</w:t>
            </w:r>
          </w:p>
        </w:tc>
        <w:tc>
          <w:tcPr>
            <w:tcW w:type="dxa" w:w="351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Secondary context only.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Open active</w:t>
            </w:r>
          </w:p>
        </w:tc>
        <w:tc>
          <w:tcPr>
            <w:tcW w:type="dxa" w:w="405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Active parcel keys with no matched survey evidence.</w:t>
            </w:r>
          </w:p>
        </w:tc>
        <w:tc>
          <w:tcPr>
            <w:tcW w:type="dxa" w:w="351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Use for follow-up; do not subtract raw records directly.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All AGOL survey records</w:t>
            </w:r>
          </w:p>
        </w:tc>
        <w:tc>
          <w:tcPr>
            <w:tcW w:type="dxa" w:w="405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Every live survey feature for the selected period.</w:t>
            </w:r>
          </w:p>
        </w:tc>
        <w:tc>
          <w:tcPr>
            <w:tcW w:type="dxa" w:w="351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Coverage context; not the same as matched completion.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  <w:r>
        <w:rPr>
          <w:rFonts w:ascii="Calibri" w:hAnsi="Calibri"/>
          <w:b w:val="0"/>
          <w:i w:val="0"/>
          <w:color w:val="0B2545"/>
          <w:sz w:val="19"/>
        </w:rPr>
        <w:t>Survey comments are normalized by the shared adapter from additional_comments, additional_notes, additional_note, or notes into canonical additional_notes. User-visible ArcGIS text must remain HTML-escaped, URL-validated, ordered, and deduplicated.</w:t>
      </w:r>
    </w:p>
    <w:p>
      <w:pPr>
        <w:spacing w:before="0" w:after="100" w:line="240" w:lineRule="auto"/>
      </w:pPr>
      <w:r>
        <w:rPr>
          <w:rFonts w:ascii="Calibri" w:hAnsi="Calibri"/>
          <w:b w:val="0"/>
          <w:i/>
          <w:color w:val="5B6770"/>
          <w:sz w:val="17"/>
        </w:rPr>
        <w:t xml:space="preserve">Source: metric glossary </w:t>
      </w:r>
      <w:hyperlink r:id="rId25">
        <w:r>
          <w:rPr>
            <w:color w:val="2E74B5"/>
            <w:u w:val="single"/>
            <w:rFonts w:ascii="Calibri" w:hAnsi="Calibri"/>
            <w:sz w:val="20"/>
          </w:rPr>
          <w:t>docs/landcare-metrics-context.md</w:t>
        </w:r>
      </w:hyperlink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Ownership and security handover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ArcGIS Online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Ask an ArcGIS administrator to review the item inventory owned by rutomo_urap; the current signed-in user cannot complete Change Owner without the required privilege.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Transfer the Survey123 form, form service, evidence view, and any dashboard or web-map assets that still belong to the departing account. Keep public/queryable sharing unchanged unless the successor approves a change.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The new survey layer item 7a2e1d9bacba461296c54a63f104cf51 is the authoritative replacement for the prior survey layer; confirm its owner, sharing, fields, and REST endpoint after transfer work.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Re-open the dashboard shell, Map Monitor, KPI, contractor portal, and survey-submission flow after any ownership change. Confirm comments, photos, field notes, counts, and filters.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Record item IDs and owner status, but never copy ArcGIS passwords or tokens into the repository or this document.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GitHub and VM security checklist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Success condition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Account security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Exposed password rotated; 2FA enabled; old sessions, PATs, and browser sessions revoked.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Organization</w:t>
            </w:r>
          </w:p>
        </w:tc>
        <w:tc>
          <w:tcPr>
            <w:tcW w:type="dxa" w:w="72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ura-gis has at least two owners; successor uses an individual account; landcare-maintainers team has the needed repository access.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Repository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Remote points to https://github.com/ura-gis/land-care-assurance; branch remains master; Pages environment and workflow are healthy.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VM authentication</w:t>
            </w:r>
          </w:p>
        </w:tc>
        <w:tc>
          <w:tcPr>
            <w:tcW w:type="dxa" w:w="72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Repository-scoped deploy key works as the scheduled-task identity; no departing account credential is required.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Automation variables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Morning-brief recipients and assignee are repository variables; secret names are inventoried without values.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Final removal</w:t>
            </w:r>
          </w:p>
        </w:tc>
        <w:tc>
          <w:tcPr>
            <w:tcW w:type="dxa" w:w="72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After two successful unattended refresh cycles and successor sign-off, remove departing access and old VM credentials.</w:t>
            </w:r>
          </w:p>
        </w:tc>
      </w:tr>
    </w:tbl>
    <w:p>
      <w:pPr>
        <w:spacing w:after="40"/>
      </w:pPr>
    </w:p>
    <w:p>
      <w:pPr>
        <w:spacing w:before="0" w:after="100" w:line="240" w:lineRule="auto"/>
      </w:pPr>
      <w:r>
        <w:rPr>
          <w:rFonts w:ascii="Calibri" w:hAnsi="Calibri"/>
          <w:b w:val="0"/>
          <w:i/>
          <w:color w:val="5B6770"/>
          <w:sz w:val="17"/>
        </w:rPr>
        <w:t xml:space="preserve">Source: GitHub and Pages runbook </w:t>
      </w:r>
      <w:hyperlink r:id="rId26">
        <w:r>
          <w:rPr>
            <w:color w:val="2E74B5"/>
            <w:u w:val="single"/>
            <w:rFonts w:ascii="Calibri" w:hAnsi="Calibri"/>
            <w:sz w:val="20"/>
          </w:rPr>
          <w:t>docs/github-handover-runbook.md</w:t>
        </w:r>
      </w:hyperlink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Safe changes with Codex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Start every session by reading HANDOVER.md, AGENTS.md, and the relevant canonical document. Keep changes small, source-aware, and reversible.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Create a codex/* branch and state the source, denominator, affected page, tests, and rollback path in the pull request.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Change the adapter, UI, documentation, and focused tests together when behavior changes. Keep shared survey-layer cache-busting versions aligned.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Run the Python suite, node --test tests/survey-layer.test.mjs, Pages validation, and the read-only ArcGIS smoke test before pushing.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Open Map Monitor, KPI, contractor, and survey-submission routes; verify loading, empty, error, comments, field notes, and responsive states.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Push the branch and open a pull request. Merge to master only after checks are green and an owner has reviewed the metric/source impact.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First task: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Make one harmless documentation edit, run the checks, open a pull request, and deploy it with the successor. This proves the new operator can use Codex end to end.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Design system reuse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Copy docs/design-system/executive-bi.css and example.html into a new framework-free app, wrap the page in .bi-dashboard, override --bi-* tokens at the root, and replace example values with source-backed metrics. Preserve semantic labels, keyboard access, 4.5:1 contrast, responsive stacking, and explicit loading/empty/error states.</w:t>
      </w:r>
    </w:p>
    <w:p>
      <w:pPr>
        <w:spacing w:before="0" w:after="100" w:line="240" w:lineRule="auto"/>
      </w:pPr>
      <w:r>
        <w:rPr>
          <w:rFonts w:ascii="Calibri" w:hAnsi="Calibri"/>
          <w:b w:val="0"/>
          <w:i/>
          <w:color w:val="5B6770"/>
          <w:sz w:val="17"/>
        </w:rPr>
        <w:t xml:space="preserve">Source: design-system guide </w:t>
      </w:r>
      <w:hyperlink r:id="rId27">
        <w:r>
          <w:rPr>
            <w:color w:val="2E74B5"/>
            <w:u w:val="single"/>
            <w:rFonts w:ascii="Calibri" w:hAnsi="Calibri"/>
            <w:sz w:val="20"/>
          </w:rPr>
          <w:t>docs/design-system/README.md</w:t>
        </w:r>
      </w:hyperlink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Ownership, escalation, and sign-off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Area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Primary owner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Escalate when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Regrid / GISDB / ArcGIS freshness</w:t>
            </w:r>
          </w:p>
        </w:tc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GIS/data operations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Period or layer counts are stale, missing, or regressing.</w:t>
            </w:r>
          </w:p>
        </w:tc>
      </w:tr>
      <w:tr>
        <w:tc>
          <w:tcPr>
            <w:tcW w:type="dxa" w:w="23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VM refresh and Task Scheduler</w:t>
            </w:r>
          </w:p>
        </w:tc>
        <w:tc>
          <w:tcPr>
            <w:tcW w:type="dxa" w:w="26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GIS/data operations</w:t>
            </w:r>
          </w:p>
        </w:tc>
        <w:tc>
          <w:tcPr>
            <w:tcW w:type="dxa" w:w="44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Status JSON is not success or the same stage fails again.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Map / KPI / Pages code</w:t>
            </w:r>
          </w:p>
        </w:tc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Web/dashboard owner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UI, tests, source mapping, endpoint, or metric contract changes.</w:t>
            </w:r>
          </w:p>
        </w:tc>
      </w:tr>
      <w:tr>
        <w:tc>
          <w:tcPr>
            <w:tcW w:type="dxa" w:w="23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Contractor follow-up</w:t>
            </w:r>
          </w:p>
        </w:tc>
        <w:tc>
          <w:tcPr>
            <w:tcW w:type="dxa" w:w="26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LandCare operations</w:t>
            </w:r>
          </w:p>
        </w:tc>
        <w:tc>
          <w:tcPr>
            <w:tcW w:type="dxa" w:w="44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Open work, comments, evidence, or contractor outliers need action.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Finance context</w:t>
            </w:r>
          </w:p>
        </w:tc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Finance owner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Workbook, budget, invoice, or contract totals change.</w:t>
            </w:r>
          </w:p>
        </w:tc>
      </w:tr>
      <w:tr>
        <w:tc>
          <w:tcPr>
            <w:tcW w:type="dxa" w:w="23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ArcGIS ownership / sharing</w:t>
            </w:r>
          </w:p>
        </w:tc>
        <w:tc>
          <w:tcPr>
            <w:tcW w:type="dxa" w:w="26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ArcGIS administrator</w:t>
            </w:r>
          </w:p>
        </w:tc>
        <w:tc>
          <w:tcPr>
            <w:tcW w:type="dxa" w:w="44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Change Owner, privilege, item access, or dashboard embed is blocked.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Cutover sign-off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Window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Checklist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Day 0</w:t>
            </w:r>
          </w:p>
        </w:tc>
        <w:tc>
          <w:tcPr>
            <w:tcW w:type="dxa" w:w="78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Transfer/confirm GitHub ownership; verify master and Pages; update ArcGIS embeds; install/test VM deploy key; run one checked refresh; confirm all four routes.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Day +2</w:t>
            </w:r>
          </w:p>
        </w:tc>
        <w:tc>
          <w:tcPr>
            <w:tcW w:type="dxa" w:w="786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Confirm two unattended refresh cycles, morning-brief dry-run, ArcGIS dashboard load, current comments/field notes, matching Map/KPI completion, and successor pull-request proof.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Closeout</w:t>
            </w:r>
          </w:p>
        </w:tc>
        <w:tc>
          <w:tcPr>
            <w:tcW w:type="dxa" w:w="786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Remove departing account access, old sessions/tokens, and old VM credentials only after the successor signs off.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Escalation packet: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Include timestamp, route, selected period/filter, ArcGIS item or endpoint, commit SHA, failed_stage, status JSON, and the relevant log excerpt. Do not include credentials.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Canonical references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Reference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Purpose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Link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HANDOVER.md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Repository quick start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hyperlink r:id="rId15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HANDOVER.md</w:t>
              </w:r>
            </w:hyperlink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AGENTS.md</w:t>
            </w:r>
          </w:p>
        </w:tc>
        <w:tc>
          <w:tcPr>
            <w:tcW w:type="dxa" w:w="35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Codex guardrails</w:t>
            </w:r>
          </w:p>
        </w:tc>
        <w:tc>
          <w:tcPr>
            <w:tcW w:type="dxa" w:w="4060"/>
            <w:shd w:fill="FAFBFC"/>
          </w:tcPr>
          <w:p>
            <w:pPr>
              <w:spacing w:after="0" w:line="259" w:lineRule="auto"/>
            </w:pPr>
            <w:hyperlink r:id="rId28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AGENTS.md</w:t>
              </w:r>
            </w:hyperlink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Architecture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Source and runtime model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hyperlink r:id="rId17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docs/landcare-architecture.md</w:t>
              </w:r>
            </w:hyperlink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Metrics</w:t>
            </w:r>
          </w:p>
        </w:tc>
        <w:tc>
          <w:tcPr>
            <w:tcW w:type="dxa" w:w="35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Definitions and denominator rules</w:t>
            </w:r>
          </w:p>
        </w:tc>
        <w:tc>
          <w:tcPr>
            <w:tcW w:type="dxa" w:w="4060"/>
            <w:shd w:fill="FAFBFC"/>
          </w:tcPr>
          <w:p>
            <w:pPr>
              <w:spacing w:after="0" w:line="259" w:lineRule="auto"/>
            </w:pPr>
            <w:hyperlink r:id="rId25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docs/landcare-metrics-context.md</w:t>
              </w:r>
            </w:hyperlink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VM operations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Scheduler, refresh, and failure triage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hyperlink r:id="rId23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docs/task-scheduler-vm-operations.md</w:t>
              </w:r>
            </w:hyperlink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Smoke test</w:t>
            </w:r>
          </w:p>
        </w:tc>
        <w:tc>
          <w:tcPr>
            <w:tcW w:type="dxa" w:w="35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Post-refresh proof checklist</w:t>
            </w:r>
          </w:p>
        </w:tc>
        <w:tc>
          <w:tcPr>
            <w:tcW w:type="dxa" w:w="4060"/>
            <w:shd w:fill="FAFBFC"/>
          </w:tcPr>
          <w:p>
            <w:pPr>
              <w:spacing w:after="0" w:line="259" w:lineRule="auto"/>
            </w:pPr>
            <w:hyperlink r:id="rId24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docs/vm-smoke-test-regrid-daily-sync.md</w:t>
              </w:r>
            </w:hyperlink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GitHub handover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Repository and Pages cutover</w:t>
            </w:r>
          </w:p>
        </w:tc>
        <w:tc>
          <w:tcPr>
            <w:tcW w:type="dxa" w:w="4060"/>
          </w:tcPr>
          <w:p>
            <w:pPr>
              <w:spacing w:after="0" w:line="259" w:lineRule="auto"/>
            </w:pPr>
            <w:hyperlink r:id="rId26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docs/github-handover-runbook.md</w:t>
              </w:r>
            </w:hyperlink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Design system</w:t>
            </w:r>
          </w:p>
        </w:tc>
        <w:tc>
          <w:tcPr>
            <w:tcW w:type="dxa" w:w="3500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Reusable BI components</w:t>
            </w:r>
          </w:p>
        </w:tc>
        <w:tc>
          <w:tcPr>
            <w:tcW w:type="dxa" w:w="4060"/>
            <w:shd w:fill="FAFBFC"/>
          </w:tcPr>
          <w:p>
            <w:pPr>
              <w:spacing w:after="0" w:line="259" w:lineRule="auto"/>
            </w:pPr>
            <w:hyperlink r:id="rId27">
              <w:r>
                <w:rPr>
                  <w:color w:val="2E74B5"/>
                  <w:u w:val="single"/>
                  <w:rFonts w:ascii="Calibri" w:hAnsi="Calibri"/>
                  <w:sz w:val="20"/>
                </w:rPr>
                <w:t>docs/design-system/README.md</w:t>
              </w:r>
            </w:hyperlink>
          </w:p>
        </w:tc>
      </w:tr>
    </w:tbl>
    <w:p>
      <w:pPr>
        <w:spacing w:after="40"/>
      </w:pPr>
    </w:p>
    <w:p>
      <w:pPr>
        <w:spacing w:before="160" w:after="0" w:line="300" w:lineRule="auto"/>
      </w:pPr>
      <w:r>
        <w:rPr>
          <w:rFonts w:ascii="Calibri" w:hAnsi="Calibri"/>
          <w:b w:val="0"/>
          <w:i/>
          <w:color w:val="5B6770"/>
          <w:sz w:val="18"/>
        </w:rPr>
        <w:t>End of guide. The Markdown references above remain canonical and should be updated when operating behavior changes.</w:t>
      </w:r>
    </w:p>
    <w:sectPr>
      <w:headerReference w:type="default" r:id="rId9"/>
      <w:footerReference w:type="default" r:id="rId10"/>
      <w:pgSz w:w="12240" w:h="15840"/>
      <w:pgMar w:top="1181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B6770"/>
        <w:sz w:val="17"/>
      </w:rPr>
      <w:t xml:space="preserve">URA GIS | </w:t>
    </w:r>
    <w:r>
      <w:rPr>
        <w:rFonts w:ascii="Calibri" w:hAnsi="Calibri"/>
        <w:b w:val="0"/>
        <w:i w:val="0"/>
        <w:color w:val="5B677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770"/>
        <w:sz w:val="17"/>
      </w:rPr>
      <w:t>LANDCARE OPERATIONAL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ura-gis.github.io/land-care-assurance/monitoring/" TargetMode="External"/><Relationship Id="rId12" Type="http://schemas.openxmlformats.org/officeDocument/2006/relationships/hyperlink" Target="https://ura-gis.github.io/land-care-assurance/kpi/" TargetMode="External"/><Relationship Id="rId13" Type="http://schemas.openxmlformats.org/officeDocument/2006/relationships/hyperlink" Target="https://ura-gis.github.io/land-care-assurance/contractor/" TargetMode="External"/><Relationship Id="rId14" Type="http://schemas.openxmlformats.org/officeDocument/2006/relationships/hyperlink" Target="https://ura-gis.github.io/land-care-assurance/survey-submission/" TargetMode="External"/><Relationship Id="rId15" Type="http://schemas.openxmlformats.org/officeDocument/2006/relationships/hyperlink" Target="https://github.com/ura-gis/land-care-assurance/blob/master/HANDOVER.md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github.com/ura-gis/land-care-assurance/blob/master/docs/landcare-architecture.md" TargetMode="External"/><Relationship Id="rId18" Type="http://schemas.openxmlformats.org/officeDocument/2006/relationships/hyperlink" Target="https://urap.maps.arcgis.com/home/item.html?id=7a2e1d9bacba461296c54a63f104cf51" TargetMode="External"/><Relationship Id="rId19" Type="http://schemas.openxmlformats.org/officeDocument/2006/relationships/hyperlink" Target="https://services1.arcgis.com/0DMNBNaacQNEfN4H/arcgis/rest/services/regrid_surveys/FeatureServer/0" TargetMode="External"/><Relationship Id="rId20" Type="http://schemas.openxmlformats.org/officeDocument/2006/relationships/hyperlink" Target="https://urap.maps.arcgis.com/home/item.html?id=341377524e02486ba71684ad67d9b273" TargetMode="External"/><Relationship Id="rId21" Type="http://schemas.openxmlformats.org/officeDocument/2006/relationships/hyperlink" Target="https://github.com/ura-gis/land-care-assurance" TargetMode="External"/><Relationship Id="rId22" Type="http://schemas.openxmlformats.org/officeDocument/2006/relationships/hyperlink" Target="https://ura-gis.github.io/land-care-assurance" TargetMode="External"/><Relationship Id="rId23" Type="http://schemas.openxmlformats.org/officeDocument/2006/relationships/hyperlink" Target="https://github.com/ura-gis/land-care-assurance/blob/master/docs/task-scheduler-vm-operations.md" TargetMode="External"/><Relationship Id="rId24" Type="http://schemas.openxmlformats.org/officeDocument/2006/relationships/hyperlink" Target="https://github.com/ura-gis/land-care-assurance/blob/master/docs/vm-smoke-test-regrid-daily-sync.md" TargetMode="External"/><Relationship Id="rId25" Type="http://schemas.openxmlformats.org/officeDocument/2006/relationships/hyperlink" Target="https://github.com/ura-gis/land-care-assurance/blob/master/docs/landcare-metrics-context.md" TargetMode="External"/><Relationship Id="rId26" Type="http://schemas.openxmlformats.org/officeDocument/2006/relationships/hyperlink" Target="https://github.com/ura-gis/land-care-assurance/blob/master/docs/github-handover-runbook.md" TargetMode="External"/><Relationship Id="rId27" Type="http://schemas.openxmlformats.org/officeDocument/2006/relationships/hyperlink" Target="https://github.com/ura-gis/land-care-assurance/blob/master/docs/design-system/README.md" TargetMode="External"/><Relationship Id="rId28" Type="http://schemas.openxmlformats.org/officeDocument/2006/relationships/hyperlink" Target="https://github.com/ura-gis/land-care-assurance/blob/master/AGEN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LandCare Operational Handover</dc:title>
  <dc:subject>LandCare GIS, ArcGIS Online, GitHub Pages, and Codex operations</dc:subject>
  <dc:creator/>
  <cp:keywords>LandCare, ArcGIS, GitHub Pages, GIS operations, handover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