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139DF" w14:textId="3F74BDAF" w:rsidR="00026DCA" w:rsidRPr="00715D14" w:rsidRDefault="31981D47" w:rsidP="003867BA">
      <w:pPr>
        <w:pStyle w:val="Heading2"/>
      </w:pPr>
      <w:r w:rsidRPr="00715D14">
        <w:t xml:space="preserve">Social and </w:t>
      </w:r>
      <w:r w:rsidR="003C12BA" w:rsidRPr="00715D14">
        <w:t>D</w:t>
      </w:r>
      <w:r w:rsidRPr="00715D14">
        <w:t xml:space="preserve">emographic </w:t>
      </w:r>
      <w:r w:rsidR="003C12BA" w:rsidRPr="00715D14">
        <w:t>I</w:t>
      </w:r>
      <w:r w:rsidRPr="00715D14">
        <w:t>ndicators for Argentina</w:t>
      </w:r>
    </w:p>
    <w:p w14:paraId="4935F7AD" w14:textId="77777777" w:rsidR="00026DCA" w:rsidRPr="003867BA" w:rsidRDefault="31981D47" w:rsidP="003867BA">
      <w:pPr>
        <w:pStyle w:val="Heading3"/>
        <w:rPr>
          <w:color w:val="auto"/>
        </w:rPr>
      </w:pPr>
      <w:r w:rsidRPr="003867BA">
        <w:rPr>
          <w:color w:val="auto"/>
        </w:rPr>
        <w:t>Total population</w:t>
      </w:r>
    </w:p>
    <w:p w14:paraId="366B959E" w14:textId="77777777" w:rsidR="00026DCA" w:rsidRPr="00D62B3E" w:rsidRDefault="31981D47" w:rsidP="00D62B3E">
      <w:pPr>
        <w:rPr>
          <w:lang w:val="es-ES"/>
        </w:rPr>
      </w:pPr>
      <w:r w:rsidRPr="00D62B3E">
        <w:rPr>
          <w:lang w:val="es-ES"/>
        </w:rPr>
        <w:t>47.067.641 inhabitants (estimate as of July 1, 2024)</w:t>
      </w:r>
    </w:p>
    <w:p w14:paraId="5857AC35" w14:textId="77777777" w:rsidR="00026DCA" w:rsidRDefault="00026DCA" w:rsidP="00D62B3E">
      <w:pPr>
        <w:rPr>
          <w:i/>
          <w:iCs/>
          <w:sz w:val="20"/>
          <w:szCs w:val="20"/>
          <w:lang w:val="es-ES"/>
        </w:rPr>
      </w:pPr>
      <w:r w:rsidRPr="00D62B3E">
        <w:rPr>
          <w:i/>
          <w:iCs/>
          <w:sz w:val="20"/>
          <w:szCs w:val="20"/>
          <w:lang w:val="es-ES"/>
        </w:rPr>
        <w:t>Source: INDEC, National Population, Household, and Housing Census 2022</w:t>
      </w:r>
      <w:r w:rsidRPr="31981D47">
        <w:rPr>
          <w:i/>
          <w:iCs/>
          <w:sz w:val="20"/>
          <w:szCs w:val="20"/>
          <w:lang w:val="es-ES"/>
        </w:rPr>
        <w:t>.</w:t>
      </w:r>
      <w:r w:rsidRPr="31981D47">
        <w:rPr>
          <w:i/>
          <w:iCs/>
          <w:sz w:val="20"/>
          <w:szCs w:val="20"/>
          <w:vertAlign w:val="superscript"/>
          <w:lang w:val="es-ES"/>
        </w:rPr>
        <w:footnoteReference w:id="1"/>
      </w:r>
    </w:p>
    <w:p w14:paraId="367656FB" w14:textId="076B7252" w:rsidR="00026DCA" w:rsidRDefault="00EE743C" w:rsidP="00D62B3E">
      <w:pPr>
        <w:pStyle w:val="Heading3"/>
      </w:pPr>
      <w:r>
        <w:tab/>
      </w:r>
    </w:p>
    <w:p w14:paraId="74F399F8" w14:textId="77777777" w:rsidR="00026DCA" w:rsidRPr="002A171D" w:rsidRDefault="31981D47" w:rsidP="003867BA">
      <w:pPr>
        <w:pStyle w:val="Heading3"/>
      </w:pPr>
      <w:r w:rsidRPr="002A171D">
        <w:t>Life expectancy at birth</w:t>
      </w:r>
    </w:p>
    <w:p w14:paraId="4066C78A" w14:textId="77777777" w:rsidR="00026DCA" w:rsidRPr="00D62B3E" w:rsidRDefault="31981D47" w:rsidP="00D62B3E">
      <w:pPr>
        <w:rPr>
          <w:lang w:val="es-ES"/>
        </w:rPr>
      </w:pPr>
      <w:r w:rsidRPr="00D62B3E">
        <w:rPr>
          <w:lang w:val="es-ES"/>
        </w:rPr>
        <w:t>Overall average: 79.09 years</w:t>
      </w:r>
    </w:p>
    <w:p w14:paraId="4201CA21" w14:textId="77777777" w:rsidR="00026DCA" w:rsidRPr="00D62B3E" w:rsidRDefault="31981D47" w:rsidP="00D62B3E">
      <w:pPr>
        <w:rPr>
          <w:lang w:val="es-ES"/>
        </w:rPr>
      </w:pPr>
      <w:r w:rsidRPr="00D62B3E">
        <w:rPr>
          <w:lang w:val="es-ES"/>
        </w:rPr>
        <w:t>Women: 82.42 years</w:t>
      </w:r>
    </w:p>
    <w:p w14:paraId="59B43B63" w14:textId="77777777" w:rsidR="00026DCA" w:rsidRPr="00D62B3E" w:rsidRDefault="31981D47" w:rsidP="00D62B3E">
      <w:pPr>
        <w:rPr>
          <w:lang w:val="es-ES"/>
        </w:rPr>
      </w:pPr>
      <w:r w:rsidRPr="00D62B3E">
        <w:rPr>
          <w:lang w:val="es-ES"/>
        </w:rPr>
        <w:t>Men: 75.96 years</w:t>
      </w:r>
    </w:p>
    <w:p w14:paraId="72573847" w14:textId="77777777" w:rsidR="00026DCA" w:rsidRPr="00D62B3E" w:rsidRDefault="00026DCA" w:rsidP="00D62B3E">
      <w:pPr>
        <w:rPr>
          <w:lang w:val="es-ES"/>
        </w:rPr>
      </w:pPr>
      <w:r w:rsidRPr="00D62B3E">
        <w:rPr>
          <w:i/>
          <w:iCs/>
          <w:sz w:val="20"/>
          <w:szCs w:val="20"/>
          <w:lang w:val="es-ES"/>
        </w:rPr>
        <w:t>Source: INDEC. Estimates and projections for 2025 based on the 2010 National Population, Household, and Housing Census.</w:t>
      </w:r>
      <w:r w:rsidRPr="00D62B3E">
        <w:rPr>
          <w:vertAlign w:val="superscript"/>
          <w:lang w:val="es-ES"/>
        </w:rPr>
        <w:footnoteReference w:id="2"/>
      </w:r>
    </w:p>
    <w:p w14:paraId="1716EA8A" w14:textId="77777777" w:rsidR="00026DCA" w:rsidRDefault="00026DCA" w:rsidP="00026DCA">
      <w:pPr>
        <w:rPr>
          <w:rFonts w:ascii="Encode Sans Medium" w:eastAsia="Encode Sans Medium" w:hAnsi="Encode Sans Medium" w:cs="Encode Sans Medium"/>
        </w:rPr>
      </w:pPr>
    </w:p>
    <w:p w14:paraId="65307597" w14:textId="77777777" w:rsidR="00026DCA" w:rsidRDefault="31981D47" w:rsidP="003867BA">
      <w:pPr>
        <w:pStyle w:val="Heading3"/>
        <w:rPr>
          <w:lang w:val="es-ES"/>
        </w:rPr>
      </w:pPr>
      <w:r w:rsidRPr="31981D47">
        <w:rPr>
          <w:lang w:val="es-ES"/>
        </w:rPr>
        <w:t>Infant mortality rate</w:t>
      </w:r>
    </w:p>
    <w:p w14:paraId="0F1C0A4F" w14:textId="77777777" w:rsidR="00026DCA" w:rsidRDefault="31981D47" w:rsidP="31981D47">
      <w:pPr>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8.4 per thousand live births (2022)</w:t>
      </w:r>
    </w:p>
    <w:p w14:paraId="41C4341E" w14:textId="725FBFE1" w:rsidR="00026DCA" w:rsidRDefault="00026DCA" w:rsidP="31981D47">
      <w:pPr>
        <w:rPr>
          <w:rFonts w:ascii="Encode Sans Medium" w:eastAsia="Encode Sans Medium" w:hAnsi="Encode Sans Medium" w:cs="Encode Sans Medium"/>
          <w:i/>
          <w:iCs/>
          <w:sz w:val="20"/>
          <w:szCs w:val="20"/>
          <w:lang w:val="es-ES"/>
        </w:rPr>
      </w:pPr>
      <w:r w:rsidRPr="31981D47">
        <w:rPr>
          <w:rFonts w:ascii="Encode Sans Medium" w:eastAsia="Encode Sans Medium" w:hAnsi="Encode Sans Medium" w:cs="Encode Sans Medium"/>
          <w:i/>
          <w:iCs/>
          <w:sz w:val="20"/>
          <w:szCs w:val="20"/>
          <w:lang w:val="es-ES"/>
        </w:rPr>
        <w:t>Source: Statistical Summary No</w:t>
      </w:r>
      <w:r w:rsidR="00FE6F4B">
        <w:rPr>
          <w:rFonts w:ascii="Encode Sans Medium" w:eastAsia="Encode Sans Medium" w:hAnsi="Encode Sans Medium" w:cs="Encode Sans Medium"/>
          <w:i/>
          <w:iCs/>
          <w:sz w:val="20"/>
          <w:szCs w:val="20"/>
          <w:lang w:val="es-ES"/>
        </w:rPr>
        <w:t xml:space="preserve">: </w:t>
      </w:r>
      <w:r w:rsidRPr="31981D47">
        <w:rPr>
          <w:rFonts w:ascii="Encode Sans Medium" w:eastAsia="Encode Sans Medium" w:hAnsi="Encode Sans Medium" w:cs="Encode Sans Medium"/>
          <w:i/>
          <w:iCs/>
          <w:sz w:val="20"/>
          <w:szCs w:val="20"/>
          <w:lang w:val="es-ES"/>
        </w:rPr>
        <w:t>9, Ministry of Health.</w:t>
      </w:r>
      <w:r w:rsidRPr="31981D47">
        <w:rPr>
          <w:rFonts w:ascii="Encode Sans Medium" w:eastAsia="Encode Sans Medium" w:hAnsi="Encode Sans Medium" w:cs="Encode Sans Medium"/>
          <w:i/>
          <w:iCs/>
          <w:sz w:val="20"/>
          <w:szCs w:val="20"/>
          <w:vertAlign w:val="superscript"/>
          <w:lang w:val="es-ES"/>
        </w:rPr>
        <w:footnoteReference w:id="3"/>
      </w:r>
    </w:p>
    <w:p w14:paraId="1F103E50" w14:textId="77777777" w:rsidR="00026DCA" w:rsidRDefault="00026DCA" w:rsidP="00026DCA">
      <w:pPr>
        <w:rPr>
          <w:rFonts w:ascii="Encode Sans Medium" w:eastAsia="Encode Sans Medium" w:hAnsi="Encode Sans Medium" w:cs="Encode Sans Medium"/>
        </w:rPr>
      </w:pPr>
    </w:p>
    <w:p w14:paraId="4D334D9E" w14:textId="77777777" w:rsidR="00026DCA" w:rsidRDefault="31981D47" w:rsidP="003867BA">
      <w:pPr>
        <w:pStyle w:val="Heading3"/>
      </w:pPr>
      <w:r w:rsidRPr="31981D47">
        <w:rPr>
          <w:lang w:val="es-ES"/>
        </w:rPr>
        <w:t>Income distribution (Gini coefficient)</w:t>
      </w:r>
    </w:p>
    <w:p w14:paraId="443575F9" w14:textId="77777777" w:rsidR="00026DCA" w:rsidRDefault="31981D47" w:rsidP="31981D47">
      <w:pPr>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0.430 (fourth quarter of 2024)</w:t>
      </w:r>
    </w:p>
    <w:p w14:paraId="51FBA78D" w14:textId="77777777" w:rsidR="00026DCA" w:rsidRDefault="00026DCA" w:rsidP="31981D47">
      <w:pPr>
        <w:rPr>
          <w:rFonts w:ascii="Encode Sans Medium" w:eastAsia="Encode Sans Medium" w:hAnsi="Encode Sans Medium" w:cs="Encode Sans Medium"/>
          <w:i/>
          <w:iCs/>
          <w:sz w:val="20"/>
          <w:szCs w:val="20"/>
          <w:lang w:val="es-ES"/>
        </w:rPr>
      </w:pPr>
      <w:r w:rsidRPr="31981D47">
        <w:rPr>
          <w:rFonts w:ascii="Encode Sans Medium" w:eastAsia="Encode Sans Medium" w:hAnsi="Encode Sans Medium" w:cs="Encode Sans Medium"/>
          <w:i/>
          <w:iCs/>
          <w:sz w:val="20"/>
          <w:szCs w:val="20"/>
          <w:lang w:val="es-ES"/>
        </w:rPr>
        <w:t>Source: INDEC, Permanent Household Survey.</w:t>
      </w:r>
      <w:r w:rsidRPr="31981D47">
        <w:rPr>
          <w:rFonts w:ascii="Encode Sans Medium" w:eastAsia="Encode Sans Medium" w:hAnsi="Encode Sans Medium" w:cs="Encode Sans Medium"/>
          <w:i/>
          <w:iCs/>
          <w:sz w:val="20"/>
          <w:szCs w:val="20"/>
          <w:vertAlign w:val="superscript"/>
          <w:lang w:val="es-ES"/>
        </w:rPr>
        <w:footnoteReference w:id="4"/>
      </w:r>
    </w:p>
    <w:p w14:paraId="3E579ABF" w14:textId="77777777" w:rsidR="00026DCA" w:rsidRDefault="00026DCA" w:rsidP="00026DCA">
      <w:pPr>
        <w:rPr>
          <w:rFonts w:ascii="Encode Sans Medium" w:eastAsia="Encode Sans Medium" w:hAnsi="Encode Sans Medium" w:cs="Encode Sans Medium"/>
        </w:rPr>
      </w:pPr>
    </w:p>
    <w:p w14:paraId="41D87903" w14:textId="77777777" w:rsidR="00026DCA" w:rsidRDefault="31981D47" w:rsidP="003867BA">
      <w:pPr>
        <w:pStyle w:val="Heading3"/>
        <w:rPr>
          <w:lang w:val="es-ES"/>
        </w:rPr>
      </w:pPr>
      <w:r w:rsidRPr="31981D47">
        <w:rPr>
          <w:lang w:val="es-ES"/>
        </w:rPr>
        <w:t>Urbanization</w:t>
      </w:r>
    </w:p>
    <w:p w14:paraId="28A749F3" w14:textId="77777777" w:rsidR="00026DCA" w:rsidRDefault="31981D47" w:rsidP="31981D47">
      <w:pPr>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92% of the population lives in urban areas (2022)</w:t>
      </w:r>
    </w:p>
    <w:p w14:paraId="34CCAB4C" w14:textId="77777777" w:rsidR="00026DCA" w:rsidRDefault="31981D47" w:rsidP="31981D47">
      <w:pPr>
        <w:rPr>
          <w:rFonts w:ascii="Encode Sans Medium" w:eastAsia="Encode Sans Medium" w:hAnsi="Encode Sans Medium" w:cs="Encode Sans Medium"/>
          <w:i/>
          <w:iCs/>
          <w:sz w:val="20"/>
          <w:szCs w:val="20"/>
          <w:lang w:val="es-ES"/>
        </w:rPr>
      </w:pPr>
      <w:r w:rsidRPr="31981D47">
        <w:rPr>
          <w:rFonts w:ascii="Encode Sans Medium" w:eastAsia="Encode Sans Medium" w:hAnsi="Encode Sans Medium" w:cs="Encode Sans Medium"/>
          <w:i/>
          <w:iCs/>
          <w:sz w:val="20"/>
          <w:szCs w:val="20"/>
          <w:lang w:val="es-ES"/>
        </w:rPr>
        <w:t>Source: INDEC, National Population, Household, and Housing Census 2022.</w:t>
      </w:r>
    </w:p>
    <w:p w14:paraId="2AD4490B" w14:textId="77777777" w:rsidR="00026DCA" w:rsidRDefault="00026DCA" w:rsidP="00026DCA">
      <w:pPr>
        <w:rPr>
          <w:rFonts w:ascii="Encode Sans Medium" w:eastAsia="Encode Sans Medium" w:hAnsi="Encode Sans Medium" w:cs="Encode Sans Medium"/>
        </w:rPr>
      </w:pPr>
      <w:r>
        <w:rPr>
          <w:rFonts w:ascii="Encode Sans Medium" w:eastAsia="Encode Sans Medium" w:hAnsi="Encode Sans Medium" w:cs="Encode Sans Medium"/>
          <w:vertAlign w:val="superscript"/>
        </w:rPr>
        <w:footnoteReference w:id="5"/>
      </w:r>
    </w:p>
    <w:p w14:paraId="2D02FAF2" w14:textId="77777777" w:rsidR="00026DCA" w:rsidRPr="00D62B3E" w:rsidRDefault="31981D47" w:rsidP="003867BA">
      <w:pPr>
        <w:pStyle w:val="Heading3"/>
      </w:pPr>
      <w:r w:rsidRPr="00D62B3E">
        <w:t>Gross domestic product (GDP) per capita</w:t>
      </w:r>
    </w:p>
    <w:p w14:paraId="6661E87C" w14:textId="77777777" w:rsidR="00026DCA" w:rsidRDefault="31981D47" w:rsidP="31981D47">
      <w:pPr>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$13,394 (fourth quarter of 2024)</w:t>
      </w:r>
    </w:p>
    <w:p w14:paraId="5520BD54" w14:textId="77777777" w:rsidR="00026DCA" w:rsidRDefault="00026DCA" w:rsidP="31981D47">
      <w:pPr>
        <w:rPr>
          <w:rFonts w:ascii="Encode Sans Medium" w:eastAsia="Encode Sans Medium" w:hAnsi="Encode Sans Medium" w:cs="Encode Sans Medium"/>
          <w:i/>
          <w:iCs/>
          <w:sz w:val="20"/>
          <w:szCs w:val="20"/>
          <w:lang w:val="es-ES"/>
        </w:rPr>
      </w:pPr>
      <w:r w:rsidRPr="31981D47">
        <w:rPr>
          <w:rFonts w:ascii="Encode Sans Medium" w:eastAsia="Encode Sans Medium" w:hAnsi="Encode Sans Medium" w:cs="Encode Sans Medium"/>
          <w:i/>
          <w:iCs/>
          <w:sz w:val="20"/>
          <w:szCs w:val="20"/>
          <w:lang w:val="es-ES"/>
        </w:rPr>
        <w:lastRenderedPageBreak/>
        <w:t>Source: INDEC, Quarterly National Accounts.</w:t>
      </w:r>
      <w:r w:rsidRPr="31981D47">
        <w:rPr>
          <w:rFonts w:ascii="Encode Sans Medium" w:eastAsia="Encode Sans Medium" w:hAnsi="Encode Sans Medium" w:cs="Encode Sans Medium"/>
          <w:i/>
          <w:iCs/>
          <w:sz w:val="20"/>
          <w:szCs w:val="20"/>
          <w:vertAlign w:val="superscript"/>
          <w:lang w:val="es-ES"/>
        </w:rPr>
        <w:footnoteReference w:id="6"/>
      </w:r>
    </w:p>
    <w:p w14:paraId="640C2903" w14:textId="77777777" w:rsidR="00026DCA" w:rsidRDefault="00026DCA" w:rsidP="00026DCA">
      <w:pPr>
        <w:rPr>
          <w:rFonts w:ascii="Encode Sans Medium" w:eastAsia="Encode Sans Medium" w:hAnsi="Encode Sans Medium" w:cs="Encode Sans Medium"/>
        </w:rPr>
      </w:pPr>
    </w:p>
    <w:p w14:paraId="418E4EB4" w14:textId="77777777" w:rsidR="00026DCA" w:rsidRDefault="00026DCA" w:rsidP="00026DCA">
      <w:pPr>
        <w:rPr>
          <w:rFonts w:ascii="Encode Sans Medium" w:eastAsia="Encode Sans Medium" w:hAnsi="Encode Sans Medium" w:cs="Encode Sans Medium"/>
        </w:rPr>
      </w:pPr>
    </w:p>
    <w:p w14:paraId="0B6E177A" w14:textId="77777777" w:rsidR="00026DCA" w:rsidRDefault="00026DCA" w:rsidP="00026DCA">
      <w:pPr>
        <w:rPr>
          <w:rFonts w:ascii="Encode Sans Medium" w:eastAsia="Encode Sans Medium" w:hAnsi="Encode Sans Medium" w:cs="Encode Sans Medium"/>
        </w:rPr>
      </w:pPr>
    </w:p>
    <w:p w14:paraId="19874CC2" w14:textId="77777777" w:rsidR="00026DCA" w:rsidRDefault="00026DCA" w:rsidP="00026DCA">
      <w:pPr>
        <w:rPr>
          <w:rFonts w:ascii="Encode Sans Medium" w:eastAsia="Encode Sans Medium" w:hAnsi="Encode Sans Medium" w:cs="Encode Sans Medium"/>
        </w:rPr>
      </w:pPr>
    </w:p>
    <w:p w14:paraId="7698731C" w14:textId="77777777" w:rsidR="00026DCA" w:rsidRDefault="00026DCA" w:rsidP="00026DCA">
      <w:pPr>
        <w:rPr>
          <w:rFonts w:ascii="Encode Sans Medium" w:eastAsia="Encode Sans Medium" w:hAnsi="Encode Sans Medium" w:cs="Encode Sans Medium"/>
        </w:rPr>
      </w:pPr>
    </w:p>
    <w:p w14:paraId="5184E1B2" w14:textId="77777777" w:rsidR="00026DCA" w:rsidRDefault="00026DCA" w:rsidP="00026DCA">
      <w:pPr>
        <w:rPr>
          <w:rFonts w:ascii="Encode Sans Medium" w:eastAsia="Encode Sans Medium" w:hAnsi="Encode Sans Medium" w:cs="Encode Sans Medium"/>
        </w:rPr>
      </w:pPr>
    </w:p>
    <w:p w14:paraId="71D3527C" w14:textId="77777777" w:rsidR="00026DCA" w:rsidRDefault="00026DCA" w:rsidP="00026DCA">
      <w:pPr>
        <w:rPr>
          <w:rFonts w:ascii="Encode Sans Medium" w:eastAsia="Encode Sans Medium" w:hAnsi="Encode Sans Medium" w:cs="Encode Sans Medium"/>
        </w:rPr>
      </w:pPr>
    </w:p>
    <w:p w14:paraId="531063AB" w14:textId="77777777" w:rsidR="00026DCA" w:rsidRDefault="00026DCA" w:rsidP="00026DCA">
      <w:pPr>
        <w:rPr>
          <w:rFonts w:ascii="Encode Sans Medium" w:eastAsia="Encode Sans Medium" w:hAnsi="Encode Sans Medium" w:cs="Encode Sans Medium"/>
        </w:rPr>
      </w:pPr>
    </w:p>
    <w:p w14:paraId="36CC8471" w14:textId="46D29338" w:rsidR="00026DCA" w:rsidRPr="003F7E5F" w:rsidRDefault="31981D47" w:rsidP="003F7E5F">
      <w:pPr>
        <w:pStyle w:val="Heading2"/>
      </w:pPr>
      <w:r w:rsidRPr="003F7E5F">
        <w:t xml:space="preserve">Geo-environmental </w:t>
      </w:r>
      <w:r w:rsidR="001E1C8F">
        <w:t>P</w:t>
      </w:r>
      <w:r w:rsidRPr="003F7E5F">
        <w:t>rofile</w:t>
      </w:r>
    </w:p>
    <w:p w14:paraId="5F01BD6A" w14:textId="77777777" w:rsidR="00026DCA" w:rsidRDefault="00026DCA" w:rsidP="00D62B3E">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The Argentine Republic is the second largest country in South America and the eighth largest in the world, with a total area of 3,669,711 km², which includes continental Argentina (2,780,400 km²), the Argentine Antarctic Sector (873,728 km²) and the South Atlantic Islands (15,583 km²).</w:t>
      </w:r>
      <w:r w:rsidRPr="31981D47">
        <w:rPr>
          <w:rFonts w:ascii="Encode Sans Medium" w:eastAsia="Encode Sans Medium" w:hAnsi="Encode Sans Medium" w:cs="Encode Sans Medium"/>
          <w:vertAlign w:val="superscript"/>
          <w:lang w:val="es-ES"/>
        </w:rPr>
        <w:footnoteReference w:id="7"/>
      </w:r>
      <w:r w:rsidRPr="31981D47">
        <w:rPr>
          <w:rFonts w:ascii="Encode Sans Medium" w:eastAsia="Encode Sans Medium" w:hAnsi="Encode Sans Medium" w:cs="Encode Sans Medium"/>
          <w:lang w:val="es-ES"/>
        </w:rPr>
        <w:t xml:space="preserve"> Its remarkable latitudinal extension and diversity of relief give rise to a wide variety of climates and environments, which at the same time contribute to the richness of ecosystems and expose the territory to multiple natural and anthropogenic threats.</w:t>
      </w:r>
    </w:p>
    <w:p w14:paraId="60CC6798" w14:textId="77777777" w:rsidR="00026DCA" w:rsidRDefault="31981D47" w:rsidP="003867BA">
      <w:pPr>
        <w:pStyle w:val="Heading3"/>
        <w:rPr>
          <w:lang w:val="es-ES"/>
        </w:rPr>
      </w:pPr>
      <w:r w:rsidRPr="31981D47">
        <w:rPr>
          <w:lang w:val="es-ES"/>
        </w:rPr>
        <w:t>Territorial and climatic diversity</w:t>
      </w:r>
    </w:p>
    <w:p w14:paraId="1CAF1520" w14:textId="77777777" w:rsidR="00026DCA" w:rsidRDefault="00026DCA" w:rsidP="00D62B3E">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The country has a multiplicity of ecological and climatic zones that directly affect differential exposure to risks. In biogeographical terms, Argentina is home to 18 ecoregions: 15 continental, 2 marine, and 1 in Antarctica. These range from the High Andes and the arid Puna of the northwest to the sub-Antarctic forests of Patagonia and the marine environments of the Argentine Sea.</w:t>
      </w:r>
      <w:r w:rsidRPr="31981D47">
        <w:rPr>
          <w:rFonts w:ascii="Encode Sans Medium" w:eastAsia="Encode Sans Medium" w:hAnsi="Encode Sans Medium" w:cs="Encode Sans Medium"/>
          <w:vertAlign w:val="superscript"/>
          <w:lang w:val="es-ES"/>
        </w:rPr>
        <w:footnoteReference w:id="8"/>
      </w:r>
    </w:p>
    <w:p w14:paraId="03CA3D7A" w14:textId="77777777" w:rsidR="00026DCA" w:rsidRDefault="00026DCA" w:rsidP="31981D47">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According to the Köppen classification, the territory encompasses climates ranging from humid subtropical, humid temperate, and hot arid to high mountain cold and Antarctic polar, which conditions the dynamics of phenomena such as droughts, fires, floods, avalanches, heavy snowfall, and heat waves or extreme cold.</w:t>
      </w:r>
      <w:r w:rsidRPr="31981D47">
        <w:rPr>
          <w:rFonts w:ascii="Encode Sans Medium" w:eastAsia="Encode Sans Medium" w:hAnsi="Encode Sans Medium" w:cs="Encode Sans Medium"/>
          <w:vertAlign w:val="superscript"/>
          <w:lang w:val="es-ES"/>
        </w:rPr>
        <w:footnoteReference w:id="9"/>
      </w:r>
    </w:p>
    <w:p w14:paraId="00A5246D" w14:textId="77777777" w:rsidR="00026DCA" w:rsidRDefault="31981D47" w:rsidP="003867BA">
      <w:pPr>
        <w:pStyle w:val="Heading3"/>
        <w:rPr>
          <w:lang w:val="es-ES"/>
        </w:rPr>
      </w:pPr>
      <w:r w:rsidRPr="31981D47">
        <w:rPr>
          <w:lang w:val="es-ES"/>
        </w:rPr>
        <w:t>Natural resources</w:t>
      </w:r>
    </w:p>
    <w:p w14:paraId="544DA094" w14:textId="5936AF96" w:rsidR="003D5736" w:rsidRDefault="31981D47" w:rsidP="003D5736">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Argentina has a wealth of natural resources, such as</w:t>
      </w:r>
      <w:r w:rsidR="001771C2">
        <w:rPr>
          <w:rFonts w:ascii="Encode Sans Medium" w:eastAsia="Encode Sans Medium" w:hAnsi="Encode Sans Medium" w:cs="Encode Sans Medium"/>
          <w:lang w:val="es-ES"/>
        </w:rPr>
        <w:t>:</w:t>
      </w:r>
    </w:p>
    <w:p w14:paraId="0C7CFB99" w14:textId="59956B99" w:rsidR="00026DCA" w:rsidRDefault="00026DCA" w:rsidP="003D5736">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i/>
          <w:iCs/>
          <w:lang w:val="es-ES"/>
        </w:rPr>
        <w:lastRenderedPageBreak/>
        <w:t>Aquifers and surface water bodies</w:t>
      </w:r>
      <w:r w:rsidRPr="31981D47">
        <w:rPr>
          <w:rFonts w:ascii="Encode Sans Medium" w:eastAsia="Encode Sans Medium" w:hAnsi="Encode Sans Medium" w:cs="Encode Sans Medium"/>
          <w:lang w:val="es-ES"/>
        </w:rPr>
        <w:t>: including the Paraná-Paraguay, Bermejo, and Colorado basins</w:t>
      </w:r>
      <w:r w:rsidRPr="31981D47">
        <w:rPr>
          <w:rFonts w:ascii="Encode Sans Medium" w:eastAsia="Encode Sans Medium" w:hAnsi="Encode Sans Medium" w:cs="Encode Sans Medium"/>
          <w:vertAlign w:val="superscript"/>
          <w:lang w:val="es-ES"/>
        </w:rPr>
        <w:footnoteReference w:id="10"/>
      </w:r>
      <w:r w:rsidRPr="31981D47">
        <w:rPr>
          <w:rFonts w:ascii="Encode Sans Medium" w:eastAsia="Encode Sans Medium" w:hAnsi="Encode Sans Medium" w:cs="Encode Sans Medium"/>
          <w:lang w:val="es-ES"/>
        </w:rPr>
        <w:t>.</w:t>
      </w:r>
    </w:p>
    <w:p w14:paraId="31CCCE09" w14:textId="77777777" w:rsidR="00026DCA" w:rsidRDefault="00026DCA" w:rsidP="003D5736">
      <w:pPr>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i/>
          <w:iCs/>
          <w:lang w:val="es-ES"/>
        </w:rPr>
        <w:t>Mineral deposits</w:t>
      </w:r>
      <w:r w:rsidRPr="31981D47">
        <w:rPr>
          <w:rFonts w:ascii="Encode Sans Medium" w:eastAsia="Encode Sans Medium" w:hAnsi="Encode Sans Medium" w:cs="Encode Sans Medium"/>
          <w:lang w:val="es-ES"/>
        </w:rPr>
        <w:t xml:space="preserve"> of gold, silver, copper, and lithium, which form part of the “Lithium Triangle” together with Bolivia and Chile.</w:t>
      </w:r>
      <w:r w:rsidRPr="31981D47">
        <w:rPr>
          <w:rFonts w:ascii="Encode Sans Medium" w:eastAsia="Encode Sans Medium" w:hAnsi="Encode Sans Medium" w:cs="Encode Sans Medium"/>
          <w:vertAlign w:val="superscript"/>
          <w:lang w:val="es-ES"/>
        </w:rPr>
        <w:footnoteReference w:id="11"/>
      </w:r>
    </w:p>
    <w:p w14:paraId="1909049E" w14:textId="6BB3BA71" w:rsidR="00026DCA" w:rsidRDefault="31981D47" w:rsidP="003D5736">
      <w:pPr>
        <w:spacing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i/>
          <w:iCs/>
          <w:lang w:val="es-ES"/>
        </w:rPr>
        <w:t>Fertile soils</w:t>
      </w:r>
      <w:r w:rsidRPr="31981D47">
        <w:rPr>
          <w:rFonts w:ascii="Encode Sans Medium" w:eastAsia="Encode Sans Medium" w:hAnsi="Encode Sans Medium" w:cs="Encode Sans Medium"/>
          <w:lang w:val="es-ES"/>
        </w:rPr>
        <w:t>, especially in the Pampa region, suitable for intensive agriculture, which in turn poses environmental challenges such as soil degradation and loss of biodiversity.</w:t>
      </w:r>
    </w:p>
    <w:p w14:paraId="0A02D09B" w14:textId="77777777" w:rsidR="00026DCA" w:rsidRDefault="31981D47" w:rsidP="003867BA">
      <w:pPr>
        <w:pStyle w:val="Heading3"/>
        <w:rPr>
          <w:lang w:val="es-ES"/>
        </w:rPr>
      </w:pPr>
      <w:r w:rsidRPr="31981D47">
        <w:rPr>
          <w:lang w:val="es-ES"/>
        </w:rPr>
        <w:t>Threats and risk profile</w:t>
      </w:r>
    </w:p>
    <w:p w14:paraId="29098E6C" w14:textId="77777777" w:rsidR="00026DCA" w:rsidRDefault="31981D47" w:rsidP="000B5632">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Argentina is a country exposed to multiple threats, both natural and anthropogenic:</w:t>
      </w:r>
    </w:p>
    <w:p w14:paraId="6EA97CFA" w14:textId="77777777" w:rsidR="00026DCA" w:rsidRDefault="31981D47" w:rsidP="000B5632">
      <w:pPr>
        <w:spacing w:before="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Floods (frequent in coastal regions, the Pampa region, and urban basins).</w:t>
      </w:r>
    </w:p>
    <w:p w14:paraId="772C886A" w14:textId="77777777" w:rsidR="00026DCA" w:rsidRDefault="31981D47" w:rsidP="000B5632">
      <w:pPr>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Forest fires (especially in the northwest, the center of the country, and Patagonia).</w:t>
      </w:r>
    </w:p>
    <w:p w14:paraId="027A459E" w14:textId="77777777" w:rsidR="00026DCA" w:rsidRDefault="31981D47" w:rsidP="000B5632">
      <w:pPr>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Prolonged droughts (mainly in the northern and central-western regions).</w:t>
      </w:r>
    </w:p>
    <w:p w14:paraId="27CD82A9" w14:textId="77777777" w:rsidR="00026DCA" w:rsidRDefault="31981D47" w:rsidP="000B5632">
      <w:pPr>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Earthquakes (areas with high seismicity such as Cuyo and northwestern Argentina).</w:t>
      </w:r>
    </w:p>
    <w:p w14:paraId="121A5315" w14:textId="77777777" w:rsidR="00026DCA" w:rsidRDefault="31981D47" w:rsidP="000B5632">
      <w:pPr>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Landslides and avalanches (in mountainous areas such as Jujuy, Salta, and Mendoza).</w:t>
      </w:r>
    </w:p>
    <w:p w14:paraId="16F21443" w14:textId="77777777" w:rsidR="00026DCA" w:rsidRDefault="31981D47" w:rsidP="000B5632">
      <w:pPr>
        <w:spacing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Climate emergencies (such as heat waves, late frosts, and severe storms).</w:t>
      </w:r>
    </w:p>
    <w:p w14:paraId="60001AB1" w14:textId="77777777" w:rsidR="00026DCA" w:rsidRDefault="00026DCA" w:rsidP="31981D47">
      <w:pPr>
        <w:spacing w:before="240" w:after="240"/>
        <w:jc w:val="both"/>
        <w:rPr>
          <w:rFonts w:ascii="Encode Sans Medium" w:eastAsia="Encode Sans Medium" w:hAnsi="Encode Sans Medium" w:cs="Encode Sans Medium"/>
          <w:lang w:val="es-ES"/>
        </w:rPr>
      </w:pPr>
      <w:r w:rsidRPr="31981D47">
        <w:rPr>
          <w:rFonts w:ascii="Encode Sans Medium" w:eastAsia="Encode Sans Medium" w:hAnsi="Encode Sans Medium" w:cs="Encode Sans Medium"/>
          <w:lang w:val="es-ES"/>
        </w:rPr>
        <w:t>These threats are exacerbated by climate change, uncontrolled urbanization, and the socioeconomic vulnerability of certain populations. The degree of vulnerability varies by region, combining physical, social, and economic factors. There are areas with high exposure and limited local response capacity, especially in rural and peri-urban regions and in indigenous communities. Therefore, strengthening early warning systems, risk-based territorial planning, and interjurisdictional coordination are pillars of the national risk management strategy.</w:t>
      </w:r>
      <w:r w:rsidRPr="31981D47">
        <w:rPr>
          <w:rFonts w:ascii="Encode Sans Medium" w:eastAsia="Encode Sans Medium" w:hAnsi="Encode Sans Medium" w:cs="Encode Sans Medium"/>
          <w:vertAlign w:val="superscript"/>
          <w:lang w:val="es-ES"/>
        </w:rPr>
        <w:footnoteReference w:id="12"/>
      </w:r>
    </w:p>
    <w:p w14:paraId="7F0CD5A8" w14:textId="77777777" w:rsidR="00026DCA" w:rsidRDefault="00026DCA" w:rsidP="00026DCA">
      <w:pPr>
        <w:rPr>
          <w:rFonts w:ascii="Encode Sans Medium" w:eastAsia="Encode Sans Medium" w:hAnsi="Encode Sans Medium" w:cs="Encode Sans Medium"/>
        </w:rPr>
      </w:pPr>
    </w:p>
    <w:p w14:paraId="6CE065F6" w14:textId="77777777" w:rsidR="005E3404" w:rsidRPr="00026DCA" w:rsidRDefault="005E3404" w:rsidP="00026DCA"/>
    <w:sectPr w:rsidR="005E3404" w:rsidRPr="00026DCA">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2841F" w14:textId="77777777" w:rsidR="00A02C57" w:rsidRDefault="00A02C57">
      <w:pPr>
        <w:spacing w:line="240" w:lineRule="auto"/>
      </w:pPr>
      <w:r>
        <w:separator/>
      </w:r>
    </w:p>
  </w:endnote>
  <w:endnote w:type="continuationSeparator" w:id="0">
    <w:p w14:paraId="4C1E71C4" w14:textId="77777777" w:rsidR="00A02C57" w:rsidRDefault="00A02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ncode Sans">
    <w:charset w:val="00"/>
    <w:family w:val="auto"/>
    <w:pitch w:val="default"/>
    <w:embedRegular r:id="rId1" w:fontKey="{02E01128-7282-4F1F-ADE4-233762D40CBB}"/>
    <w:embedBold r:id="rId2" w:fontKey="{BE87ABD8-2846-42FE-871B-B5D32C7F1E92}"/>
  </w:font>
  <w:font w:name="Tahoma">
    <w:panose1 w:val="020B0604030504040204"/>
    <w:charset w:val="00"/>
    <w:family w:val="swiss"/>
    <w:pitch w:val="variable"/>
    <w:sig w:usb0="E1002EFF" w:usb1="C000605B" w:usb2="00000029" w:usb3="00000000" w:csb0="000101FF" w:csb1="00000000"/>
    <w:embedRegular r:id="rId3" w:fontKey="{F5B7B94B-0A6B-4A02-AF57-27DF1D91DD8E}"/>
  </w:font>
  <w:font w:name="Encode Sans Medium">
    <w:altName w:val="Times New Roman"/>
    <w:charset w:val="00"/>
    <w:family w:val="auto"/>
    <w:pitch w:val="default"/>
    <w:embedRegular r:id="rId4" w:fontKey="{37E225CD-5551-420E-BD14-17145119CA23}"/>
    <w:embedItalic r:id="rId5" w:fontKey="{569C8938-8F89-4B4E-B9D3-C8A6D2E526D9}"/>
  </w:font>
  <w:font w:name="Calibri">
    <w:panose1 w:val="020F0502020204030204"/>
    <w:charset w:val="00"/>
    <w:family w:val="swiss"/>
    <w:pitch w:val="variable"/>
    <w:sig w:usb0="E4002EFF" w:usb1="C200247B" w:usb2="00000009" w:usb3="00000000" w:csb0="000001FF" w:csb1="00000000"/>
    <w:embedRegular r:id="rId6" w:fontKey="{9CC55D6B-5DCA-43A8-9752-891662D33039}"/>
  </w:font>
  <w:font w:name="Cambria">
    <w:panose1 w:val="02040503050406030204"/>
    <w:charset w:val="00"/>
    <w:family w:val="roman"/>
    <w:pitch w:val="variable"/>
    <w:sig w:usb0="E00006FF" w:usb1="420024FF" w:usb2="02000000" w:usb3="00000000" w:csb0="0000019F" w:csb1="00000000"/>
    <w:embedRegular r:id="rId7" w:fontKey="{438C8653-2762-4046-8709-6AF741DB143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30F22" w14:textId="77777777" w:rsidR="00A02C57" w:rsidRDefault="00A02C57">
      <w:pPr>
        <w:spacing w:line="240" w:lineRule="auto"/>
      </w:pPr>
      <w:r>
        <w:separator/>
      </w:r>
    </w:p>
  </w:footnote>
  <w:footnote w:type="continuationSeparator" w:id="0">
    <w:p w14:paraId="75CAD655" w14:textId="77777777" w:rsidR="00A02C57" w:rsidRDefault="00A02C57">
      <w:pPr>
        <w:spacing w:line="240" w:lineRule="auto"/>
      </w:pPr>
      <w:r>
        <w:continuationSeparator/>
      </w:r>
    </w:p>
  </w:footnote>
  <w:footnote w:id="1">
    <w:p w14:paraId="2A6D9AAC"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https://www.indec.gob.ar/indec/web/Nivel4-Tema-2-41-165</w:t>
        </w:r>
      </w:hyperlink>
      <w:r>
        <w:rPr>
          <w:sz w:val="20"/>
          <w:szCs w:val="20"/>
        </w:rPr>
        <w:t xml:space="preserve"> </w:t>
      </w:r>
    </w:p>
  </w:footnote>
  <w:footnote w:id="2">
    <w:p w14:paraId="49D39013"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https://www.indec.gob.ar/indec/web/Nivel4-Tema-2-24-84</w:t>
        </w:r>
      </w:hyperlink>
      <w:r>
        <w:rPr>
          <w:sz w:val="20"/>
          <w:szCs w:val="20"/>
        </w:rPr>
        <w:t xml:space="preserve"> </w:t>
      </w:r>
    </w:p>
  </w:footnote>
  <w:footnote w:id="3">
    <w:p w14:paraId="544B0FB4"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https://www.argentina.gob.ar/sites/default/files/2020/12/sintesis_estadistica_nro_9_172024.pdf</w:t>
        </w:r>
      </w:hyperlink>
      <w:r>
        <w:rPr>
          <w:sz w:val="20"/>
          <w:szCs w:val="20"/>
        </w:rPr>
        <w:t xml:space="preserve"> </w:t>
      </w:r>
    </w:p>
  </w:footnote>
  <w:footnote w:id="4">
    <w:p w14:paraId="5EA64E52"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https://www.indec.gob.ar/uploads/informesdeprensa/ingresos_4trim24D779BFC8BE.pdf</w:t>
        </w:r>
      </w:hyperlink>
      <w:r>
        <w:rPr>
          <w:sz w:val="20"/>
          <w:szCs w:val="20"/>
        </w:rPr>
        <w:t xml:space="preserve"> </w:t>
      </w:r>
    </w:p>
  </w:footnote>
  <w:footnote w:id="5">
    <w:p w14:paraId="2D178924"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5">
        <w:r>
          <w:rPr>
            <w:color w:val="1155CC"/>
            <w:sz w:val="20"/>
            <w:szCs w:val="20"/>
            <w:u w:val="single"/>
          </w:rPr>
          <w:t>https://www.indec.gob.ar/indec/web/Nivel4-Tema-2-41-165</w:t>
        </w:r>
      </w:hyperlink>
      <w:r>
        <w:rPr>
          <w:sz w:val="20"/>
          <w:szCs w:val="20"/>
        </w:rPr>
        <w:t xml:space="preserve"> </w:t>
      </w:r>
    </w:p>
  </w:footnote>
  <w:footnote w:id="6">
    <w:p w14:paraId="7AF4EC63"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https://www.indec.gob.ar/uploads/informesdeprensa/pib_03_25F47CEBC54E.pdf</w:t>
        </w:r>
      </w:hyperlink>
      <w:r>
        <w:rPr>
          <w:sz w:val="20"/>
          <w:szCs w:val="20"/>
        </w:rPr>
        <w:t xml:space="preserve"> </w:t>
      </w:r>
    </w:p>
  </w:footnote>
  <w:footnote w:id="7">
    <w:p w14:paraId="211D88A7" w14:textId="77777777" w:rsidR="00026DCA" w:rsidRDefault="00026DCA" w:rsidP="00026DCA">
      <w:pPr>
        <w:spacing w:line="240" w:lineRule="auto"/>
        <w:jc w:val="both"/>
        <w:rPr>
          <w:sz w:val="18"/>
          <w:szCs w:val="18"/>
        </w:rPr>
      </w:pPr>
      <w:r>
        <w:rPr>
          <w:vertAlign w:val="superscript"/>
        </w:rPr>
        <w:footnoteRef/>
      </w:r>
      <w:r>
        <w:rPr>
          <w:sz w:val="20"/>
          <w:szCs w:val="20"/>
        </w:rPr>
        <w:t xml:space="preserve"> </w:t>
      </w:r>
      <w:hyperlink r:id="rId7">
        <w:r>
          <w:rPr>
            <w:color w:val="1155CC"/>
            <w:sz w:val="18"/>
            <w:szCs w:val="18"/>
            <w:u w:val="single"/>
          </w:rPr>
          <w:t>https://www.ign.gob.ar/NuestrasActividades/Geografia/DatosArgentina/LimitesSuperficiesyPuntosExtremos</w:t>
        </w:r>
      </w:hyperlink>
      <w:r>
        <w:rPr>
          <w:sz w:val="18"/>
          <w:szCs w:val="18"/>
        </w:rPr>
        <w:t xml:space="preserve"> </w:t>
      </w:r>
    </w:p>
  </w:footnote>
  <w:footnote w:id="8">
    <w:p w14:paraId="05103DB9"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https://www.argentina.gob.ar/interior/ambiente/biodiversidad/estrategia-nacional?utm_sourc</w:t>
        </w:r>
      </w:hyperlink>
    </w:p>
  </w:footnote>
  <w:footnote w:id="9">
    <w:p w14:paraId="5B1C8785" w14:textId="77777777" w:rsidR="00026DCA" w:rsidRDefault="00026DCA" w:rsidP="00026DCA">
      <w:pPr>
        <w:spacing w:line="240" w:lineRule="auto"/>
        <w:rPr>
          <w:sz w:val="18"/>
          <w:szCs w:val="18"/>
        </w:rPr>
      </w:pPr>
      <w:r>
        <w:rPr>
          <w:vertAlign w:val="superscript"/>
        </w:rPr>
        <w:footnoteRef/>
      </w:r>
      <w:r>
        <w:rPr>
          <w:sz w:val="20"/>
          <w:szCs w:val="20"/>
        </w:rPr>
        <w:t xml:space="preserve"> </w:t>
      </w:r>
      <w:hyperlink r:id="rId9">
        <w:r>
          <w:rPr>
            <w:color w:val="1155CC"/>
            <w:sz w:val="18"/>
            <w:szCs w:val="18"/>
            <w:u w:val="single"/>
          </w:rPr>
          <w:t>https://www.ign.gob.ar/NuestrasActividades/Geografia/DatosArgentina/LimitesSuperficiesyPuntosExtremos</w:t>
        </w:r>
      </w:hyperlink>
      <w:r>
        <w:rPr>
          <w:sz w:val="18"/>
          <w:szCs w:val="18"/>
        </w:rPr>
        <w:t xml:space="preserve"> </w:t>
      </w:r>
    </w:p>
  </w:footnote>
  <w:footnote w:id="10">
    <w:p w14:paraId="7087E4B0"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10">
        <w:r>
          <w:rPr>
            <w:color w:val="1155CC"/>
            <w:sz w:val="20"/>
            <w:szCs w:val="20"/>
            <w:u w:val="single"/>
          </w:rPr>
          <w:t>https://www.argentina.gob.ar/sites/default/files/recursos_hidricos_doc.pdf?utm_source</w:t>
        </w:r>
      </w:hyperlink>
    </w:p>
  </w:footnote>
  <w:footnote w:id="11">
    <w:p w14:paraId="285D18F1"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11">
        <w:r>
          <w:rPr>
            <w:color w:val="1155CC"/>
            <w:sz w:val="20"/>
            <w:szCs w:val="20"/>
            <w:u w:val="single"/>
          </w:rPr>
          <w:t>https://www.argentina.gob.ar/economia/mineria</w:t>
        </w:r>
      </w:hyperlink>
      <w:r>
        <w:rPr>
          <w:sz w:val="20"/>
          <w:szCs w:val="20"/>
        </w:rPr>
        <w:t xml:space="preserve"> </w:t>
      </w:r>
    </w:p>
  </w:footnote>
  <w:footnote w:id="12">
    <w:p w14:paraId="1692A9B3" w14:textId="77777777" w:rsidR="00026DCA" w:rsidRDefault="00026DCA" w:rsidP="00026DCA">
      <w:pPr>
        <w:spacing w:line="240" w:lineRule="auto"/>
        <w:rPr>
          <w:sz w:val="20"/>
          <w:szCs w:val="20"/>
        </w:rPr>
      </w:pPr>
      <w:r>
        <w:rPr>
          <w:vertAlign w:val="superscript"/>
        </w:rPr>
        <w:footnoteRef/>
      </w:r>
      <w:r>
        <w:rPr>
          <w:sz w:val="20"/>
          <w:szCs w:val="20"/>
        </w:rPr>
        <w:t xml:space="preserve"> </w:t>
      </w:r>
      <w:hyperlink r:id="rId12">
        <w:r>
          <w:rPr>
            <w:color w:val="1155CC"/>
            <w:sz w:val="20"/>
            <w:szCs w:val="20"/>
            <w:u w:val="single"/>
          </w:rPr>
          <w:t>https://www.argentina.gob.ar/sinagir</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489BB" w14:textId="77777777" w:rsidR="005E3404" w:rsidRDefault="008653B3">
    <w:r>
      <w:rPr>
        <w:noProof/>
        <w:lang w:val="en-IN"/>
      </w:rPr>
      <w:drawing>
        <wp:inline distT="114300" distB="114300" distL="114300" distR="114300" wp14:anchorId="3657323C" wp14:editId="4A2F0409">
          <wp:extent cx="5731200" cy="1054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10541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73596C"/>
    <w:multiLevelType w:val="multilevel"/>
    <w:tmpl w:val="4726D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7512A3"/>
    <w:multiLevelType w:val="multilevel"/>
    <w:tmpl w:val="E834C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853D7D"/>
    <w:multiLevelType w:val="multilevel"/>
    <w:tmpl w:val="35E60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2B7729"/>
    <w:multiLevelType w:val="multilevel"/>
    <w:tmpl w:val="7FE26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5933614">
    <w:abstractNumId w:val="1"/>
  </w:num>
  <w:num w:numId="2" w16cid:durableId="1144397164">
    <w:abstractNumId w:val="3"/>
  </w:num>
  <w:num w:numId="3" w16cid:durableId="1295603797">
    <w:abstractNumId w:val="0"/>
  </w:num>
  <w:num w:numId="4" w16cid:durableId="945236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404"/>
    <w:rsid w:val="000150F3"/>
    <w:rsid w:val="00026DCA"/>
    <w:rsid w:val="00074C66"/>
    <w:rsid w:val="000A172A"/>
    <w:rsid w:val="000B5632"/>
    <w:rsid w:val="00114B6B"/>
    <w:rsid w:val="001441C4"/>
    <w:rsid w:val="001771C2"/>
    <w:rsid w:val="0017798A"/>
    <w:rsid w:val="00182C69"/>
    <w:rsid w:val="001A1A44"/>
    <w:rsid w:val="001E1C8F"/>
    <w:rsid w:val="001E64B5"/>
    <w:rsid w:val="0021229C"/>
    <w:rsid w:val="00232835"/>
    <w:rsid w:val="00235E6E"/>
    <w:rsid w:val="002A171D"/>
    <w:rsid w:val="002D6AF1"/>
    <w:rsid w:val="003867BA"/>
    <w:rsid w:val="003C12BA"/>
    <w:rsid w:val="003D5736"/>
    <w:rsid w:val="003F7E5F"/>
    <w:rsid w:val="00436DDC"/>
    <w:rsid w:val="004A65C8"/>
    <w:rsid w:val="005405CF"/>
    <w:rsid w:val="005D1FB4"/>
    <w:rsid w:val="005E3404"/>
    <w:rsid w:val="00622E75"/>
    <w:rsid w:val="006316C1"/>
    <w:rsid w:val="0068106B"/>
    <w:rsid w:val="006E3891"/>
    <w:rsid w:val="00715D14"/>
    <w:rsid w:val="007A5143"/>
    <w:rsid w:val="008067E8"/>
    <w:rsid w:val="0081139C"/>
    <w:rsid w:val="00813496"/>
    <w:rsid w:val="00864E74"/>
    <w:rsid w:val="008653B3"/>
    <w:rsid w:val="00906F30"/>
    <w:rsid w:val="00926E20"/>
    <w:rsid w:val="00A02C57"/>
    <w:rsid w:val="00A901BA"/>
    <w:rsid w:val="00B12EFB"/>
    <w:rsid w:val="00B9693F"/>
    <w:rsid w:val="00BB083C"/>
    <w:rsid w:val="00C419C3"/>
    <w:rsid w:val="00C73D58"/>
    <w:rsid w:val="00C81666"/>
    <w:rsid w:val="00D62B3E"/>
    <w:rsid w:val="00D63D53"/>
    <w:rsid w:val="00D6695A"/>
    <w:rsid w:val="00E1565F"/>
    <w:rsid w:val="00EC51A3"/>
    <w:rsid w:val="00EE5C10"/>
    <w:rsid w:val="00EE743C"/>
    <w:rsid w:val="00F6243B"/>
    <w:rsid w:val="00F807EA"/>
    <w:rsid w:val="00FA68F0"/>
    <w:rsid w:val="00FE1961"/>
    <w:rsid w:val="00FE6F4B"/>
    <w:rsid w:val="31981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7D97"/>
  <w15:docId w15:val="{E29B4BE1-A59A-4AC1-BD5C-4C71D9AA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00">
    <w:name w:val="TableNormal0"/>
    <w:tblPr>
      <w:tblCellMar>
        <w:top w:w="0" w:type="dxa"/>
        <w:left w:w="0" w:type="dxa"/>
        <w:bottom w:w="0" w:type="dxa"/>
        <w:right w:w="0" w:type="dxa"/>
      </w:tblCellMar>
    </w:tblPr>
  </w:style>
  <w:style w:type="table" w:customStyle="1" w:styleId="TableNormal1">
    <w:name w:val="Table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12EFB"/>
    <w:pPr>
      <w:tabs>
        <w:tab w:val="center" w:pos="4513"/>
        <w:tab w:val="right" w:pos="9026"/>
      </w:tabs>
      <w:spacing w:line="240" w:lineRule="auto"/>
    </w:pPr>
  </w:style>
  <w:style w:type="character" w:customStyle="1" w:styleId="HeaderChar">
    <w:name w:val="Header Char"/>
    <w:basedOn w:val="DefaultParagraphFont"/>
    <w:link w:val="Header"/>
    <w:uiPriority w:val="99"/>
    <w:rsid w:val="00B12EFB"/>
  </w:style>
  <w:style w:type="paragraph" w:styleId="Footer">
    <w:name w:val="footer"/>
    <w:basedOn w:val="Normal"/>
    <w:link w:val="FooterChar"/>
    <w:uiPriority w:val="99"/>
    <w:unhideWhenUsed/>
    <w:rsid w:val="00B12EFB"/>
    <w:pPr>
      <w:tabs>
        <w:tab w:val="center" w:pos="4513"/>
        <w:tab w:val="right" w:pos="9026"/>
      </w:tabs>
      <w:spacing w:line="240" w:lineRule="auto"/>
    </w:pPr>
  </w:style>
  <w:style w:type="character" w:customStyle="1" w:styleId="FooterChar">
    <w:name w:val="Footer Char"/>
    <w:basedOn w:val="DefaultParagraphFont"/>
    <w:link w:val="Footer"/>
    <w:uiPriority w:val="99"/>
    <w:rsid w:val="00B12EFB"/>
  </w:style>
  <w:style w:type="paragraph" w:customStyle="1" w:styleId="CPStyle1">
    <w:name w:val="CP_Style1"/>
    <w:basedOn w:val="Normal"/>
    <w:link w:val="CPStyle1Char"/>
    <w:qFormat/>
    <w:rsid w:val="00074C66"/>
    <w:pPr>
      <w:spacing w:before="240" w:after="240"/>
      <w:jc w:val="center"/>
    </w:pPr>
    <w:rPr>
      <w:rFonts w:ascii="Encode Sans" w:eastAsia="Encode Sans" w:hAnsi="Encode Sans" w:cs="Encode Sans"/>
      <w:b/>
    </w:rPr>
  </w:style>
  <w:style w:type="character" w:customStyle="1" w:styleId="CPStyle1Char">
    <w:name w:val="CP_Style1 Char"/>
    <w:basedOn w:val="DefaultParagraphFont"/>
    <w:link w:val="CPStyle1"/>
    <w:rsid w:val="00074C66"/>
    <w:rPr>
      <w:rFonts w:ascii="Encode Sans" w:eastAsia="Encode Sans" w:hAnsi="Encode Sans" w:cs="Encode Sans"/>
      <w:b/>
    </w:rPr>
  </w:style>
  <w:style w:type="paragraph" w:customStyle="1" w:styleId="CPStyle2">
    <w:name w:val="CPStyle2"/>
    <w:basedOn w:val="Normal"/>
    <w:link w:val="CPStyle2Char"/>
    <w:qFormat/>
    <w:rsid w:val="00813496"/>
    <w:pPr>
      <w:spacing w:before="240" w:after="240"/>
      <w:jc w:val="both"/>
    </w:pPr>
    <w:rPr>
      <w:rFonts w:ascii="Encode Sans" w:eastAsia="Encode Sans" w:hAnsi="Encode Sans" w:cs="Encode Sans"/>
      <w:b/>
    </w:rPr>
  </w:style>
  <w:style w:type="character" w:customStyle="1" w:styleId="CPStyle2Char">
    <w:name w:val="CPStyle2 Char"/>
    <w:basedOn w:val="DefaultParagraphFont"/>
    <w:link w:val="CPStyle2"/>
    <w:rsid w:val="00813496"/>
    <w:rPr>
      <w:rFonts w:ascii="Encode Sans" w:eastAsia="Encode Sans" w:hAnsi="Encode Sans" w:cs="Encode Sans"/>
      <w:b/>
    </w:rPr>
  </w:style>
  <w:style w:type="paragraph" w:styleId="BalloonText">
    <w:name w:val="Balloon Text"/>
    <w:basedOn w:val="Normal"/>
    <w:link w:val="BalloonTextChar"/>
    <w:uiPriority w:val="99"/>
    <w:semiHidden/>
    <w:unhideWhenUsed/>
    <w:rsid w:val="00EE743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4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8" Type="http://schemas.openxmlformats.org/officeDocument/2006/relationships/hyperlink" Target="https://www.argentina.gob.ar/interior/ambiente/biodiversidad/estrategia-nacional?utm_source=chatgpt.com" TargetMode="External"/><Relationship Id="rId3" Type="http://schemas.openxmlformats.org/officeDocument/2006/relationships/hyperlink" Target="https://www.argentina.gob.ar/sites/default/files/2020/12/sintesis_estadistica_nro_9_172024.pdf" TargetMode="External"/><Relationship Id="rId7" Type="http://schemas.openxmlformats.org/officeDocument/2006/relationships/hyperlink" Target="https://www.ign.gob.ar/NuestrasActividades/Geografia/DatosArgentina/LimitesSuperficiesyPuntosExtremos" TargetMode="External"/><Relationship Id="rId12" Type="http://schemas.openxmlformats.org/officeDocument/2006/relationships/hyperlink" Target="https://www.argentina.gob.ar/sinagir" TargetMode="External"/><Relationship Id="rId2" Type="http://schemas.openxmlformats.org/officeDocument/2006/relationships/hyperlink" Target="https://www.indec.gob.ar/indec/web/Nivel4-Tema-2-24-84" TargetMode="External"/><Relationship Id="rId1" Type="http://schemas.openxmlformats.org/officeDocument/2006/relationships/hyperlink" Target="https://www.indec.gob.ar/indec/web/Nivel4-Tema-2-41-165" TargetMode="External"/><Relationship Id="rId6" Type="http://schemas.openxmlformats.org/officeDocument/2006/relationships/hyperlink" Target="https://www.indec.gob.ar/uploads/informesdeprensa/pib_03_25F47CEBC54E.pdf" TargetMode="External"/><Relationship Id="rId11" Type="http://schemas.openxmlformats.org/officeDocument/2006/relationships/hyperlink" Target="https://www.argentina.gob.ar/economia/mineria" TargetMode="External"/><Relationship Id="rId5" Type="http://schemas.openxmlformats.org/officeDocument/2006/relationships/hyperlink" Target="https://www.indec.gob.ar/indec/web/Nivel4-Tema-2-41-165" TargetMode="External"/><Relationship Id="rId10" Type="http://schemas.openxmlformats.org/officeDocument/2006/relationships/hyperlink" Target="https://www.argentina.gob.ar/sites/default/files/recursos_hidricos_doc.pdf?utm_source=chatgpt.com" TargetMode="External"/><Relationship Id="rId4" Type="http://schemas.openxmlformats.org/officeDocument/2006/relationships/hyperlink" Target="https://www.indec.gob.ar/uploads/informesdeprensa/ingresos_4trim24D779BFC8BE.pdf" TargetMode="External"/><Relationship Id="rId9" Type="http://schemas.openxmlformats.org/officeDocument/2006/relationships/hyperlink" Target="https://www.ign.gob.ar/NuestrasActividades/Geografia/DatosArgentina/LimitesSuperficiesyPuntosExtrem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8tJwc0MxQytV/5SPQdqtrxFIQA==">CgMxLjA4AHIhMVNCempvXzlPREVIWUdzSU5vUUMya1dsVU9mMDBaMWtD</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4AB80A-6253-434A-A571-69E4792CC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 Malusare</dc:creator>
  <cp:lastModifiedBy>Aditi Bhalerao</cp:lastModifiedBy>
  <cp:revision>30</cp:revision>
  <dcterms:created xsi:type="dcterms:W3CDTF">2025-07-07T06:44:00Z</dcterms:created>
  <dcterms:modified xsi:type="dcterms:W3CDTF">2025-07-16T11:10:00Z</dcterms:modified>
</cp:coreProperties>
</file>