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646464"/>
          <w:sz w:val="20"/>
        </w:rPr>
        <w:t>PIMPRI CHINCHWAD EDUCATION TRUST'S</w:t>
        <w:br/>
      </w:r>
      <w:r>
        <w:rPr>
          <w:rFonts w:ascii="Calibri" w:hAnsi="Calibri"/>
          <w:b/>
          <w:color w:val="102C57"/>
          <w:sz w:val="32"/>
        </w:rPr>
        <w:t>PIMPRI CHINCHWAD COLLEGE OF ENGINEERING, PUNE</w:t>
        <w:br/>
      </w:r>
      <w:r>
        <w:rPr>
          <w:rFonts w:ascii="Calibri" w:hAnsi="Calibri"/>
          <w:color w:val="464646"/>
          <w:sz w:val="20"/>
        </w:rPr>
        <w:t>An Autonomous Institute Affiliated to Savitribai Phule Pune University</w:t>
        <w:br/>
        <w:t>Department of Computer Engineering | Academic Year 2026–2027</w:t>
      </w:r>
    </w:p>
    <w:p>
      <w:pPr>
        <w:spacing w:before="160" w:after="200"/>
        <w:jc w:val="center"/>
      </w:pPr>
      <w:r>
        <w:rPr>
          <w:rFonts w:ascii="Calibri" w:hAnsi="Calibri"/>
          <w:b/>
          <w:color w:val="0D6EFD"/>
          <w:sz w:val="26"/>
        </w:rPr>
        <w:t>LABORATORY PRACTICAL REPORT — ASSIGNMENT 02</w:t>
        <w:br/>
      </w:r>
      <w:r>
        <w:rPr>
          <w:rFonts w:ascii="Calibri" w:hAnsi="Calibri"/>
          <w:b/>
          <w:color w:val="282828"/>
          <w:sz w:val="22"/>
        </w:rPr>
        <w:t>Course: DevOps Engineering (BCE27PE01 / CE-4202)</w:t>
      </w:r>
    </w:p>
    <w:tbl>
      <w:tblPr>
        <w:tblW w:type="auto" w:w="0"/>
        <w:jc w:val="center"/>
        <w:tblLayout w:type="fixed"/>
        <w:tblLook w:firstColumn="1" w:firstRow="1" w:lastColumn="0" w:lastRow="0" w:noHBand="0" w:noVBand="1" w:val="04A0"/>
      </w:tblPr>
      <w:tblGrid>
        <w:gridCol w:w="4968"/>
        <w:gridCol w:w="4968"/>
      </w:tblGrid>
      <w:tr>
        <w:tc>
          <w:tcPr>
            <w:tcW w:type="dxa" w:w="4896"/>
            <w:shd w:fill="F0F4F8"/>
            <w:tcMar>
              <w:top w:w="60" w:type="dxa"/>
              <w:bottom w:w="60" w:type="dxa"/>
              <w:left w:w="120" w:type="dxa"/>
              <w:right w:w="120" w:type="dxa"/>
            </w:tcMar>
          </w:tcPr>
          <w:p>
            <w:pPr>
              <w:spacing w:after="0"/>
            </w:pPr>
            <w:r>
              <w:rPr>
                <w:rFonts w:ascii="Calibri" w:hAnsi="Calibri"/>
                <w:b/>
                <w:sz w:val="19"/>
              </w:rPr>
              <w:t>Student Name: Rutuja Deepak Jagtap</w:t>
            </w:r>
          </w:p>
        </w:tc>
        <w:tc>
          <w:tcPr>
            <w:tcW w:type="dxa" w:w="4896"/>
            <w:shd w:fill="F0F4F8"/>
            <w:tcMar>
              <w:top w:w="60" w:type="dxa"/>
              <w:bottom w:w="60" w:type="dxa"/>
              <w:left w:w="120" w:type="dxa"/>
              <w:right w:w="120" w:type="dxa"/>
            </w:tcMar>
          </w:tcPr>
          <w:p>
            <w:pPr>
              <w:spacing w:after="0"/>
            </w:pPr>
            <w:r>
              <w:rPr>
                <w:rFonts w:ascii="Calibri" w:hAnsi="Calibri"/>
                <w:b/>
                <w:sz w:val="19"/>
              </w:rPr>
              <w:t>AWS Account: Rutuja Jagtap (545432115022)</w:t>
            </w:r>
          </w:p>
        </w:tc>
      </w:tr>
      <w:tr>
        <w:tc>
          <w:tcPr>
            <w:tcW w:type="dxa" w:w="4896"/>
            <w:shd w:fill="F0F4F8"/>
            <w:tcMar>
              <w:top w:w="60" w:type="dxa"/>
              <w:bottom w:w="60" w:type="dxa"/>
              <w:left w:w="120" w:type="dxa"/>
              <w:right w:w="120" w:type="dxa"/>
            </w:tcMar>
          </w:tcPr>
          <w:p>
            <w:pPr>
              <w:spacing w:after="0"/>
            </w:pPr>
            <w:r>
              <w:rPr>
                <w:rFonts w:ascii="Calibri" w:hAnsi="Calibri"/>
                <w:b/>
                <w:sz w:val="19"/>
              </w:rPr>
              <w:t>PRN: 123B1B146 | Batch: C1</w:t>
            </w:r>
          </w:p>
        </w:tc>
        <w:tc>
          <w:tcPr>
            <w:tcW w:type="dxa" w:w="4896"/>
            <w:shd w:fill="F0F4F8"/>
            <w:tcMar>
              <w:top w:w="60" w:type="dxa"/>
              <w:bottom w:w="60" w:type="dxa"/>
              <w:left w:w="120" w:type="dxa"/>
              <w:right w:w="120" w:type="dxa"/>
            </w:tcMar>
          </w:tcPr>
          <w:p>
            <w:pPr>
              <w:spacing w:after="0"/>
            </w:pPr>
            <w:r>
              <w:rPr>
                <w:rFonts w:ascii="Calibri" w:hAnsi="Calibri"/>
                <w:b/>
                <w:sz w:val="19"/>
              </w:rPr>
              <w:t>Region &amp; Zone: Asia Pacific (Mumbai) ap-south-1b</w:t>
            </w:r>
          </w:p>
        </w:tc>
      </w:tr>
      <w:tr>
        <w:tc>
          <w:tcPr>
            <w:tcW w:type="dxa" w:w="4896"/>
            <w:shd w:fill="F0F4F8"/>
            <w:tcMar>
              <w:top w:w="60" w:type="dxa"/>
              <w:bottom w:w="60" w:type="dxa"/>
              <w:left w:w="120" w:type="dxa"/>
              <w:right w:w="120" w:type="dxa"/>
            </w:tcMar>
          </w:tcPr>
          <w:p>
            <w:pPr>
              <w:spacing w:after="0"/>
            </w:pPr>
            <w:r>
              <w:rPr>
                <w:rFonts w:ascii="Calibri" w:hAnsi="Calibri"/>
                <w:b/>
                <w:sz w:val="19"/>
              </w:rPr>
              <w:t>Class: Final Year B.Tech Computer Engineering</w:t>
            </w:r>
          </w:p>
        </w:tc>
        <w:tc>
          <w:tcPr>
            <w:tcW w:type="dxa" w:w="4896"/>
            <w:shd w:fill="F0F4F8"/>
            <w:tcMar>
              <w:top w:w="60" w:type="dxa"/>
              <w:bottom w:w="60" w:type="dxa"/>
              <w:left w:w="120" w:type="dxa"/>
              <w:right w:w="120" w:type="dxa"/>
            </w:tcMar>
          </w:tcPr>
          <w:p>
            <w:pPr>
              <w:spacing w:after="0"/>
            </w:pPr>
            <w:r>
              <w:rPr>
                <w:rFonts w:ascii="Calibri" w:hAnsi="Calibri"/>
                <w:b/>
                <w:sz w:val="19"/>
              </w:rPr>
              <w:t>Instance: My-DevOps-EC2 (i-0e2921adb9d8abd4b)</w:t>
            </w:r>
          </w:p>
        </w:tc>
      </w:tr>
      <w:tr>
        <w:tc>
          <w:tcPr>
            <w:tcW w:type="dxa" w:w="4896"/>
            <w:shd w:fill="F0F4F8"/>
            <w:tcMar>
              <w:top w:w="60" w:type="dxa"/>
              <w:bottom w:w="60" w:type="dxa"/>
              <w:left w:w="120" w:type="dxa"/>
              <w:right w:w="120" w:type="dxa"/>
            </w:tcMar>
          </w:tcPr>
          <w:p>
            <w:pPr>
              <w:spacing w:after="0"/>
            </w:pPr>
            <w:r>
              <w:rPr>
                <w:rFonts w:ascii="Calibri" w:hAnsi="Calibri"/>
                <w:b/>
                <w:sz w:val="19"/>
              </w:rPr>
              <w:t>Public Repo: github.com/rutujadeepakjagtap/DevOps</w:t>
            </w:r>
          </w:p>
        </w:tc>
        <w:tc>
          <w:tcPr>
            <w:tcW w:type="dxa" w:w="4896"/>
            <w:shd w:fill="F0F4F8"/>
            <w:tcMar>
              <w:top w:w="60" w:type="dxa"/>
              <w:bottom w:w="60" w:type="dxa"/>
              <w:left w:w="120" w:type="dxa"/>
              <w:right w:w="120" w:type="dxa"/>
            </w:tcMar>
          </w:tcPr>
          <w:p>
            <w:pPr>
              <w:spacing w:after="0"/>
            </w:pPr>
            <w:r>
              <w:rPr>
                <w:rFonts w:ascii="Calibri" w:hAnsi="Calibri"/>
                <w:b/>
                <w:sz w:val="19"/>
              </w:rPr>
              <w:t>Billing &amp; Cost Status: 100% Free Tier ($0.00)</w:t>
            </w:r>
          </w:p>
        </w:tc>
      </w:tr>
    </w:tbl>
    <w:p>
      <w:pPr>
        <w:spacing w:after="120"/>
      </w:pPr>
    </w:p>
    <w:p>
      <w:pPr>
        <w:pStyle w:val="Heading2"/>
        <w:keepNext/>
        <w:spacing w:before="240" w:after="80"/>
      </w:pPr>
      <w:r>
        <w:rPr>
          <w:rFonts w:ascii="Calibri" w:hAnsi="Calibri"/>
          <w:color w:val="102C57"/>
        </w:rPr>
        <w:t>1. Title</w:t>
      </w:r>
    </w:p>
    <w:p>
      <w:r>
        <w:rPr>
          <w:rFonts w:ascii="Calibri" w:hAnsi="Calibri"/>
          <w:sz w:val="21"/>
        </w:rPr>
        <w:t>Exploration of AWS Cloud Computing Services and Complete Virtual Machine Lifecycle Management using Amazon Elastic Compute Cloud (EC2).</w:t>
      </w:r>
    </w:p>
    <w:p>
      <w:pPr>
        <w:pStyle w:val="Heading2"/>
        <w:keepNext/>
        <w:spacing w:before="240" w:after="80"/>
      </w:pPr>
      <w:r>
        <w:rPr>
          <w:rFonts w:ascii="Calibri" w:hAnsi="Calibri"/>
          <w:color w:val="102C57"/>
        </w:rPr>
        <w:t>2. Aim</w:t>
      </w:r>
    </w:p>
    <w:p>
      <w:r>
        <w:rPr>
          <w:rFonts w:ascii="Calibri" w:hAnsi="Calibri"/>
          <w:sz w:val="21"/>
        </w:rPr>
        <w:t>To study the architectural fundamentals of cloud computing (IaaS, PaaS, SaaS) and AWS core infrastructure services (EC2, S3, RDS, Lambda, ELB), and systematically configure, launch, monitor via Amazon CloudWatch, and safely terminate an Amazon EC2 Virtual Machine instance (t3.micro) under the AWS Free Tier.</w:t>
      </w:r>
    </w:p>
    <w:p>
      <w:pPr>
        <w:pStyle w:val="Heading2"/>
        <w:keepNext/>
        <w:spacing w:before="240" w:after="80"/>
      </w:pPr>
      <w:r>
        <w:rPr>
          <w:rFonts w:ascii="Calibri" w:hAnsi="Calibri"/>
          <w:color w:val="102C57"/>
        </w:rPr>
        <w:t>3. Objectives</w:t>
      </w:r>
    </w:p>
    <w:p>
      <w:pPr>
        <w:pStyle w:val="ListBullet"/>
      </w:pPr>
      <w:r>
        <w:t>To understand cloud computing models: Infrastructure as a Service (IaaS), Platform as a Service (PaaS), and Software as a Service (SaaS).</w:t>
      </w:r>
    </w:p>
    <w:p>
      <w:pPr>
        <w:pStyle w:val="ListBullet"/>
      </w:pPr>
      <w:r>
        <w:t>To explore Amazon Web Services core ecosystem: Amazon EC2, Amazon S3, AWS Lambda, Amazon RDS, Elastic Load Balancing (ELB), and Amazon ECS.</w:t>
      </w:r>
    </w:p>
    <w:p>
      <w:pPr>
        <w:pStyle w:val="ListBullet"/>
      </w:pPr>
      <w:r>
        <w:t>To study virtualization principles, hypervisors (Type 1 Bare-Metal vs Type 2 Hosted, and the AWS Nitro Hypervisor system).</w:t>
      </w:r>
    </w:p>
    <w:p>
      <w:pPr>
        <w:pStyle w:val="ListBullet"/>
      </w:pPr>
      <w:r>
        <w:t>To configure network firewall boundaries using AWS Security Groups (Port 22 SSH &amp; Port 443 HTTPS).</w:t>
      </w:r>
    </w:p>
    <w:p>
      <w:pPr>
        <w:pStyle w:val="ListBullet"/>
      </w:pPr>
      <w:r>
        <w:t>To launch and verify a live running Linux virtual server (My-DevOps-EC2) in the Mumbai region (ap-south-1b).</w:t>
      </w:r>
    </w:p>
    <w:p>
      <w:pPr>
        <w:pStyle w:val="ListBullet"/>
      </w:pPr>
      <w:r>
        <w:t>To monitor compute telemetry (CPU utilization, network traffic, system and instance health checks) using Amazon CloudWatch.</w:t>
      </w:r>
    </w:p>
    <w:p>
      <w:pPr>
        <w:pStyle w:val="ListBullet"/>
      </w:pPr>
      <w:r>
        <w:t>To execute zero-cost termination and resource cleanup adhering strictly to the AWS Free Tier ($0.00 guarantee).</w:t>
      </w:r>
    </w:p>
    <w:p>
      <w:pPr>
        <w:pStyle w:val="Heading2"/>
        <w:keepNext/>
        <w:spacing w:before="240" w:after="80"/>
      </w:pPr>
      <w:r>
        <w:rPr>
          <w:rFonts w:ascii="Calibri" w:hAnsi="Calibri"/>
          <w:color w:val="102C57"/>
        </w:rPr>
        <w:t>4. Software &amp; Hardware Specifications</w:t>
      </w:r>
    </w:p>
    <w:tbl>
      <w:tblPr>
        <w:tblW w:type="auto" w:w="0"/>
        <w:jc w:val="center"/>
        <w:tblLook w:firstColumn="1" w:firstRow="1" w:lastColumn="0" w:lastRow="0" w:noHBand="0" w:noVBand="1" w:val="04A0"/>
      </w:tblPr>
      <w:tblGrid>
        <w:gridCol w:w="4968"/>
        <w:gridCol w:w="4968"/>
      </w:tblGrid>
      <w:tr>
        <w:tc>
          <w:tcPr>
            <w:tcW w:type="dxa" w:w="4968"/>
            <w:shd w:fill="0D6EFD"/>
          </w:tcPr>
          <w:p>
            <w:r>
              <w:rPr>
                <w:b/>
                <w:color w:val="FFFFFF"/>
              </w:rPr>
              <w:t>Specification Component</w:t>
            </w:r>
          </w:p>
        </w:tc>
        <w:tc>
          <w:tcPr>
            <w:tcW w:type="dxa" w:w="4968"/>
            <w:shd w:fill="0D6EFD"/>
          </w:tcPr>
          <w:p>
            <w:r>
              <w:rPr>
                <w:b/>
                <w:color w:val="FFFFFF"/>
              </w:rPr>
              <w:t>Configured Academic Value</w:t>
            </w:r>
          </w:p>
        </w:tc>
      </w:tr>
      <w:tr>
        <w:tc>
          <w:tcPr>
            <w:tcW w:type="dxa" w:w="3600"/>
            <w:shd w:fill="FFFFFF"/>
          </w:tcPr>
          <w:p>
            <w:r>
              <w:rPr>
                <w:b/>
              </w:rPr>
              <w:t>Cloud Service Provider</w:t>
            </w:r>
          </w:p>
        </w:tc>
        <w:tc>
          <w:tcPr>
            <w:tcW w:type="dxa" w:w="6192"/>
            <w:shd w:fill="FFFFFF"/>
          </w:tcPr>
          <w:p>
            <w:r>
              <w:t>Amazon Web Services (AWS)</w:t>
            </w:r>
          </w:p>
        </w:tc>
      </w:tr>
      <w:tr>
        <w:tc>
          <w:tcPr>
            <w:tcW w:type="dxa" w:w="3600"/>
            <w:shd w:fill="F9FAFB"/>
          </w:tcPr>
          <w:p>
            <w:r>
              <w:rPr>
                <w:b/>
              </w:rPr>
              <w:t>Deployment Region</w:t>
            </w:r>
          </w:p>
        </w:tc>
        <w:tc>
          <w:tcPr>
            <w:tcW w:type="dxa" w:w="6192"/>
            <w:shd w:fill="F9FAFB"/>
          </w:tcPr>
          <w:p>
            <w:r>
              <w:t>Asia Pacific (Mumbai) ap-south-1 (Availability Zone: ap-south-1b)</w:t>
            </w:r>
          </w:p>
        </w:tc>
      </w:tr>
      <w:tr>
        <w:tc>
          <w:tcPr>
            <w:tcW w:type="dxa" w:w="3600"/>
            <w:shd w:fill="FFFFFF"/>
          </w:tcPr>
          <w:p>
            <w:r>
              <w:rPr>
                <w:b/>
              </w:rPr>
              <w:t>Virtual Machine Instance Type</w:t>
            </w:r>
          </w:p>
        </w:tc>
        <w:tc>
          <w:tcPr>
            <w:tcW w:type="dxa" w:w="6192"/>
            <w:shd w:fill="FFFFFF"/>
          </w:tcPr>
          <w:p>
            <w:r>
              <w:t>t3.micro (2 vCPUs, 1.0 GiB RAM - AWS Free Tier Eligible)</w:t>
            </w:r>
          </w:p>
        </w:tc>
      </w:tr>
      <w:tr>
        <w:tc>
          <w:tcPr>
            <w:tcW w:type="dxa" w:w="3600"/>
            <w:shd w:fill="F9FAFB"/>
          </w:tcPr>
          <w:p>
            <w:r>
              <w:rPr>
                <w:b/>
              </w:rPr>
              <w:t>Operating System Image (AMI)</w:t>
            </w:r>
          </w:p>
        </w:tc>
        <w:tc>
          <w:tcPr>
            <w:tcW w:type="dxa" w:w="6192"/>
            <w:shd w:fill="F9FAFB"/>
          </w:tcPr>
          <w:p>
            <w:r>
              <w:t>Amazon Linux 2023 (AL2023) 64-bit (x86_64) Kernel</w:t>
            </w:r>
          </w:p>
        </w:tc>
      </w:tr>
      <w:tr>
        <w:tc>
          <w:tcPr>
            <w:tcW w:type="dxa" w:w="3600"/>
            <w:shd w:fill="FFFFFF"/>
          </w:tcPr>
          <w:p>
            <w:r>
              <w:rPr>
                <w:b/>
              </w:rPr>
              <w:t>Storage Volume</w:t>
            </w:r>
          </w:p>
        </w:tc>
        <w:tc>
          <w:tcPr>
            <w:tcW w:type="dxa" w:w="6192"/>
            <w:shd w:fill="FFFFFF"/>
          </w:tcPr>
          <w:p>
            <w:r>
              <w:t>8 GiB General Purpose SSD (gp3 Root Volume)</w:t>
            </w:r>
          </w:p>
        </w:tc>
      </w:tr>
      <w:tr>
        <w:tc>
          <w:tcPr>
            <w:tcW w:type="dxa" w:w="3600"/>
            <w:shd w:fill="F9FAFB"/>
          </w:tcPr>
          <w:p>
            <w:r>
              <w:rPr>
                <w:b/>
              </w:rPr>
              <w:t>Virtual Private Cloud (VPC)</w:t>
            </w:r>
          </w:p>
        </w:tc>
        <w:tc>
          <w:tcPr>
            <w:tcW w:type="dxa" w:w="6192"/>
            <w:shd w:fill="F9FAFB"/>
          </w:tcPr>
          <w:p>
            <w:r>
              <w:t>vpc-0e0a04b1273818ad2 (Default Subnet CIDR 172.31.0.0/16)</w:t>
            </w:r>
          </w:p>
        </w:tc>
      </w:tr>
      <w:tr>
        <w:tc>
          <w:tcPr>
            <w:tcW w:type="dxa" w:w="3600"/>
            <w:shd w:fill="FFFFFF"/>
          </w:tcPr>
          <w:p>
            <w:r>
              <w:rPr>
                <w:b/>
              </w:rPr>
              <w:t>Security Group</w:t>
            </w:r>
          </w:p>
        </w:tc>
        <w:tc>
          <w:tcPr>
            <w:tcW w:type="dxa" w:w="6192"/>
            <w:shd w:fill="FFFFFF"/>
          </w:tcPr>
          <w:p>
            <w:r>
              <w:t>launch-wizard-1 (sg-0671e3672a564981f)</w:t>
            </w:r>
          </w:p>
        </w:tc>
      </w:tr>
      <w:tr>
        <w:tc>
          <w:tcPr>
            <w:tcW w:type="dxa" w:w="3600"/>
            <w:shd w:fill="F9FAFB"/>
          </w:tcPr>
          <w:p>
            <w:r>
              <w:rPr>
                <w:b/>
              </w:rPr>
              <w:t>Management Interfaces</w:t>
            </w:r>
          </w:p>
        </w:tc>
        <w:tc>
          <w:tcPr>
            <w:tcW w:type="dxa" w:w="6192"/>
            <w:shd w:fill="F9FAFB"/>
          </w:tcPr>
          <w:p>
            <w:r>
              <w:t>AWS Management Console, AWS CLI v2.38.3, Windows PowerShell 7</w:t>
            </w:r>
          </w:p>
        </w:tc>
      </w:tr>
    </w:tbl>
    <w:p>
      <w:r>
        <w:br w:type="page"/>
      </w:r>
    </w:p>
    <w:p>
      <w:pPr>
        <w:pStyle w:val="Heading2"/>
        <w:keepNext/>
        <w:spacing w:before="240" w:after="80"/>
      </w:pPr>
      <w:r>
        <w:rPr>
          <w:rFonts w:ascii="Calibri" w:hAnsi="Calibri"/>
          <w:color w:val="102C57"/>
        </w:rPr>
        <w:t>5. Step-by-Step Practical Implementation Procedure</w:t>
      </w:r>
    </w:p>
    <w:p>
      <w:pPr>
        <w:spacing w:after="80"/>
      </w:pPr>
      <w:r>
        <w:rPr>
          <w:rFonts w:ascii="Calibri" w:hAnsi="Calibri"/>
          <w:b/>
          <w:color w:val="102C57"/>
        </w:rPr>
        <w:t xml:space="preserve">Step 1: Sign-In and Identity Verification: </w:t>
      </w:r>
      <w:r>
        <w:rPr>
          <w:rFonts w:ascii="Calibri" w:hAnsi="Calibri"/>
        </w:rPr>
        <w:t>Sign in to the AWS Management Console at https://ap-south-1.console.aws.amazon.com/ with verified student credentials under account 'Rutuja Jagtap' (Account ID: 545432115022). Set the geographical deployment region to Asia Pacific (Mumbai) [ap-south-1].</w:t>
      </w:r>
    </w:p>
    <w:p>
      <w:pPr>
        <w:spacing w:after="80"/>
      </w:pPr>
      <w:r>
        <w:rPr>
          <w:rFonts w:ascii="Calibri" w:hAnsi="Calibri"/>
          <w:b/>
          <w:color w:val="102C57"/>
        </w:rPr>
        <w:t xml:space="preserve">Step 2: Virtual Machine Provisioning: </w:t>
      </w:r>
      <w:r>
        <w:rPr>
          <w:rFonts w:ascii="Calibri" w:hAnsi="Calibri"/>
        </w:rPr>
        <w:t>Navigate to EC2 -&gt; Instances -&gt; Launch Instances. Assign the Name tag 'My-DevOps-EC2'. Choose the Amazon Linux 2023 AMI (HVM kernel 6.1) and select the 't3.micro' Free-Tier instance type offering 2 vCPUs and 1 GiB memory on the AWS Nitro hypervisor architecture.</w:t>
      </w:r>
    </w:p>
    <w:p>
      <w:pPr>
        <w:spacing w:after="80"/>
      </w:pPr>
      <w:r>
        <w:rPr>
          <w:rFonts w:ascii="Calibri" w:hAnsi="Calibri"/>
          <w:b/>
          <w:color w:val="102C57"/>
        </w:rPr>
        <w:t xml:space="preserve">Step 3: Security Group &amp; Firewall Configuration: </w:t>
      </w:r>
      <w:r>
        <w:rPr>
          <w:rFonts w:ascii="Calibri" w:hAnsi="Calibri"/>
        </w:rPr>
        <w:t>Configure inbound firewall rules in Security Group 'launch-wizard-1' (sg-0671e3672a564981f): Authorize SSH (Port 22, TCP) for secure remote shell access and HTTPS (Port 443, TCP) for encrypted web traffic from all internet endpoints (0.0.0.0/0).</w:t>
      </w:r>
    </w:p>
    <w:p>
      <w:pPr>
        <w:spacing w:after="80"/>
      </w:pPr>
      <w:r>
        <w:rPr>
          <w:rFonts w:ascii="Calibri" w:hAnsi="Calibri"/>
          <w:b/>
          <w:color w:val="102C57"/>
        </w:rPr>
        <w:t xml:space="preserve">Step 4: Storage Allocation &amp; Launch Execution: </w:t>
      </w:r>
      <w:r>
        <w:rPr>
          <w:rFonts w:ascii="Calibri" w:hAnsi="Calibri"/>
        </w:rPr>
        <w:t>Allocate an 8 GiB gp3 General Purpose SSD root volume with 3,000 baseline IOPS. Click 'Launch Instance' and verify initiation confirmation.</w:t>
      </w:r>
    </w:p>
    <w:p>
      <w:pPr>
        <w:spacing w:after="80"/>
      </w:pPr>
      <w:r>
        <w:rPr>
          <w:rFonts w:ascii="Calibri" w:hAnsi="Calibri"/>
          <w:b/>
          <w:color w:val="102C57"/>
        </w:rPr>
        <w:t xml:space="preserve">Step 5: Telemetry Monitoring &amp; Health Verification: </w:t>
      </w:r>
      <w:r>
        <w:rPr>
          <w:rFonts w:ascii="Calibri" w:hAnsi="Calibri"/>
        </w:rPr>
        <w:t>Select the running instance in the EC2 Management Console. Verify the public IPv4 address (3.109.154.173) and private IPv4 address (172.31.1.101). Open the CloudWatch 'Monitoring' tab to track real-time CPU utilization (0.18%) and network packet telemetry.</w:t>
      </w:r>
    </w:p>
    <w:p>
      <w:pPr>
        <w:spacing w:after="80"/>
      </w:pPr>
      <w:r>
        <w:rPr>
          <w:rFonts w:ascii="Calibri" w:hAnsi="Calibri"/>
          <w:b/>
          <w:color w:val="102C57"/>
        </w:rPr>
        <w:t xml:space="preserve">Step 6: Zero-Cost Resource Termination: </w:t>
      </w:r>
      <w:r>
        <w:rPr>
          <w:rFonts w:ascii="Calibri" w:hAnsi="Calibri"/>
        </w:rPr>
        <w:t>Select 'My-DevOps-EC2' -&gt; Instance state -&gt; Terminate instance. Confirm deletion to detach and delete the attached EBS storage volume, ensuring 100% adherence to the AWS Free Tier ($0.00 cost guarantee).</w:t>
      </w:r>
    </w:p>
    <w:p>
      <w:r>
        <w:br w:type="page"/>
      </w:r>
    </w:p>
    <w:p>
      <w:pPr>
        <w:pStyle w:val="Heading2"/>
        <w:keepNext/>
        <w:spacing w:before="240" w:after="80"/>
      </w:pPr>
      <w:r>
        <w:rPr>
          <w:rFonts w:ascii="Calibri" w:hAnsi="Calibri"/>
          <w:color w:val="102C57"/>
        </w:rPr>
        <w:t>6. Practical Verification Evidence &amp; Real AWS Console Screenshots</w:t>
      </w:r>
    </w:p>
    <w:p>
      <w:pPr>
        <w:spacing w:before="120" w:after="40"/>
        <w:jc w:val="center"/>
      </w:pPr>
      <w:r>
        <w:drawing>
          <wp:inline xmlns:a="http://schemas.openxmlformats.org/drawingml/2006/main" xmlns:pic="http://schemas.openxmlformats.org/drawingml/2006/picture">
            <wp:extent cx="5669280" cy="2757130"/>
            <wp:docPr id="1" name="Picture 1"/>
            <wp:cNvGraphicFramePr>
              <a:graphicFrameLocks noChangeAspect="1"/>
            </wp:cNvGraphicFramePr>
            <a:graphic>
              <a:graphicData uri="http://schemas.openxmlformats.org/drawingml/2006/picture">
                <pic:pic>
                  <pic:nvPicPr>
                    <pic:cNvPr id="0" name="aws_01_launch_success.png"/>
                    <pic:cNvPicPr/>
                  </pic:nvPicPr>
                  <pic:blipFill>
                    <a:blip r:embed="rId11"/>
                    <a:stretch>
                      <a:fillRect/>
                    </a:stretch>
                  </pic:blipFill>
                  <pic:spPr>
                    <a:xfrm>
                      <a:off x="0" y="0"/>
                      <a:ext cx="5669280" cy="2757130"/>
                    </a:xfrm>
                    <a:prstGeom prst="rect"/>
                  </pic:spPr>
                </pic:pic>
              </a:graphicData>
            </a:graphic>
          </wp:inline>
        </w:drawing>
      </w:r>
    </w:p>
    <w:p>
      <w:pPr>
        <w:spacing w:after="200"/>
        <w:jc w:val="center"/>
      </w:pPr>
      <w:r>
        <w:rPr>
          <w:rFonts w:ascii="Calibri" w:hAnsi="Calibri"/>
          <w:i/>
          <w:color w:val="5A5A5A"/>
          <w:sz w:val="18"/>
        </w:rPr>
        <w:t>Figure 1: AWS Management Console - Successfully initiated launch of EC2 instance (i-0e2921adb9d8abd4b) with all launch steps succeeded.</w:t>
      </w:r>
    </w:p>
    <w:p>
      <w:pPr>
        <w:spacing w:before="120" w:after="40"/>
        <w:jc w:val="center"/>
      </w:pPr>
      <w:r>
        <w:drawing>
          <wp:inline xmlns:a="http://schemas.openxmlformats.org/drawingml/2006/main" xmlns:pic="http://schemas.openxmlformats.org/drawingml/2006/picture">
            <wp:extent cx="5669280" cy="2823567"/>
            <wp:docPr id="2" name="Picture 2"/>
            <wp:cNvGraphicFramePr>
              <a:graphicFrameLocks noChangeAspect="1"/>
            </wp:cNvGraphicFramePr>
            <a:graphic>
              <a:graphicData uri="http://schemas.openxmlformats.org/drawingml/2006/picture">
                <pic:pic>
                  <pic:nvPicPr>
                    <pic:cNvPr id="0" name="aws_02_instances_running.png"/>
                    <pic:cNvPicPr/>
                  </pic:nvPicPr>
                  <pic:blipFill>
                    <a:blip r:embed="rId12"/>
                    <a:stretch>
                      <a:fillRect/>
                    </a:stretch>
                  </pic:blipFill>
                  <pic:spPr>
                    <a:xfrm>
                      <a:off x="0" y="0"/>
                      <a:ext cx="5669280" cy="2823567"/>
                    </a:xfrm>
                    <a:prstGeom prst="rect"/>
                  </pic:spPr>
                </pic:pic>
              </a:graphicData>
            </a:graphic>
          </wp:inline>
        </w:drawing>
      </w:r>
    </w:p>
    <w:p>
      <w:pPr>
        <w:spacing w:after="200"/>
        <w:jc w:val="center"/>
      </w:pPr>
      <w:r>
        <w:rPr>
          <w:rFonts w:ascii="Calibri" w:hAnsi="Calibri"/>
          <w:i/>
          <w:color w:val="5A5A5A"/>
          <w:sz w:val="18"/>
        </w:rPr>
        <w:t>Figure 2: AWS EC2 Dashboard showing instance 'My-DevOps-EC2' in Running state in Mumbai (ap-south-1b) with Public IP 3.109.154.173.</w:t>
      </w:r>
    </w:p>
    <w:p>
      <w:pPr>
        <w:spacing w:before="120" w:after="40"/>
        <w:jc w:val="center"/>
      </w:pPr>
      <w:r>
        <w:drawing>
          <wp:inline xmlns:a="http://schemas.openxmlformats.org/drawingml/2006/main" xmlns:pic="http://schemas.openxmlformats.org/drawingml/2006/picture">
            <wp:extent cx="5669280" cy="2862322"/>
            <wp:docPr id="3" name="Picture 3"/>
            <wp:cNvGraphicFramePr>
              <a:graphicFrameLocks noChangeAspect="1"/>
            </wp:cNvGraphicFramePr>
            <a:graphic>
              <a:graphicData uri="http://schemas.openxmlformats.org/drawingml/2006/picture">
                <pic:pic>
                  <pic:nvPicPr>
                    <pic:cNvPr id="0" name="aws_03_instance_details.png"/>
                    <pic:cNvPicPr/>
                  </pic:nvPicPr>
                  <pic:blipFill>
                    <a:blip r:embed="rId13"/>
                    <a:stretch>
                      <a:fillRect/>
                    </a:stretch>
                  </pic:blipFill>
                  <pic:spPr>
                    <a:xfrm>
                      <a:off x="0" y="0"/>
                      <a:ext cx="5669280" cy="2862322"/>
                    </a:xfrm>
                    <a:prstGeom prst="rect"/>
                  </pic:spPr>
                </pic:pic>
              </a:graphicData>
            </a:graphic>
          </wp:inline>
        </w:drawing>
      </w:r>
    </w:p>
    <w:p>
      <w:pPr>
        <w:spacing w:after="200"/>
        <w:jc w:val="center"/>
      </w:pPr>
      <w:r>
        <w:rPr>
          <w:rFonts w:ascii="Calibri" w:hAnsi="Calibri"/>
          <w:i/>
          <w:color w:val="5A5A5A"/>
          <w:sz w:val="18"/>
        </w:rPr>
        <w:t>Figure 3: Detailed Instance View for 'i-0e2921adb9d8abd4b' verifying Public IP (3.109.154.173), Private IP (172.31.1.101), and VPC DNS.</w:t>
      </w:r>
    </w:p>
    <w:p>
      <w:pPr>
        <w:spacing w:before="120" w:after="40"/>
        <w:jc w:val="center"/>
      </w:pPr>
      <w:r>
        <w:drawing>
          <wp:inline xmlns:a="http://schemas.openxmlformats.org/drawingml/2006/main" xmlns:pic="http://schemas.openxmlformats.org/drawingml/2006/picture">
            <wp:extent cx="5669280" cy="2851249"/>
            <wp:docPr id="4" name="Picture 4"/>
            <wp:cNvGraphicFramePr>
              <a:graphicFrameLocks noChangeAspect="1"/>
            </wp:cNvGraphicFramePr>
            <a:graphic>
              <a:graphicData uri="http://schemas.openxmlformats.org/drawingml/2006/picture">
                <pic:pic>
                  <pic:nvPicPr>
                    <pic:cNvPr id="0" name="aws_04_security_group_rules.png"/>
                    <pic:cNvPicPr/>
                  </pic:nvPicPr>
                  <pic:blipFill>
                    <a:blip r:embed="rId14"/>
                    <a:stretch>
                      <a:fillRect/>
                    </a:stretch>
                  </pic:blipFill>
                  <pic:spPr>
                    <a:xfrm>
                      <a:off x="0" y="0"/>
                      <a:ext cx="5669280" cy="2851249"/>
                    </a:xfrm>
                    <a:prstGeom prst="rect"/>
                  </pic:spPr>
                </pic:pic>
              </a:graphicData>
            </a:graphic>
          </wp:inline>
        </w:drawing>
      </w:r>
    </w:p>
    <w:p>
      <w:pPr>
        <w:spacing w:after="200"/>
        <w:jc w:val="center"/>
      </w:pPr>
      <w:r>
        <w:rPr>
          <w:rFonts w:ascii="Calibri" w:hAnsi="Calibri"/>
          <w:i/>
          <w:color w:val="5A5A5A"/>
          <w:sz w:val="18"/>
        </w:rPr>
        <w:t>Figure 4: AWS Security Group 'launch-wizard-1' (sg-0671e3672a564981f) inbound firewall rules: HTTPS (443) and SSH (22).</w:t>
      </w:r>
    </w:p>
    <w:p>
      <w:pPr>
        <w:spacing w:before="120" w:after="40"/>
        <w:jc w:val="center"/>
      </w:pPr>
      <w:r>
        <w:drawing>
          <wp:inline xmlns:a="http://schemas.openxmlformats.org/drawingml/2006/main" xmlns:pic="http://schemas.openxmlformats.org/drawingml/2006/picture">
            <wp:extent cx="5669280" cy="2845713"/>
            <wp:docPr id="5" name="Picture 5"/>
            <wp:cNvGraphicFramePr>
              <a:graphicFrameLocks noChangeAspect="1"/>
            </wp:cNvGraphicFramePr>
            <a:graphic>
              <a:graphicData uri="http://schemas.openxmlformats.org/drawingml/2006/picture">
                <pic:pic>
                  <pic:nvPicPr>
                    <pic:cNvPr id="0" name="aws_05_cloudwatch_monitoring.png"/>
                    <pic:cNvPicPr/>
                  </pic:nvPicPr>
                  <pic:blipFill>
                    <a:blip r:embed="rId15"/>
                    <a:stretch>
                      <a:fillRect/>
                    </a:stretch>
                  </pic:blipFill>
                  <pic:spPr>
                    <a:xfrm>
                      <a:off x="0" y="0"/>
                      <a:ext cx="5669280" cy="2845713"/>
                    </a:xfrm>
                    <a:prstGeom prst="rect"/>
                  </pic:spPr>
                </pic:pic>
              </a:graphicData>
            </a:graphic>
          </wp:inline>
        </w:drawing>
      </w:r>
    </w:p>
    <w:p>
      <w:pPr>
        <w:spacing w:after="200"/>
        <w:jc w:val="center"/>
      </w:pPr>
      <w:r>
        <w:rPr>
          <w:rFonts w:ascii="Calibri" w:hAnsi="Calibri"/>
          <w:i/>
          <w:color w:val="5A5A5A"/>
          <w:sz w:val="18"/>
        </w:rPr>
        <w:t>Figure 5: Live Amazon CloudWatch Telemetry - Real-time CPU Utilization (0.18%), Network Packets (24 in / 21 out), and CPU Credit Balance (1.18).</w:t>
      </w:r>
    </w:p>
    <w:p>
      <w:r>
        <w:br w:type="page"/>
      </w:r>
    </w:p>
    <w:p>
      <w:pPr>
        <w:pStyle w:val="Heading2"/>
        <w:keepNext/>
        <w:spacing w:before="240" w:after="80"/>
      </w:pPr>
      <w:r>
        <w:rPr>
          <w:rFonts w:ascii="Calibri" w:hAnsi="Calibri"/>
          <w:color w:val="102C57"/>
        </w:rPr>
        <w:t>7. Real Instance Observation &amp; Verification Table</w:t>
      </w:r>
    </w:p>
    <w:tbl>
      <w:tblPr>
        <w:tblW w:type="auto" w:w="0"/>
        <w:jc w:val="center"/>
        <w:tblLook w:firstColumn="1" w:firstRow="1" w:lastColumn="0" w:lastRow="0" w:noHBand="0" w:noVBand="1" w:val="04A0"/>
      </w:tblPr>
      <w:tblGrid>
        <w:gridCol w:w="3312"/>
        <w:gridCol w:w="3312"/>
        <w:gridCol w:w="3312"/>
      </w:tblGrid>
      <w:tr>
        <w:tc>
          <w:tcPr>
            <w:tcW w:type="dxa" w:w="3312"/>
            <w:shd w:fill="102C57"/>
          </w:tcPr>
          <w:p>
            <w:r>
              <w:rPr>
                <w:b/>
                <w:color w:val="FFFFFF"/>
                <w:sz w:val="19"/>
              </w:rPr>
              <w:t>Infrastructure Parameter</w:t>
            </w:r>
          </w:p>
        </w:tc>
        <w:tc>
          <w:tcPr>
            <w:tcW w:type="dxa" w:w="3312"/>
            <w:shd w:fill="102C57"/>
          </w:tcPr>
          <w:p>
            <w:r>
              <w:rPr>
                <w:b/>
                <w:color w:val="FFFFFF"/>
                <w:sz w:val="19"/>
              </w:rPr>
              <w:t>Observed Live Console Value</w:t>
            </w:r>
          </w:p>
        </w:tc>
        <w:tc>
          <w:tcPr>
            <w:tcW w:type="dxa" w:w="3312"/>
            <w:shd w:fill="102C57"/>
          </w:tcPr>
          <w:p>
            <w:r>
              <w:rPr>
                <w:b/>
                <w:color w:val="FFFFFF"/>
                <w:sz w:val="19"/>
              </w:rPr>
              <w:t>Academic Specification</w:t>
            </w:r>
          </w:p>
        </w:tc>
      </w:tr>
      <w:tr>
        <w:tc>
          <w:tcPr>
            <w:tcW w:type="dxa" w:w="3168"/>
            <w:shd w:fill="FFFFFF"/>
            <w:tcMar>
              <w:top w:w="50" w:type="dxa"/>
              <w:bottom w:w="50" w:type="dxa"/>
              <w:left w:w="80" w:type="dxa"/>
              <w:right w:w="80" w:type="dxa"/>
            </w:tcMar>
          </w:tcPr>
          <w:p>
            <w:r>
              <w:rPr>
                <w:b/>
                <w:sz w:val="17"/>
              </w:rPr>
              <w:t>AWS Account Owner</w:t>
            </w:r>
          </w:p>
        </w:tc>
        <w:tc>
          <w:tcPr>
            <w:tcW w:type="dxa" w:w="3744"/>
            <w:shd w:fill="FFFFFF"/>
            <w:tcMar>
              <w:top w:w="50" w:type="dxa"/>
              <w:bottom w:w="50" w:type="dxa"/>
              <w:left w:w="80" w:type="dxa"/>
              <w:right w:w="80" w:type="dxa"/>
            </w:tcMar>
          </w:tcPr>
          <w:p>
            <w:r>
              <w:rPr>
                <w:sz w:val="17"/>
              </w:rPr>
              <w:t>Rutuja Jagtap (545432115022)</w:t>
            </w:r>
          </w:p>
        </w:tc>
        <w:tc>
          <w:tcPr>
            <w:tcW w:type="dxa" w:w="2880"/>
            <w:shd w:fill="FFFFFF"/>
            <w:tcMar>
              <w:top w:w="50" w:type="dxa"/>
              <w:bottom w:w="50" w:type="dxa"/>
              <w:left w:w="80" w:type="dxa"/>
              <w:right w:w="80" w:type="dxa"/>
            </w:tcMar>
          </w:tcPr>
          <w:p>
            <w:r>
              <w:rPr>
                <w:sz w:val="17"/>
              </w:rPr>
              <w:t>Verified Student Identity</w:t>
            </w:r>
          </w:p>
        </w:tc>
      </w:tr>
      <w:tr>
        <w:tc>
          <w:tcPr>
            <w:tcW w:type="dxa" w:w="3168"/>
            <w:shd w:fill="F4F6F9"/>
            <w:tcMar>
              <w:top w:w="50" w:type="dxa"/>
              <w:bottom w:w="50" w:type="dxa"/>
              <w:left w:w="80" w:type="dxa"/>
              <w:right w:w="80" w:type="dxa"/>
            </w:tcMar>
          </w:tcPr>
          <w:p>
            <w:r>
              <w:rPr>
                <w:b/>
                <w:sz w:val="17"/>
              </w:rPr>
              <w:t>Instance Name Tag</w:t>
            </w:r>
          </w:p>
        </w:tc>
        <w:tc>
          <w:tcPr>
            <w:tcW w:type="dxa" w:w="3744"/>
            <w:shd w:fill="F4F6F9"/>
            <w:tcMar>
              <w:top w:w="50" w:type="dxa"/>
              <w:bottom w:w="50" w:type="dxa"/>
              <w:left w:w="80" w:type="dxa"/>
              <w:right w:w="80" w:type="dxa"/>
            </w:tcMar>
          </w:tcPr>
          <w:p>
            <w:r>
              <w:rPr>
                <w:sz w:val="17"/>
              </w:rPr>
              <w:t>My-DevOps-EC2</w:t>
            </w:r>
          </w:p>
        </w:tc>
        <w:tc>
          <w:tcPr>
            <w:tcW w:type="dxa" w:w="2880"/>
            <w:shd w:fill="F4F6F9"/>
            <w:tcMar>
              <w:top w:w="50" w:type="dxa"/>
              <w:bottom w:w="50" w:type="dxa"/>
              <w:left w:w="80" w:type="dxa"/>
              <w:right w:w="80" w:type="dxa"/>
            </w:tcMar>
          </w:tcPr>
          <w:p>
            <w:r>
              <w:rPr>
                <w:sz w:val="17"/>
              </w:rPr>
              <w:t>Configured Name Tag</w:t>
            </w:r>
          </w:p>
        </w:tc>
      </w:tr>
      <w:tr>
        <w:tc>
          <w:tcPr>
            <w:tcW w:type="dxa" w:w="3168"/>
            <w:shd w:fill="FFFFFF"/>
            <w:tcMar>
              <w:top w:w="50" w:type="dxa"/>
              <w:bottom w:w="50" w:type="dxa"/>
              <w:left w:w="80" w:type="dxa"/>
              <w:right w:w="80" w:type="dxa"/>
            </w:tcMar>
          </w:tcPr>
          <w:p>
            <w:r>
              <w:rPr>
                <w:b/>
                <w:sz w:val="17"/>
              </w:rPr>
              <w:t>Instance ID</w:t>
            </w:r>
          </w:p>
        </w:tc>
        <w:tc>
          <w:tcPr>
            <w:tcW w:type="dxa" w:w="3744"/>
            <w:shd w:fill="FFFFFF"/>
            <w:tcMar>
              <w:top w:w="50" w:type="dxa"/>
              <w:bottom w:w="50" w:type="dxa"/>
              <w:left w:w="80" w:type="dxa"/>
              <w:right w:w="80" w:type="dxa"/>
            </w:tcMar>
          </w:tcPr>
          <w:p>
            <w:r>
              <w:rPr>
                <w:sz w:val="17"/>
              </w:rPr>
              <w:t>i-0e2921adb9d8abd4b</w:t>
            </w:r>
          </w:p>
        </w:tc>
        <w:tc>
          <w:tcPr>
            <w:tcW w:type="dxa" w:w="2880"/>
            <w:shd w:fill="FFFFFF"/>
            <w:tcMar>
              <w:top w:w="50" w:type="dxa"/>
              <w:bottom w:w="50" w:type="dxa"/>
              <w:left w:w="80" w:type="dxa"/>
              <w:right w:w="80" w:type="dxa"/>
            </w:tcMar>
          </w:tcPr>
          <w:p>
            <w:r>
              <w:rPr>
                <w:sz w:val="17"/>
              </w:rPr>
              <w:t>Unique AWS Resource Identifier</w:t>
            </w:r>
          </w:p>
        </w:tc>
      </w:tr>
      <w:tr>
        <w:tc>
          <w:tcPr>
            <w:tcW w:type="dxa" w:w="3168"/>
            <w:shd w:fill="F4F6F9"/>
            <w:tcMar>
              <w:top w:w="50" w:type="dxa"/>
              <w:bottom w:w="50" w:type="dxa"/>
              <w:left w:w="80" w:type="dxa"/>
              <w:right w:w="80" w:type="dxa"/>
            </w:tcMar>
          </w:tcPr>
          <w:p>
            <w:r>
              <w:rPr>
                <w:b/>
                <w:sz w:val="17"/>
              </w:rPr>
              <w:t>Instance State</w:t>
            </w:r>
          </w:p>
        </w:tc>
        <w:tc>
          <w:tcPr>
            <w:tcW w:type="dxa" w:w="3744"/>
            <w:shd w:fill="F4F6F9"/>
            <w:tcMar>
              <w:top w:w="50" w:type="dxa"/>
              <w:bottom w:w="50" w:type="dxa"/>
              <w:left w:w="80" w:type="dxa"/>
              <w:right w:w="80" w:type="dxa"/>
            </w:tcMar>
          </w:tcPr>
          <w:p>
            <w:r>
              <w:rPr>
                <w:sz w:val="17"/>
              </w:rPr>
              <w:t>Running (Healthy)</w:t>
            </w:r>
          </w:p>
        </w:tc>
        <w:tc>
          <w:tcPr>
            <w:tcW w:type="dxa" w:w="2880"/>
            <w:shd w:fill="F4F6F9"/>
            <w:tcMar>
              <w:top w:w="50" w:type="dxa"/>
              <w:bottom w:w="50" w:type="dxa"/>
              <w:left w:w="80" w:type="dxa"/>
              <w:right w:w="80" w:type="dxa"/>
            </w:tcMar>
          </w:tcPr>
          <w:p>
            <w:r>
              <w:rPr>
                <w:sz w:val="17"/>
              </w:rPr>
              <w:t>Active Virtual Machine</w:t>
            </w:r>
          </w:p>
        </w:tc>
      </w:tr>
      <w:tr>
        <w:tc>
          <w:tcPr>
            <w:tcW w:type="dxa" w:w="3168"/>
            <w:shd w:fill="FFFFFF"/>
            <w:tcMar>
              <w:top w:w="50" w:type="dxa"/>
              <w:bottom w:w="50" w:type="dxa"/>
              <w:left w:w="80" w:type="dxa"/>
              <w:right w:w="80" w:type="dxa"/>
            </w:tcMar>
          </w:tcPr>
          <w:p>
            <w:r>
              <w:rPr>
                <w:b/>
                <w:sz w:val="17"/>
              </w:rPr>
              <w:t>Instance Type</w:t>
            </w:r>
          </w:p>
        </w:tc>
        <w:tc>
          <w:tcPr>
            <w:tcW w:type="dxa" w:w="3744"/>
            <w:shd w:fill="FFFFFF"/>
            <w:tcMar>
              <w:top w:w="50" w:type="dxa"/>
              <w:bottom w:w="50" w:type="dxa"/>
              <w:left w:w="80" w:type="dxa"/>
              <w:right w:w="80" w:type="dxa"/>
            </w:tcMar>
          </w:tcPr>
          <w:p>
            <w:r>
              <w:rPr>
                <w:sz w:val="17"/>
              </w:rPr>
              <w:t>t3.micro (2 vCPUs, 1.0 GiB RAM)</w:t>
            </w:r>
          </w:p>
        </w:tc>
        <w:tc>
          <w:tcPr>
            <w:tcW w:type="dxa" w:w="2880"/>
            <w:shd w:fill="FFFFFF"/>
            <w:tcMar>
              <w:top w:w="50" w:type="dxa"/>
              <w:bottom w:w="50" w:type="dxa"/>
              <w:left w:w="80" w:type="dxa"/>
              <w:right w:w="80" w:type="dxa"/>
            </w:tcMar>
          </w:tcPr>
          <w:p>
            <w:r>
              <w:rPr>
                <w:sz w:val="17"/>
              </w:rPr>
              <w:t>AWS Free Tier Eligible</w:t>
            </w:r>
          </w:p>
        </w:tc>
      </w:tr>
      <w:tr>
        <w:tc>
          <w:tcPr>
            <w:tcW w:type="dxa" w:w="3168"/>
            <w:shd w:fill="F4F6F9"/>
            <w:tcMar>
              <w:top w:w="50" w:type="dxa"/>
              <w:bottom w:w="50" w:type="dxa"/>
              <w:left w:w="80" w:type="dxa"/>
              <w:right w:w="80" w:type="dxa"/>
            </w:tcMar>
          </w:tcPr>
          <w:p>
            <w:r>
              <w:rPr>
                <w:b/>
                <w:sz w:val="17"/>
              </w:rPr>
              <w:t>AWS Deployment Region</w:t>
            </w:r>
          </w:p>
        </w:tc>
        <w:tc>
          <w:tcPr>
            <w:tcW w:type="dxa" w:w="3744"/>
            <w:shd w:fill="F4F6F9"/>
            <w:tcMar>
              <w:top w:w="50" w:type="dxa"/>
              <w:bottom w:w="50" w:type="dxa"/>
              <w:left w:w="80" w:type="dxa"/>
              <w:right w:w="80" w:type="dxa"/>
            </w:tcMar>
          </w:tcPr>
          <w:p>
            <w:r>
              <w:rPr>
                <w:sz w:val="17"/>
              </w:rPr>
              <w:t>Asia Pacific (Mumbai) ap-south-1</w:t>
            </w:r>
          </w:p>
        </w:tc>
        <w:tc>
          <w:tcPr>
            <w:tcW w:type="dxa" w:w="2880"/>
            <w:shd w:fill="F4F6F9"/>
            <w:tcMar>
              <w:top w:w="50" w:type="dxa"/>
              <w:bottom w:w="50" w:type="dxa"/>
              <w:left w:w="80" w:type="dxa"/>
              <w:right w:w="80" w:type="dxa"/>
            </w:tcMar>
          </w:tcPr>
          <w:p>
            <w:r>
              <w:rPr>
                <w:sz w:val="17"/>
              </w:rPr>
              <w:t>Local Low-Latency Region</w:t>
            </w:r>
          </w:p>
        </w:tc>
      </w:tr>
      <w:tr>
        <w:tc>
          <w:tcPr>
            <w:tcW w:type="dxa" w:w="3168"/>
            <w:shd w:fill="FFFFFF"/>
            <w:tcMar>
              <w:top w:w="50" w:type="dxa"/>
              <w:bottom w:w="50" w:type="dxa"/>
              <w:left w:w="80" w:type="dxa"/>
              <w:right w:w="80" w:type="dxa"/>
            </w:tcMar>
          </w:tcPr>
          <w:p>
            <w:r>
              <w:rPr>
                <w:b/>
                <w:sz w:val="17"/>
              </w:rPr>
              <w:t>Availability Zone</w:t>
            </w:r>
          </w:p>
        </w:tc>
        <w:tc>
          <w:tcPr>
            <w:tcW w:type="dxa" w:w="3744"/>
            <w:shd w:fill="FFFFFF"/>
            <w:tcMar>
              <w:top w:w="50" w:type="dxa"/>
              <w:bottom w:w="50" w:type="dxa"/>
              <w:left w:w="80" w:type="dxa"/>
              <w:right w:w="80" w:type="dxa"/>
            </w:tcMar>
          </w:tcPr>
          <w:p>
            <w:r>
              <w:rPr>
                <w:sz w:val="17"/>
              </w:rPr>
              <w:t>ap-south-1b</w:t>
            </w:r>
          </w:p>
        </w:tc>
        <w:tc>
          <w:tcPr>
            <w:tcW w:type="dxa" w:w="2880"/>
            <w:shd w:fill="FFFFFF"/>
            <w:tcMar>
              <w:top w:w="50" w:type="dxa"/>
              <w:bottom w:w="50" w:type="dxa"/>
              <w:left w:w="80" w:type="dxa"/>
              <w:right w:w="80" w:type="dxa"/>
            </w:tcMar>
          </w:tcPr>
          <w:p>
            <w:r>
              <w:rPr>
                <w:sz w:val="17"/>
              </w:rPr>
              <w:t>Redundant Datacenter Zone</w:t>
            </w:r>
          </w:p>
        </w:tc>
      </w:tr>
      <w:tr>
        <w:tc>
          <w:tcPr>
            <w:tcW w:type="dxa" w:w="3168"/>
            <w:shd w:fill="F4F6F9"/>
            <w:tcMar>
              <w:top w:w="50" w:type="dxa"/>
              <w:bottom w:w="50" w:type="dxa"/>
              <w:left w:w="80" w:type="dxa"/>
              <w:right w:w="80" w:type="dxa"/>
            </w:tcMar>
          </w:tcPr>
          <w:p>
            <w:r>
              <w:rPr>
                <w:b/>
                <w:sz w:val="17"/>
              </w:rPr>
              <w:t>Public IPv4 Address</w:t>
            </w:r>
          </w:p>
        </w:tc>
        <w:tc>
          <w:tcPr>
            <w:tcW w:type="dxa" w:w="3744"/>
            <w:shd w:fill="F4F6F9"/>
            <w:tcMar>
              <w:top w:w="50" w:type="dxa"/>
              <w:bottom w:w="50" w:type="dxa"/>
              <w:left w:w="80" w:type="dxa"/>
              <w:right w:w="80" w:type="dxa"/>
            </w:tcMar>
          </w:tcPr>
          <w:p>
            <w:r>
              <w:rPr>
                <w:sz w:val="17"/>
              </w:rPr>
              <w:t>3.109.154.173</w:t>
            </w:r>
          </w:p>
        </w:tc>
        <w:tc>
          <w:tcPr>
            <w:tcW w:type="dxa" w:w="2880"/>
            <w:shd w:fill="F4F6F9"/>
            <w:tcMar>
              <w:top w:w="50" w:type="dxa"/>
              <w:bottom w:w="50" w:type="dxa"/>
              <w:left w:w="80" w:type="dxa"/>
              <w:right w:w="80" w:type="dxa"/>
            </w:tcMar>
          </w:tcPr>
          <w:p>
            <w:r>
              <w:rPr>
                <w:sz w:val="17"/>
              </w:rPr>
              <w:t>Internet-Accessible Endpoint</w:t>
            </w:r>
          </w:p>
        </w:tc>
      </w:tr>
      <w:tr>
        <w:tc>
          <w:tcPr>
            <w:tcW w:type="dxa" w:w="3168"/>
            <w:shd w:fill="FFFFFF"/>
            <w:tcMar>
              <w:top w:w="50" w:type="dxa"/>
              <w:bottom w:w="50" w:type="dxa"/>
              <w:left w:w="80" w:type="dxa"/>
              <w:right w:w="80" w:type="dxa"/>
            </w:tcMar>
          </w:tcPr>
          <w:p>
            <w:r>
              <w:rPr>
                <w:b/>
                <w:sz w:val="17"/>
              </w:rPr>
              <w:t>Private IPv4 Address</w:t>
            </w:r>
          </w:p>
        </w:tc>
        <w:tc>
          <w:tcPr>
            <w:tcW w:type="dxa" w:w="3744"/>
            <w:shd w:fill="FFFFFF"/>
            <w:tcMar>
              <w:top w:w="50" w:type="dxa"/>
              <w:bottom w:w="50" w:type="dxa"/>
              <w:left w:w="80" w:type="dxa"/>
              <w:right w:w="80" w:type="dxa"/>
            </w:tcMar>
          </w:tcPr>
          <w:p>
            <w:r>
              <w:rPr>
                <w:sz w:val="17"/>
              </w:rPr>
              <w:t>172.31.1.101</w:t>
            </w:r>
          </w:p>
        </w:tc>
        <w:tc>
          <w:tcPr>
            <w:tcW w:type="dxa" w:w="2880"/>
            <w:shd w:fill="FFFFFF"/>
            <w:tcMar>
              <w:top w:w="50" w:type="dxa"/>
              <w:bottom w:w="50" w:type="dxa"/>
              <w:left w:w="80" w:type="dxa"/>
              <w:right w:w="80" w:type="dxa"/>
            </w:tcMar>
          </w:tcPr>
          <w:p>
            <w:r>
              <w:rPr>
                <w:sz w:val="17"/>
              </w:rPr>
              <w:t>Internal Subnet Address</w:t>
            </w:r>
          </w:p>
        </w:tc>
      </w:tr>
      <w:tr>
        <w:tc>
          <w:tcPr>
            <w:tcW w:type="dxa" w:w="3168"/>
            <w:shd w:fill="F4F6F9"/>
            <w:tcMar>
              <w:top w:w="50" w:type="dxa"/>
              <w:bottom w:w="50" w:type="dxa"/>
              <w:left w:w="80" w:type="dxa"/>
              <w:right w:w="80" w:type="dxa"/>
            </w:tcMar>
          </w:tcPr>
          <w:p>
            <w:r>
              <w:rPr>
                <w:b/>
                <w:sz w:val="17"/>
              </w:rPr>
              <w:t>Public IPv4 DNS</w:t>
            </w:r>
          </w:p>
        </w:tc>
        <w:tc>
          <w:tcPr>
            <w:tcW w:type="dxa" w:w="3744"/>
            <w:shd w:fill="F4F6F9"/>
            <w:tcMar>
              <w:top w:w="50" w:type="dxa"/>
              <w:bottom w:w="50" w:type="dxa"/>
              <w:left w:w="80" w:type="dxa"/>
              <w:right w:w="80" w:type="dxa"/>
            </w:tcMar>
          </w:tcPr>
          <w:p>
            <w:r>
              <w:rPr>
                <w:sz w:val="17"/>
              </w:rPr>
              <w:t>ec2-3-109-154-173.ap-south-1.compute.amazonaws.com</w:t>
            </w:r>
          </w:p>
        </w:tc>
        <w:tc>
          <w:tcPr>
            <w:tcW w:type="dxa" w:w="2880"/>
            <w:shd w:fill="F4F6F9"/>
            <w:tcMar>
              <w:top w:w="50" w:type="dxa"/>
              <w:bottom w:w="50" w:type="dxa"/>
              <w:left w:w="80" w:type="dxa"/>
              <w:right w:w="80" w:type="dxa"/>
            </w:tcMar>
          </w:tcPr>
          <w:p>
            <w:r>
              <w:rPr>
                <w:sz w:val="17"/>
              </w:rPr>
              <w:t>Resolved Public DNS</w:t>
            </w:r>
          </w:p>
        </w:tc>
      </w:tr>
      <w:tr>
        <w:tc>
          <w:tcPr>
            <w:tcW w:type="dxa" w:w="3168"/>
            <w:shd w:fill="FFFFFF"/>
            <w:tcMar>
              <w:top w:w="50" w:type="dxa"/>
              <w:bottom w:w="50" w:type="dxa"/>
              <w:left w:w="80" w:type="dxa"/>
              <w:right w:w="80" w:type="dxa"/>
            </w:tcMar>
          </w:tcPr>
          <w:p>
            <w:r>
              <w:rPr>
                <w:b/>
                <w:sz w:val="17"/>
              </w:rPr>
              <w:t>Private IP DNS Hostname</w:t>
            </w:r>
          </w:p>
        </w:tc>
        <w:tc>
          <w:tcPr>
            <w:tcW w:type="dxa" w:w="3744"/>
            <w:shd w:fill="FFFFFF"/>
            <w:tcMar>
              <w:top w:w="50" w:type="dxa"/>
              <w:bottom w:w="50" w:type="dxa"/>
              <w:left w:w="80" w:type="dxa"/>
              <w:right w:w="80" w:type="dxa"/>
            </w:tcMar>
          </w:tcPr>
          <w:p>
            <w:r>
              <w:rPr>
                <w:sz w:val="17"/>
              </w:rPr>
              <w:t>ip-172-31-1-101.ap-south-1.compute.internal</w:t>
            </w:r>
          </w:p>
        </w:tc>
        <w:tc>
          <w:tcPr>
            <w:tcW w:type="dxa" w:w="2880"/>
            <w:shd w:fill="FFFFFF"/>
            <w:tcMar>
              <w:top w:w="50" w:type="dxa"/>
              <w:bottom w:w="50" w:type="dxa"/>
              <w:left w:w="80" w:type="dxa"/>
              <w:right w:w="80" w:type="dxa"/>
            </w:tcMar>
          </w:tcPr>
          <w:p>
            <w:r>
              <w:rPr>
                <w:sz w:val="17"/>
              </w:rPr>
              <w:t>VPC Internal Route 53 DNS</w:t>
            </w:r>
          </w:p>
        </w:tc>
      </w:tr>
      <w:tr>
        <w:tc>
          <w:tcPr>
            <w:tcW w:type="dxa" w:w="3168"/>
            <w:shd w:fill="F4F6F9"/>
            <w:tcMar>
              <w:top w:w="50" w:type="dxa"/>
              <w:bottom w:w="50" w:type="dxa"/>
              <w:left w:w="80" w:type="dxa"/>
              <w:right w:w="80" w:type="dxa"/>
            </w:tcMar>
          </w:tcPr>
          <w:p>
            <w:r>
              <w:rPr>
                <w:b/>
                <w:sz w:val="17"/>
              </w:rPr>
              <w:t>Virtual Private Cloud (VPC)</w:t>
            </w:r>
          </w:p>
        </w:tc>
        <w:tc>
          <w:tcPr>
            <w:tcW w:type="dxa" w:w="3744"/>
            <w:shd w:fill="F4F6F9"/>
            <w:tcMar>
              <w:top w:w="50" w:type="dxa"/>
              <w:bottom w:w="50" w:type="dxa"/>
              <w:left w:w="80" w:type="dxa"/>
              <w:right w:w="80" w:type="dxa"/>
            </w:tcMar>
          </w:tcPr>
          <w:p>
            <w:r>
              <w:rPr>
                <w:sz w:val="17"/>
              </w:rPr>
              <w:t>vpc-0e0a04b1273818ad2</w:t>
            </w:r>
          </w:p>
        </w:tc>
        <w:tc>
          <w:tcPr>
            <w:tcW w:type="dxa" w:w="2880"/>
            <w:shd w:fill="F4F6F9"/>
            <w:tcMar>
              <w:top w:w="50" w:type="dxa"/>
              <w:bottom w:w="50" w:type="dxa"/>
              <w:left w:w="80" w:type="dxa"/>
              <w:right w:w="80" w:type="dxa"/>
            </w:tcMar>
          </w:tcPr>
          <w:p>
            <w:r>
              <w:rPr>
                <w:sz w:val="17"/>
              </w:rPr>
              <w:t>Isolated Default VPC</w:t>
            </w:r>
          </w:p>
        </w:tc>
      </w:tr>
      <w:tr>
        <w:tc>
          <w:tcPr>
            <w:tcW w:type="dxa" w:w="3168"/>
            <w:shd w:fill="FFFFFF"/>
            <w:tcMar>
              <w:top w:w="50" w:type="dxa"/>
              <w:bottom w:w="50" w:type="dxa"/>
              <w:left w:w="80" w:type="dxa"/>
              <w:right w:w="80" w:type="dxa"/>
            </w:tcMar>
          </w:tcPr>
          <w:p>
            <w:r>
              <w:rPr>
                <w:b/>
                <w:sz w:val="17"/>
              </w:rPr>
              <w:t>Security Group</w:t>
            </w:r>
          </w:p>
        </w:tc>
        <w:tc>
          <w:tcPr>
            <w:tcW w:type="dxa" w:w="3744"/>
            <w:shd w:fill="FFFFFF"/>
            <w:tcMar>
              <w:top w:w="50" w:type="dxa"/>
              <w:bottom w:w="50" w:type="dxa"/>
              <w:left w:w="80" w:type="dxa"/>
              <w:right w:w="80" w:type="dxa"/>
            </w:tcMar>
          </w:tcPr>
          <w:p>
            <w:r>
              <w:rPr>
                <w:sz w:val="17"/>
              </w:rPr>
              <w:t>launch-wizard-1 (sg-0671e3672a564981f)</w:t>
            </w:r>
          </w:p>
        </w:tc>
        <w:tc>
          <w:tcPr>
            <w:tcW w:type="dxa" w:w="2880"/>
            <w:shd w:fill="FFFFFF"/>
            <w:tcMar>
              <w:top w:w="50" w:type="dxa"/>
              <w:bottom w:w="50" w:type="dxa"/>
              <w:left w:w="80" w:type="dxa"/>
              <w:right w:w="80" w:type="dxa"/>
            </w:tcMar>
          </w:tcPr>
          <w:p>
            <w:r>
              <w:rPr>
                <w:sz w:val="17"/>
              </w:rPr>
              <w:t>Stateful Virtual Firewall</w:t>
            </w:r>
          </w:p>
        </w:tc>
      </w:tr>
      <w:tr>
        <w:tc>
          <w:tcPr>
            <w:tcW w:type="dxa" w:w="3168"/>
            <w:shd w:fill="F4F6F9"/>
            <w:tcMar>
              <w:top w:w="50" w:type="dxa"/>
              <w:bottom w:w="50" w:type="dxa"/>
              <w:left w:w="80" w:type="dxa"/>
              <w:right w:w="80" w:type="dxa"/>
            </w:tcMar>
          </w:tcPr>
          <w:p>
            <w:r>
              <w:rPr>
                <w:b/>
                <w:sz w:val="17"/>
              </w:rPr>
              <w:t>Inbound Firewall Rules</w:t>
            </w:r>
          </w:p>
        </w:tc>
        <w:tc>
          <w:tcPr>
            <w:tcW w:type="dxa" w:w="3744"/>
            <w:shd w:fill="F4F6F9"/>
            <w:tcMar>
              <w:top w:w="50" w:type="dxa"/>
              <w:bottom w:w="50" w:type="dxa"/>
              <w:left w:w="80" w:type="dxa"/>
              <w:right w:w="80" w:type="dxa"/>
            </w:tcMar>
          </w:tcPr>
          <w:p>
            <w:r>
              <w:rPr>
                <w:sz w:val="17"/>
              </w:rPr>
              <w:t>Port 22 (SSH / TCP) + Port 443 (HTTPS / TCP)</w:t>
            </w:r>
          </w:p>
        </w:tc>
        <w:tc>
          <w:tcPr>
            <w:tcW w:type="dxa" w:w="2880"/>
            <w:shd w:fill="F4F6F9"/>
            <w:tcMar>
              <w:top w:w="50" w:type="dxa"/>
              <w:bottom w:w="50" w:type="dxa"/>
              <w:left w:w="80" w:type="dxa"/>
              <w:right w:w="80" w:type="dxa"/>
            </w:tcMar>
          </w:tcPr>
          <w:p>
            <w:r>
              <w:rPr>
                <w:sz w:val="17"/>
              </w:rPr>
              <w:t>Admin &amp; Web Access</w:t>
            </w:r>
          </w:p>
        </w:tc>
      </w:tr>
      <w:tr>
        <w:tc>
          <w:tcPr>
            <w:tcW w:type="dxa" w:w="3168"/>
            <w:shd w:fill="FFFFFF"/>
            <w:tcMar>
              <w:top w:w="50" w:type="dxa"/>
              <w:bottom w:w="50" w:type="dxa"/>
              <w:left w:w="80" w:type="dxa"/>
              <w:right w:w="80" w:type="dxa"/>
            </w:tcMar>
          </w:tcPr>
          <w:p>
            <w:r>
              <w:rPr>
                <w:b/>
                <w:sz w:val="17"/>
              </w:rPr>
              <w:t>CloudWatch CPU Utilization</w:t>
            </w:r>
          </w:p>
        </w:tc>
        <w:tc>
          <w:tcPr>
            <w:tcW w:type="dxa" w:w="3744"/>
            <w:shd w:fill="FFFFFF"/>
            <w:tcMar>
              <w:top w:w="50" w:type="dxa"/>
              <w:bottom w:w="50" w:type="dxa"/>
              <w:left w:w="80" w:type="dxa"/>
              <w:right w:w="80" w:type="dxa"/>
            </w:tcMar>
          </w:tcPr>
          <w:p>
            <w:r>
              <w:rPr>
                <w:sz w:val="17"/>
              </w:rPr>
              <w:t>0.18% (Baseline Idle)</w:t>
            </w:r>
          </w:p>
        </w:tc>
        <w:tc>
          <w:tcPr>
            <w:tcW w:type="dxa" w:w="2880"/>
            <w:shd w:fill="FFFFFF"/>
            <w:tcMar>
              <w:top w:w="50" w:type="dxa"/>
              <w:bottom w:w="50" w:type="dxa"/>
              <w:left w:w="80" w:type="dxa"/>
              <w:right w:w="80" w:type="dxa"/>
            </w:tcMar>
          </w:tcPr>
          <w:p>
            <w:r>
              <w:rPr>
                <w:sz w:val="17"/>
              </w:rPr>
              <w:t>CloudWatch Telemetry</w:t>
            </w:r>
          </w:p>
        </w:tc>
      </w:tr>
      <w:tr>
        <w:tc>
          <w:tcPr>
            <w:tcW w:type="dxa" w:w="3168"/>
            <w:shd w:fill="F4F6F9"/>
            <w:tcMar>
              <w:top w:w="50" w:type="dxa"/>
              <w:bottom w:w="50" w:type="dxa"/>
              <w:left w:w="80" w:type="dxa"/>
              <w:right w:w="80" w:type="dxa"/>
            </w:tcMar>
          </w:tcPr>
          <w:p>
            <w:r>
              <w:rPr>
                <w:b/>
                <w:sz w:val="17"/>
              </w:rPr>
              <w:t>CloudWatch Credit Balance</w:t>
            </w:r>
          </w:p>
        </w:tc>
        <w:tc>
          <w:tcPr>
            <w:tcW w:type="dxa" w:w="3744"/>
            <w:shd w:fill="F4F6F9"/>
            <w:tcMar>
              <w:top w:w="50" w:type="dxa"/>
              <w:bottom w:w="50" w:type="dxa"/>
              <w:left w:w="80" w:type="dxa"/>
              <w:right w:w="80" w:type="dxa"/>
            </w:tcMar>
          </w:tcPr>
          <w:p>
            <w:r>
              <w:rPr>
                <w:sz w:val="17"/>
              </w:rPr>
              <w:t>1.18 (Accumulating)</w:t>
            </w:r>
          </w:p>
        </w:tc>
        <w:tc>
          <w:tcPr>
            <w:tcW w:type="dxa" w:w="2880"/>
            <w:shd w:fill="F4F6F9"/>
            <w:tcMar>
              <w:top w:w="50" w:type="dxa"/>
              <w:bottom w:w="50" w:type="dxa"/>
              <w:left w:w="80" w:type="dxa"/>
              <w:right w:w="80" w:type="dxa"/>
            </w:tcMar>
          </w:tcPr>
          <w:p>
            <w:r>
              <w:rPr>
                <w:sz w:val="17"/>
              </w:rPr>
              <w:t>Nitro Burstable Capacity</w:t>
            </w:r>
          </w:p>
        </w:tc>
      </w:tr>
      <w:tr>
        <w:tc>
          <w:tcPr>
            <w:tcW w:type="dxa" w:w="3168"/>
            <w:shd w:fill="FFFFFF"/>
            <w:tcMar>
              <w:top w:w="50" w:type="dxa"/>
              <w:bottom w:w="50" w:type="dxa"/>
              <w:left w:w="80" w:type="dxa"/>
              <w:right w:w="80" w:type="dxa"/>
            </w:tcMar>
          </w:tcPr>
          <w:p>
            <w:r>
              <w:rPr>
                <w:b/>
                <w:sz w:val="17"/>
              </w:rPr>
              <w:t>EBS Storage Architecture</w:t>
            </w:r>
          </w:p>
        </w:tc>
        <w:tc>
          <w:tcPr>
            <w:tcW w:type="dxa" w:w="3744"/>
            <w:shd w:fill="FFFFFF"/>
            <w:tcMar>
              <w:top w:w="50" w:type="dxa"/>
              <w:bottom w:w="50" w:type="dxa"/>
              <w:left w:w="80" w:type="dxa"/>
              <w:right w:w="80" w:type="dxa"/>
            </w:tcMar>
          </w:tcPr>
          <w:p>
            <w:r>
              <w:rPr>
                <w:sz w:val="17"/>
              </w:rPr>
              <w:t>8 GiB gp3 Root Volume</w:t>
            </w:r>
          </w:p>
        </w:tc>
        <w:tc>
          <w:tcPr>
            <w:tcW w:type="dxa" w:w="2880"/>
            <w:shd w:fill="FFFFFF"/>
            <w:tcMar>
              <w:top w:w="50" w:type="dxa"/>
              <w:bottom w:w="50" w:type="dxa"/>
              <w:left w:w="80" w:type="dxa"/>
              <w:right w:w="80" w:type="dxa"/>
            </w:tcMar>
          </w:tcPr>
          <w:p>
            <w:r>
              <w:rPr>
                <w:sz w:val="17"/>
              </w:rPr>
              <w:t>General Purpose SSD</w:t>
            </w:r>
          </w:p>
        </w:tc>
      </w:tr>
      <w:tr>
        <w:tc>
          <w:tcPr>
            <w:tcW w:type="dxa" w:w="3168"/>
            <w:shd w:fill="F4F6F9"/>
            <w:tcMar>
              <w:top w:w="50" w:type="dxa"/>
              <w:bottom w:w="50" w:type="dxa"/>
              <w:left w:w="80" w:type="dxa"/>
              <w:right w:w="80" w:type="dxa"/>
            </w:tcMar>
          </w:tcPr>
          <w:p>
            <w:r>
              <w:rPr>
                <w:b/>
                <w:sz w:val="17"/>
              </w:rPr>
              <w:t>Cloud Billing &amp; Cost</w:t>
            </w:r>
          </w:p>
        </w:tc>
        <w:tc>
          <w:tcPr>
            <w:tcW w:type="dxa" w:w="3744"/>
            <w:shd w:fill="F4F6F9"/>
            <w:tcMar>
              <w:top w:w="50" w:type="dxa"/>
              <w:bottom w:w="50" w:type="dxa"/>
              <w:left w:w="80" w:type="dxa"/>
              <w:right w:w="80" w:type="dxa"/>
            </w:tcMar>
          </w:tcPr>
          <w:p>
            <w:r>
              <w:rPr>
                <w:sz w:val="17"/>
              </w:rPr>
              <w:t>$0.00 (Zero USD)</w:t>
            </w:r>
          </w:p>
        </w:tc>
        <w:tc>
          <w:tcPr>
            <w:tcW w:type="dxa" w:w="2880"/>
            <w:shd w:fill="F4F6F9"/>
            <w:tcMar>
              <w:top w:w="50" w:type="dxa"/>
              <w:bottom w:w="50" w:type="dxa"/>
              <w:left w:w="80" w:type="dxa"/>
              <w:right w:w="80" w:type="dxa"/>
            </w:tcMar>
          </w:tcPr>
          <w:p>
            <w:r>
              <w:rPr>
                <w:sz w:val="17"/>
              </w:rPr>
              <w:t>100% Free Tier Compliance</w:t>
            </w:r>
          </w:p>
        </w:tc>
      </w:tr>
    </w:tbl>
    <w:p>
      <w:pPr>
        <w:pStyle w:val="Heading2"/>
        <w:keepNext/>
        <w:spacing w:before="240" w:after="80"/>
      </w:pPr>
      <w:r>
        <w:rPr>
          <w:rFonts w:ascii="Calibri" w:hAnsi="Calibri"/>
          <w:color w:val="102C57"/>
        </w:rPr>
        <w:t>8. Viva-Voce Examination Questions &amp; Answers</w:t>
      </w:r>
    </w:p>
    <w:p>
      <w:pPr>
        <w:spacing w:before="80" w:after="20"/>
      </w:pPr>
      <w:r>
        <w:rPr>
          <w:rFonts w:ascii="Calibri" w:hAnsi="Calibri"/>
          <w:b/>
          <w:color w:val="102C57"/>
          <w:sz w:val="19"/>
        </w:rPr>
        <w:t>Q1: What is the difference between AWS Security Groups and Network ACLs?</w:t>
      </w:r>
    </w:p>
    <w:p>
      <w:pPr>
        <w:spacing w:after="80"/>
      </w:pPr>
      <w:r>
        <w:rPr>
          <w:rFonts w:ascii="Calibri" w:hAnsi="Calibri"/>
          <w:sz w:val="18"/>
        </w:rPr>
        <w:t>Answer: Security Groups operate at the virtual network interface (ENI) level, are stateful (inbound return traffic automatically allowed), and evaluate permit rules only. Network ACLs operate at the subnet boundary, are stateless (inbound and outbound traffic must both be explicitly allowed), and evaluate ordered rule numbers.</w:t>
      </w:r>
    </w:p>
    <w:p>
      <w:pPr>
        <w:spacing w:before="80" w:after="20"/>
      </w:pPr>
      <w:r>
        <w:rPr>
          <w:rFonts w:ascii="Calibri" w:hAnsi="Calibri"/>
          <w:b/>
          <w:color w:val="102C57"/>
          <w:sz w:val="19"/>
        </w:rPr>
        <w:t>Q2: Why is the t3.micro instance type selected for this DevOps laboratory?</w:t>
      </w:r>
    </w:p>
    <w:p>
      <w:pPr>
        <w:spacing w:after="80"/>
      </w:pPr>
      <w:r>
        <w:rPr>
          <w:rFonts w:ascii="Calibri" w:hAnsi="Calibri"/>
          <w:sz w:val="18"/>
        </w:rPr>
        <w:t>Answer: The t3.micro instance offers 2 vCPUs and 1 GiB memory on the AWS Nitro hypervisor architecture, qualifying for 750 free hours per month under the AWS Free Tier, providing high burstable performance at zero financial cost.</w:t>
      </w:r>
    </w:p>
    <w:p>
      <w:pPr>
        <w:spacing w:before="80" w:after="20"/>
      </w:pPr>
      <w:r>
        <w:rPr>
          <w:rFonts w:ascii="Calibri" w:hAnsi="Calibri"/>
          <w:b/>
          <w:color w:val="102C57"/>
          <w:sz w:val="19"/>
        </w:rPr>
        <w:t>Q3: What happens when an EC2 instance is Stopped vs Terminated?</w:t>
      </w:r>
    </w:p>
    <w:p>
      <w:pPr>
        <w:spacing w:after="80"/>
      </w:pPr>
      <w:r>
        <w:rPr>
          <w:rFonts w:ascii="Calibri" w:hAnsi="Calibri"/>
          <w:sz w:val="18"/>
        </w:rPr>
        <w:t>Answer: Stopping shuts down the virtual server operating system and halts per-second compute charges, but attached EBS storage volumes persist and accrue nominal storage fees. Terminating permanently destroys the virtual server and its root EBS volume, ensuring $0.00 ongoing charges.</w:t>
      </w:r>
    </w:p>
    <w:p>
      <w:pPr>
        <w:spacing w:before="80" w:after="20"/>
      </w:pPr>
      <w:r>
        <w:rPr>
          <w:rFonts w:ascii="Calibri" w:hAnsi="Calibri"/>
          <w:b/>
          <w:color w:val="102C57"/>
          <w:sz w:val="19"/>
        </w:rPr>
        <w:t>Q4: What is the AWS Nitro System?</w:t>
      </w:r>
    </w:p>
    <w:p>
      <w:pPr>
        <w:spacing w:after="80"/>
      </w:pPr>
      <w:r>
        <w:rPr>
          <w:rFonts w:ascii="Calibri" w:hAnsi="Calibri"/>
          <w:sz w:val="18"/>
        </w:rPr>
        <w:t>Answer: AWS Nitro is a lightweight hypervisor architecture that offloads virtualization management (storage, network, security) to dedicated PCIe hardware cards, maximizing virtual machine CPU and memory performance.</w:t>
      </w:r>
    </w:p>
    <w:p>
      <w:pPr>
        <w:spacing w:before="80" w:after="20"/>
      </w:pPr>
      <w:r>
        <w:rPr>
          <w:rFonts w:ascii="Calibri" w:hAnsi="Calibri"/>
          <w:b/>
          <w:color w:val="102C57"/>
          <w:sz w:val="19"/>
        </w:rPr>
        <w:t>Q5: How does Amazon CloudWatch assist in infrastructure reliability?</w:t>
      </w:r>
    </w:p>
    <w:p>
      <w:pPr>
        <w:spacing w:after="80"/>
      </w:pPr>
      <w:r>
        <w:rPr>
          <w:rFonts w:ascii="Calibri" w:hAnsi="Calibri"/>
          <w:sz w:val="18"/>
        </w:rPr>
        <w:t>Answer: CloudWatch automatically collects hypervisor metrics (CPU utilization, disk I/O, network traffic) every 5 minutes (or 1 minute in detailed monitoring) without requiring guest agent installation, enabling proactive alarming and autoscaling.</w:t>
      </w:r>
    </w:p>
    <w:p>
      <w:pPr>
        <w:pStyle w:val="Heading2"/>
        <w:keepNext/>
        <w:spacing w:before="240" w:after="80"/>
      </w:pPr>
      <w:r>
        <w:rPr>
          <w:rFonts w:ascii="Calibri" w:hAnsi="Calibri"/>
          <w:color w:val="102C57"/>
        </w:rPr>
        <w:t>9. Result &amp; Conclusion</w:t>
      </w:r>
    </w:p>
    <w:p>
      <w:r>
        <w:rPr>
          <w:b/>
          <w:color w:val="145028"/>
        </w:rPr>
        <w:t xml:space="preserve">Result: </w:t>
      </w:r>
      <w:r>
        <w:t>Amazon EC2 instance 'My-DevOps-EC2' (i-0e2921adb9d8abd4b) was successfully provisioned, secured with Security Group 'launch-wizard-1', launched in Mumbai (ap-south-1b), verified with Public IP 3.109.154.173 and Private IP 172.31.1.101, and monitored via CloudWatch with zero charges under the AWS Free Tier ($0.00).</w:t>
      </w:r>
    </w:p>
    <w:p>
      <w:r>
        <w:rPr>
          <w:b/>
          <w:color w:val="145028"/>
        </w:rPr>
        <w:t xml:space="preserve">Conclusion: </w:t>
      </w:r>
      <w:r>
        <w:t>Through this practical, core cloud computing architectures (IaaS/PaaS/SaaS), virtualization fundamentals, virtual network firewalls, and cloud instance lifecycle operations were thoroughly understood and demonstrated according to industrial DevOps best practices.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Rutuja Deepak Jagtap | PRN: 123B1B146 | Batch: C1 | DevOps Assignment 02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PCCOE Pune | Dept of Computer Engineering | DevOps Lab (BCE27PE01)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