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PHASE 1 DOCUMENTATION</w:t>
      </w:r>
    </w:p>
    <w:p>
      <w:pPr>
        <w:jc w:val="center"/>
      </w:pPr>
      <w:r>
        <w:rPr>
          <w:b/>
          <w:sz w:val="24"/>
        </w:rPr>
        <w:t>Topic Selection &amp; Project Acknowledgement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pPr>
              <w:spacing w:after="0"/>
            </w:pPr>
            <w:r>
              <w:rPr>
                <w:b/>
                <w:sz w:val="18"/>
              </w:rPr>
              <w:t>Project Name</w:t>
            </w:r>
          </w:p>
        </w:tc>
        <w:tc>
          <w:tcPr>
            <w:tcW w:type="dxa" w:w="5112"/>
            <w:vAlign w:val="center"/>
          </w:tcPr>
          <w:p>
            <w:pPr>
              <w:spacing w:after="0"/>
            </w:pPr>
            <w:r>
              <w:rPr>
                <w:sz w:val="18"/>
              </w:rPr>
              <w:t>Analyse OTT Platform Viewing Patterns to Support Data-Driven Content Decisions</w:t>
            </w:r>
          </w:p>
        </w:tc>
      </w:tr>
      <w:tr>
        <w:tc>
          <w:tcPr>
            <w:tcW w:type="dxa" w:w="5112"/>
            <w:vAlign w:val="center"/>
          </w:tcPr>
          <w:p>
            <w:pPr>
              <w:spacing w:after="0"/>
            </w:pPr>
            <w:r>
              <w:rPr>
                <w:b/>
                <w:sz w:val="18"/>
              </w:rPr>
              <w:t>Domain / Theme</w:t>
            </w:r>
          </w:p>
        </w:tc>
        <w:tc>
          <w:tcPr>
            <w:tcW w:type="dxa" w:w="5112"/>
            <w:vAlign w:val="center"/>
          </w:tcPr>
          <w:p>
            <w:pPr>
              <w:spacing w:after="0"/>
            </w:pPr>
            <w:r>
              <w:rPr>
                <w:sz w:val="18"/>
              </w:rPr>
              <w:t>MediaTech — OTT / Streaming Analytics</w:t>
            </w:r>
          </w:p>
        </w:tc>
      </w:tr>
      <w:tr>
        <w:tc>
          <w:tcPr>
            <w:tcW w:type="dxa" w:w="5112"/>
            <w:vAlign w:val="center"/>
          </w:tcPr>
          <w:p>
            <w:pPr>
              <w:spacing w:after="0"/>
            </w:pPr>
            <w:r>
              <w:rPr>
                <w:b/>
                <w:sz w:val="18"/>
              </w:rPr>
              <w:t>Role</w:t>
            </w:r>
          </w:p>
        </w:tc>
        <w:tc>
          <w:tcPr>
            <w:tcW w:type="dxa" w:w="5112"/>
            <w:vAlign w:val="center"/>
          </w:tcPr>
          <w:p>
            <w:pPr>
              <w:spacing w:after="0"/>
            </w:pPr>
            <w:r>
              <w:rPr>
                <w:sz w:val="18"/>
              </w:rPr>
              <w:t>Data Analyst / Business Analytics</w:t>
            </w:r>
          </w:p>
        </w:tc>
      </w:tr>
      <w:tr>
        <w:tc>
          <w:tcPr>
            <w:tcW w:type="dxa" w:w="5112"/>
            <w:vAlign w:val="center"/>
          </w:tcPr>
          <w:p>
            <w:pPr>
              <w:spacing w:after="0"/>
            </w:pPr>
            <w:r>
              <w:rPr>
                <w:b/>
                <w:sz w:val="18"/>
              </w:rPr>
              <w:t>Sprint / Phase</w:t>
            </w:r>
          </w:p>
        </w:tc>
        <w:tc>
          <w:tcPr>
            <w:tcW w:type="dxa" w:w="5112"/>
            <w:vAlign w:val="center"/>
          </w:tcPr>
          <w:p>
            <w:pPr>
              <w:spacing w:after="0"/>
            </w:pPr>
            <w:r>
              <w:rPr>
                <w:sz w:val="18"/>
              </w:rPr>
              <w:t>Sprint 1 — Topic Selection &amp; Project Acknowledgement</w:t>
            </w:r>
          </w:p>
        </w:tc>
      </w:tr>
      <w:tr>
        <w:tc>
          <w:tcPr>
            <w:tcW w:type="dxa" w:w="5112"/>
            <w:vAlign w:val="center"/>
          </w:tcPr>
          <w:p>
            <w:pPr>
              <w:spacing w:after="0"/>
            </w:pPr>
            <w:r>
              <w:rPr>
                <w:b/>
                <w:sz w:val="18"/>
              </w:rPr>
              <w:t>Status</w:t>
            </w:r>
          </w:p>
        </w:tc>
        <w:tc>
          <w:tcPr>
            <w:tcW w:type="dxa" w:w="5112"/>
            <w:vAlign w:val="center"/>
          </w:tcPr>
          <w:p>
            <w:pPr>
              <w:spacing w:after="0"/>
            </w:pPr>
            <w:r>
              <w:rPr>
                <w:sz w:val="18"/>
              </w:rPr>
              <w:t>Completed</w:t>
            </w:r>
          </w:p>
        </w:tc>
      </w:tr>
    </w:tbl>
    <w:p>
      <w:r>
        <w:rPr>
          <w:b/>
          <w:sz w:val="24"/>
        </w:rPr>
        <w:t>1. Selected Project Topic</w:t>
      </w:r>
    </w:p>
    <w:p>
      <w:r>
        <w:t>The selected project focuses on analysing OTT platform viewing patterns and converting viewer, content, subscription and feedback data into actionable business insights. The analysis supports data-driven decisions related to content strategy, viewer engagement, personalization and customer retention.</w:t>
      </w:r>
    </w:p>
    <w:p>
      <w:r>
        <w:rPr>
          <w:b/>
          <w:sz w:val="24"/>
        </w:rPr>
        <w:t>2. Business Context</w:t>
      </w:r>
    </w:p>
    <w:p>
      <w:r>
        <w:t>The MediaTech case study is based on an OTT streaming business operating across NetStream, AmazePrime and DizPlay+. The business wants to understand content engagement, viewing behaviour, subscription retention/churn and viewer feedback so management can make better content and customer decisions.</w:t>
      </w:r>
    </w:p>
    <w:p>
      <w:r>
        <w:rPr>
          <w:b/>
          <w:sz w:val="24"/>
        </w:rPr>
        <w:t>3. Initial Dataset Review Completed</w:t>
      </w:r>
    </w:p>
    <w:p>
      <w:r>
        <w:t>The five project datasets were initially reviewed to understand their structure, purpose, record counts, key fields and potential relationships.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pPr>
              <w:spacing w:after="0"/>
            </w:pPr>
            <w:r>
              <w:rPr>
                <w:b/>
                <w:sz w:val="18"/>
              </w:rPr>
              <w:t>Dataset</w:t>
            </w:r>
          </w:p>
        </w:tc>
        <w:tc>
          <w:tcPr>
            <w:tcW w:type="dxa" w:w="2556"/>
            <w:vAlign w:val="center"/>
          </w:tcPr>
          <w:p>
            <w:pPr>
              <w:spacing w:after="0"/>
            </w:pPr>
            <w:r>
              <w:rPr>
                <w:b/>
                <w:sz w:val="18"/>
              </w:rPr>
              <w:t>Records</w:t>
            </w:r>
          </w:p>
        </w:tc>
        <w:tc>
          <w:tcPr>
            <w:tcW w:type="dxa" w:w="2556"/>
            <w:vAlign w:val="center"/>
          </w:tcPr>
          <w:p>
            <w:pPr>
              <w:spacing w:after="0"/>
            </w:pPr>
            <w:r>
              <w:rPr>
                <w:b/>
                <w:sz w:val="18"/>
              </w:rPr>
              <w:t>Purpose</w:t>
            </w:r>
          </w:p>
        </w:tc>
        <w:tc>
          <w:tcPr>
            <w:tcW w:type="dxa" w:w="2556"/>
            <w:vAlign w:val="center"/>
          </w:tcPr>
          <w:p>
            <w:pPr>
              <w:spacing w:after="0"/>
            </w:pPr>
            <w:r>
              <w:rPr>
                <w:b/>
                <w:sz w:val="18"/>
              </w:rPr>
              <w:t>Key Identifier</w:t>
            </w:r>
          </w:p>
        </w:tc>
      </w:tr>
      <w:tr>
        <w:tc>
          <w:tcPr>
            <w:tcW w:type="dxa" w:w="2556"/>
            <w:vAlign w:val="center"/>
          </w:tcPr>
          <w:p>
            <w:pPr>
              <w:spacing w:after="0"/>
            </w:pPr>
            <w:r>
              <w:rPr>
                <w:sz w:val="18"/>
              </w:rPr>
              <w:t>User Profile</w:t>
            </w:r>
          </w:p>
        </w:tc>
        <w:tc>
          <w:tcPr>
            <w:tcW w:type="dxa" w:w="2556"/>
            <w:vAlign w:val="center"/>
          </w:tcPr>
          <w:p>
            <w:pPr>
              <w:spacing w:after="0"/>
            </w:pPr>
            <w:r>
              <w:rPr>
                <w:sz w:val="18"/>
              </w:rPr>
              <w:t>2,000</w:t>
            </w:r>
          </w:p>
        </w:tc>
        <w:tc>
          <w:tcPr>
            <w:tcW w:type="dxa" w:w="2556"/>
            <w:vAlign w:val="center"/>
          </w:tcPr>
          <w:p>
            <w:pPr>
              <w:spacing w:after="0"/>
            </w:pPr>
            <w:r>
              <w:rPr>
                <w:sz w:val="18"/>
              </w:rPr>
              <w:t>User demographics, subscription/device and engagement information</w:t>
            </w:r>
          </w:p>
        </w:tc>
        <w:tc>
          <w:tcPr>
            <w:tcW w:type="dxa" w:w="2556"/>
            <w:vAlign w:val="center"/>
          </w:tcPr>
          <w:p>
            <w:pPr>
              <w:spacing w:after="0"/>
            </w:pPr>
            <w:r>
              <w:rPr>
                <w:sz w:val="18"/>
              </w:rPr>
              <w:t>User_ID</w:t>
            </w:r>
          </w:p>
        </w:tc>
      </w:tr>
      <w:tr>
        <w:tc>
          <w:tcPr>
            <w:tcW w:type="dxa" w:w="2556"/>
            <w:vAlign w:val="center"/>
          </w:tcPr>
          <w:p>
            <w:pPr>
              <w:spacing w:after="0"/>
            </w:pPr>
            <w:r>
              <w:rPr>
                <w:sz w:val="18"/>
              </w:rPr>
              <w:t>Content Library</w:t>
            </w:r>
          </w:p>
        </w:tc>
        <w:tc>
          <w:tcPr>
            <w:tcW w:type="dxa" w:w="2556"/>
            <w:vAlign w:val="center"/>
          </w:tcPr>
          <w:p>
            <w:pPr>
              <w:spacing w:after="0"/>
            </w:pPr>
            <w:r>
              <w:rPr>
                <w:sz w:val="18"/>
              </w:rPr>
              <w:t>17,797</w:t>
            </w:r>
          </w:p>
        </w:tc>
        <w:tc>
          <w:tcPr>
            <w:tcW w:type="dxa" w:w="2556"/>
            <w:vAlign w:val="center"/>
          </w:tcPr>
          <w:p>
            <w:pPr>
              <w:spacing w:after="0"/>
            </w:pPr>
            <w:r>
              <w:rPr>
                <w:sz w:val="18"/>
              </w:rPr>
              <w:t>Content metadata, genre, platform and derived measures</w:t>
            </w:r>
          </w:p>
        </w:tc>
        <w:tc>
          <w:tcPr>
            <w:tcW w:type="dxa" w:w="2556"/>
            <w:vAlign w:val="center"/>
          </w:tcPr>
          <w:p>
            <w:pPr>
              <w:spacing w:after="0"/>
            </w:pPr>
            <w:r>
              <w:rPr>
                <w:sz w:val="18"/>
              </w:rPr>
              <w:t>show_id</w:t>
            </w:r>
          </w:p>
        </w:tc>
      </w:tr>
      <w:tr>
        <w:tc>
          <w:tcPr>
            <w:tcW w:type="dxa" w:w="2556"/>
            <w:vAlign w:val="center"/>
          </w:tcPr>
          <w:p>
            <w:pPr>
              <w:spacing w:after="0"/>
            </w:pPr>
            <w:r>
              <w:rPr>
                <w:sz w:val="18"/>
              </w:rPr>
              <w:t>Viewing Activity</w:t>
            </w:r>
          </w:p>
        </w:tc>
        <w:tc>
          <w:tcPr>
            <w:tcW w:type="dxa" w:w="2556"/>
            <w:vAlign w:val="center"/>
          </w:tcPr>
          <w:p>
            <w:pPr>
              <w:spacing w:after="0"/>
            </w:pPr>
            <w:r>
              <w:rPr>
                <w:sz w:val="18"/>
              </w:rPr>
              <w:t>30,000</w:t>
            </w:r>
          </w:p>
        </w:tc>
        <w:tc>
          <w:tcPr>
            <w:tcW w:type="dxa" w:w="2556"/>
            <w:vAlign w:val="center"/>
          </w:tcPr>
          <w:p>
            <w:pPr>
              <w:spacing w:after="0"/>
            </w:pPr>
            <w:r>
              <w:rPr>
                <w:sz w:val="18"/>
              </w:rPr>
              <w:t>Viewing duration, completion, rewatch, time and device</w:t>
            </w:r>
          </w:p>
        </w:tc>
        <w:tc>
          <w:tcPr>
            <w:tcW w:type="dxa" w:w="2556"/>
            <w:vAlign w:val="center"/>
          </w:tcPr>
          <w:p>
            <w:pPr>
              <w:spacing w:after="0"/>
            </w:pPr>
            <w:r>
              <w:rPr>
                <w:sz w:val="18"/>
              </w:rPr>
              <w:t>Session_ID / User_ID / Content_ID</w:t>
            </w:r>
          </w:p>
        </w:tc>
      </w:tr>
      <w:tr>
        <w:tc>
          <w:tcPr>
            <w:tcW w:type="dxa" w:w="2556"/>
            <w:vAlign w:val="center"/>
          </w:tcPr>
          <w:p>
            <w:pPr>
              <w:spacing w:after="0"/>
            </w:pPr>
            <w:r>
              <w:rPr>
                <w:sz w:val="18"/>
              </w:rPr>
              <w:t>Subscription Retention</w:t>
            </w:r>
          </w:p>
        </w:tc>
        <w:tc>
          <w:tcPr>
            <w:tcW w:type="dxa" w:w="2556"/>
            <w:vAlign w:val="center"/>
          </w:tcPr>
          <w:p>
            <w:pPr>
              <w:spacing w:after="0"/>
            </w:pPr>
            <w:r>
              <w:rPr>
                <w:sz w:val="18"/>
              </w:rPr>
              <w:t>2,000</w:t>
            </w:r>
          </w:p>
        </w:tc>
        <w:tc>
          <w:tcPr>
            <w:tcW w:type="dxa" w:w="2556"/>
            <w:vAlign w:val="center"/>
          </w:tcPr>
          <w:p>
            <w:pPr>
              <w:spacing w:after="0"/>
            </w:pPr>
            <w:r>
              <w:rPr>
                <w:sz w:val="18"/>
              </w:rPr>
              <w:t>Subscription type, fee, renewal and churn</w:t>
            </w:r>
          </w:p>
        </w:tc>
        <w:tc>
          <w:tcPr>
            <w:tcW w:type="dxa" w:w="2556"/>
            <w:vAlign w:val="center"/>
          </w:tcPr>
          <w:p>
            <w:pPr>
              <w:spacing w:after="0"/>
            </w:pPr>
            <w:r>
              <w:rPr>
                <w:sz w:val="18"/>
              </w:rPr>
              <w:t>User_ID</w:t>
            </w:r>
          </w:p>
        </w:tc>
      </w:tr>
      <w:tr>
        <w:tc>
          <w:tcPr>
            <w:tcW w:type="dxa" w:w="2556"/>
            <w:vAlign w:val="center"/>
          </w:tcPr>
          <w:p>
            <w:pPr>
              <w:spacing w:after="0"/>
            </w:pPr>
            <w:r>
              <w:rPr>
                <w:sz w:val="18"/>
              </w:rPr>
              <w:t>Ratings &amp; Feedback</w:t>
            </w:r>
          </w:p>
        </w:tc>
        <w:tc>
          <w:tcPr>
            <w:tcW w:type="dxa" w:w="2556"/>
            <w:vAlign w:val="center"/>
          </w:tcPr>
          <w:p>
            <w:pPr>
              <w:spacing w:after="0"/>
            </w:pPr>
            <w:r>
              <w:rPr>
                <w:sz w:val="18"/>
              </w:rPr>
              <w:t>12,000</w:t>
            </w:r>
          </w:p>
        </w:tc>
        <w:tc>
          <w:tcPr>
            <w:tcW w:type="dxa" w:w="2556"/>
            <w:vAlign w:val="center"/>
          </w:tcPr>
          <w:p>
            <w:pPr>
              <w:spacing w:after="0"/>
            </w:pPr>
            <w:r>
              <w:rPr>
                <w:sz w:val="18"/>
              </w:rPr>
              <w:t>Ratings, likes and feedback category</w:t>
            </w:r>
          </w:p>
        </w:tc>
        <w:tc>
          <w:tcPr>
            <w:tcW w:type="dxa" w:w="2556"/>
            <w:vAlign w:val="center"/>
          </w:tcPr>
          <w:p>
            <w:pPr>
              <w:spacing w:after="0"/>
            </w:pPr>
            <w:r>
              <w:rPr>
                <w:sz w:val="18"/>
              </w:rPr>
              <w:t>User_ID + Content_ID</w:t>
            </w:r>
          </w:p>
        </w:tc>
      </w:tr>
    </w:tbl>
    <w:p>
      <w:r>
        <w:rPr>
          <w:b/>
          <w:sz w:val="24"/>
        </w:rPr>
        <w:t>4. Initial Observations</w:t>
      </w:r>
    </w:p>
    <w:p>
      <w:pPr>
        <w:pStyle w:val="ListBullet"/>
      </w:pPr>
      <w:r>
        <w:t>User Profile, Subscription Retention and Ratings &amp; Feedback had no missing values or complete duplicate rows in the initial review.</w:t>
      </w:r>
    </w:p>
    <w:p>
      <w:pPr>
        <w:pStyle w:val="ListBullet"/>
      </w:pPr>
      <w:r>
        <w:t>Content Library contains missing metadata such as director, cast, country, rating and duration; treatment will be documented during Sprint 2.</w:t>
      </w:r>
    </w:p>
    <w:p>
      <w:pPr>
        <w:pStyle w:val="ListBullet"/>
      </w:pPr>
      <w:r>
        <w:t>Viewing Activity contains repeated Session_ID values, so Session_ID should not automatically be treated as a unique primary key.</w:t>
      </w:r>
    </w:p>
    <w:p>
      <w:pPr>
        <w:pStyle w:val="ListBullet"/>
      </w:pPr>
      <w:r>
        <w:t>An extra leading space was identified in a DizPlay+ platform value and requires standardization.</w:t>
      </w:r>
    </w:p>
    <w:p>
      <w:pPr>
        <w:pStyle w:val="ListBullet"/>
      </w:pPr>
      <w:r>
        <w:t>Content identifiers use different prefixes across tables (S-prefix in Content Library and C-prefix in Viewing Activity/Ratings); they require standardization before joins.</w:t>
      </w:r>
    </w:p>
    <w:p>
      <w:pPr>
        <w:pStyle w:val="ListBullet"/>
      </w:pPr>
      <w:r>
        <w:t>The datasets can be connected primarily through User_ID and standardized Content_ID/show_id relationships.</w:t>
      </w:r>
    </w:p>
    <w:p>
      <w:r>
        <w:rPr>
          <w:b/>
          <w:sz w:val="24"/>
        </w:rPr>
        <w:t>5. Project Scope Identified</w:t>
      </w:r>
    </w:p>
    <w:p>
      <w:pPr>
        <w:pStyle w:val="ListBullet"/>
      </w:pPr>
      <w:r>
        <w:t>Content performance and viewer engagement</w:t>
      </w:r>
    </w:p>
    <w:p>
      <w:pPr>
        <w:pStyle w:val="ListBullet"/>
      </w:pPr>
      <w:r>
        <w:t>Platform and content portfolio performance</w:t>
      </w:r>
    </w:p>
    <w:p>
      <w:pPr>
        <w:pStyle w:val="ListBullet"/>
      </w:pPr>
      <w:r>
        <w:t>User viewing behaviour across demographics</w:t>
      </w:r>
    </w:p>
    <w:p>
      <w:pPr>
        <w:pStyle w:val="ListBullet"/>
      </w:pPr>
      <w:r>
        <w:t>Device and time-based viewing patterns</w:t>
      </w:r>
    </w:p>
    <w:p>
      <w:pPr>
        <w:pStyle w:val="ListBullet"/>
      </w:pPr>
      <w:r>
        <w:t>Subscription retention and churn</w:t>
      </w:r>
    </w:p>
    <w:p>
      <w:pPr>
        <w:pStyle w:val="ListBullet"/>
      </w:pPr>
      <w:r>
        <w:t>Ratings, feedback and content success</w:t>
      </w:r>
    </w:p>
    <w:p>
      <w:r>
        <w:rPr>
          <w:b/>
          <w:sz w:val="24"/>
        </w:rPr>
        <w:t>6. NIIT Sprint Flow and Tools Acknowledged</w:t>
      </w:r>
    </w:p>
    <w:p>
      <w:r>
        <w:t>The project will follow the approved sprint sequence: dataset understanding and cleaning, business problem and hypotheses, Excel analysis, Python EDA, SQL analysis, Power BI dashboard and KPI development, statistical validation, simple linear regression, and business insights with strategic recommendations.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pPr>
              <w:spacing w:after="0"/>
            </w:pPr>
            <w:r>
              <w:rPr>
                <w:b/>
                <w:sz w:val="18"/>
              </w:rPr>
              <w:t>Tool</w:t>
            </w:r>
          </w:p>
        </w:tc>
        <w:tc>
          <w:tcPr>
            <w:tcW w:type="dxa" w:w="5112"/>
            <w:vAlign w:val="center"/>
          </w:tcPr>
          <w:p>
            <w:pPr>
              <w:spacing w:after="0"/>
            </w:pPr>
            <w:r>
              <w:rPr>
                <w:b/>
                <w:sz w:val="18"/>
              </w:rPr>
              <w:t>Planned Use</w:t>
            </w:r>
          </w:p>
        </w:tc>
      </w:tr>
      <w:tr>
        <w:tc>
          <w:tcPr>
            <w:tcW w:type="dxa" w:w="5112"/>
            <w:vAlign w:val="center"/>
          </w:tcPr>
          <w:p>
            <w:pPr>
              <w:spacing w:after="0"/>
            </w:pPr>
            <w:r>
              <w:rPr>
                <w:sz w:val="18"/>
              </w:rPr>
              <w:t>Excel</w:t>
            </w:r>
          </w:p>
        </w:tc>
        <w:tc>
          <w:tcPr>
            <w:tcW w:type="dxa" w:w="5112"/>
            <w:vAlign w:val="center"/>
          </w:tcPr>
          <w:p>
            <w:pPr>
              <w:spacing w:after="0"/>
            </w:pPr>
            <w:r>
              <w:rPr>
                <w:sz w:val="18"/>
              </w:rPr>
              <w:t>Cleaning checks, PivotTables, descriptive analysis and business charts</w:t>
            </w:r>
          </w:p>
        </w:tc>
      </w:tr>
      <w:tr>
        <w:tc>
          <w:tcPr>
            <w:tcW w:type="dxa" w:w="5112"/>
            <w:vAlign w:val="center"/>
          </w:tcPr>
          <w:p>
            <w:pPr>
              <w:spacing w:after="0"/>
            </w:pPr>
            <w:r>
              <w:rPr>
                <w:sz w:val="18"/>
              </w:rPr>
              <w:t>Python</w:t>
            </w:r>
          </w:p>
        </w:tc>
        <w:tc>
          <w:tcPr>
            <w:tcW w:type="dxa" w:w="5112"/>
            <w:vAlign w:val="center"/>
          </w:tcPr>
          <w:p>
            <w:pPr>
              <w:spacing w:after="0"/>
            </w:pPr>
            <w:r>
              <w:rPr>
                <w:sz w:val="18"/>
              </w:rPr>
              <w:t>Data cleaning, EDA, visualisation, statistical validation and regression</w:t>
            </w:r>
          </w:p>
        </w:tc>
      </w:tr>
      <w:tr>
        <w:tc>
          <w:tcPr>
            <w:tcW w:type="dxa" w:w="5112"/>
            <w:vAlign w:val="center"/>
          </w:tcPr>
          <w:p>
            <w:pPr>
              <w:spacing w:after="0"/>
            </w:pPr>
            <w:r>
              <w:rPr>
                <w:sz w:val="18"/>
              </w:rPr>
              <w:t>SQL</w:t>
            </w:r>
          </w:p>
        </w:tc>
        <w:tc>
          <w:tcPr>
            <w:tcW w:type="dxa" w:w="5112"/>
            <w:vAlign w:val="center"/>
          </w:tcPr>
          <w:p>
            <w:pPr>
              <w:spacing w:after="0"/>
            </w:pPr>
            <w:r>
              <w:rPr>
                <w:sz w:val="18"/>
              </w:rPr>
              <w:t>Joins, filtering, aggregation and structured business queries</w:t>
            </w:r>
          </w:p>
        </w:tc>
      </w:tr>
      <w:tr>
        <w:tc>
          <w:tcPr>
            <w:tcW w:type="dxa" w:w="5112"/>
            <w:vAlign w:val="center"/>
          </w:tcPr>
          <w:p>
            <w:pPr>
              <w:spacing w:after="0"/>
            </w:pPr>
            <w:r>
              <w:rPr>
                <w:sz w:val="18"/>
              </w:rPr>
              <w:t>Power BI</w:t>
            </w:r>
          </w:p>
        </w:tc>
        <w:tc>
          <w:tcPr>
            <w:tcW w:type="dxa" w:w="5112"/>
            <w:vAlign w:val="center"/>
          </w:tcPr>
          <w:p>
            <w:pPr>
              <w:spacing w:after="0"/>
            </w:pPr>
            <w:r>
              <w:rPr>
                <w:sz w:val="18"/>
              </w:rPr>
              <w:t>Data model, DAX KPIs, interactive dashboard and visual storytelling</w:t>
            </w:r>
          </w:p>
        </w:tc>
      </w:tr>
      <w:tr>
        <w:tc>
          <w:tcPr>
            <w:tcW w:type="dxa" w:w="5112"/>
            <w:vAlign w:val="center"/>
          </w:tcPr>
          <w:p>
            <w:pPr>
              <w:spacing w:after="0"/>
            </w:pPr>
            <w:r>
              <w:rPr>
                <w:sz w:val="18"/>
              </w:rPr>
              <w:t>Git</w:t>
            </w:r>
          </w:p>
        </w:tc>
        <w:tc>
          <w:tcPr>
            <w:tcW w:type="dxa" w:w="5112"/>
            <w:vAlign w:val="center"/>
          </w:tcPr>
          <w:p>
            <w:pPr>
              <w:spacing w:after="0"/>
            </w:pPr>
            <w:r>
              <w:rPr>
                <w:sz w:val="18"/>
              </w:rPr>
              <w:t>Version control, project structure and meaningful commits</w:t>
            </w:r>
          </w:p>
        </w:tc>
      </w:tr>
    </w:tbl>
    <w:p>
      <w:r>
        <w:rPr>
          <w:b/>
          <w:sz w:val="24"/>
        </w:rPr>
        <w:t>7. Phase 1 Completion Status</w:t>
      </w:r>
    </w:p>
    <w:p>
      <w:r>
        <w:t>Phase 1 is completed. The project topic has been selected, the MediaTech business context and analytical direction have been understood, the NIIT sprint requirements have been reviewed, and the five datasets have undergone an initial structural and quality review. The project is ready to proceed to Sprint 2.</w:t>
      </w:r>
    </w:p>
    <w:p>
      <w:r>
        <w:rPr>
          <w:b/>
        </w:rPr>
        <w:t xml:space="preserve">Next Phase: </w:t>
      </w:r>
      <w:r>
        <w:t>Sprint 2 — Detailed data cleaning, preprocessing log, data dictionary, cleaned datasets, relationship validation and Git repository.</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MediaTech | OTT Platform Viewing Patterns Analysis | Phase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