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PHASE 2 DOCUMENTATION</w:t>
      </w:r>
    </w:p>
    <w:p>
      <w:pPr>
        <w:jc w:val="center"/>
      </w:pPr>
      <w:r>
        <w:rPr>
          <w:b/>
          <w:sz w:val="24"/>
        </w:rPr>
        <w:t>Data Familiarisation, Cleaning &amp; Version Control</w:t>
      </w:r>
    </w:p>
    <w:p>
      <w:pPr>
        <w:jc w:val="center"/>
      </w:pPr>
      <w:r>
        <w:rPr>
          <w:i/>
        </w:rPr>
        <w:t>OTT Platform Viewing Patterns Analysis | Business Analytics Project</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pPr>
              <w:spacing w:after="0"/>
            </w:pPr>
            <w:r>
              <w:rPr>
                <w:b/>
                <w:sz w:val="16"/>
              </w:rPr>
              <w:t>Project</w:t>
            </w:r>
          </w:p>
        </w:tc>
        <w:tc>
          <w:tcPr>
            <w:tcW w:type="dxa" w:w="5184"/>
            <w:vAlign w:val="center"/>
          </w:tcPr>
          <w:p>
            <w:pPr>
              <w:spacing w:after="0"/>
            </w:pPr>
            <w:r>
              <w:rPr>
                <w:sz w:val="16"/>
              </w:rPr>
              <w:t>Glowwith Flow — OTT Platform Viewing Patterns Analysis</w:t>
            </w:r>
          </w:p>
        </w:tc>
      </w:tr>
      <w:tr>
        <w:tc>
          <w:tcPr>
            <w:tcW w:type="dxa" w:w="5184"/>
            <w:vAlign w:val="center"/>
          </w:tcPr>
          <w:p>
            <w:pPr>
              <w:spacing w:after="0"/>
            </w:pPr>
            <w:r>
              <w:rPr>
                <w:b/>
                <w:sz w:val="16"/>
              </w:rPr>
              <w:t>Phase</w:t>
            </w:r>
          </w:p>
        </w:tc>
        <w:tc>
          <w:tcPr>
            <w:tcW w:type="dxa" w:w="5184"/>
            <w:vAlign w:val="center"/>
          </w:tcPr>
          <w:p>
            <w:pPr>
              <w:spacing w:after="0"/>
            </w:pPr>
            <w:r>
              <w:rPr>
                <w:sz w:val="16"/>
              </w:rPr>
              <w:t>Phase 2: Data Familiarisation, Cleaning &amp; Version Control</w:t>
            </w:r>
          </w:p>
        </w:tc>
      </w:tr>
      <w:tr>
        <w:tc>
          <w:tcPr>
            <w:tcW w:type="dxa" w:w="5184"/>
            <w:vAlign w:val="center"/>
          </w:tcPr>
          <w:p>
            <w:pPr>
              <w:spacing w:after="0"/>
            </w:pPr>
            <w:r>
              <w:rPr>
                <w:b/>
                <w:sz w:val="16"/>
              </w:rPr>
              <w:t>Primary Tool</w:t>
            </w:r>
          </w:p>
        </w:tc>
        <w:tc>
          <w:tcPr>
            <w:tcW w:type="dxa" w:w="5184"/>
            <w:vAlign w:val="center"/>
          </w:tcPr>
          <w:p>
            <w:pPr>
              <w:spacing w:after="0"/>
            </w:pPr>
            <w:r>
              <w:rPr>
                <w:sz w:val="16"/>
              </w:rPr>
              <w:t>Python / Pandas with Excel outputs</w:t>
            </w:r>
          </w:p>
        </w:tc>
      </w:tr>
      <w:tr>
        <w:tc>
          <w:tcPr>
            <w:tcW w:type="dxa" w:w="5184"/>
            <w:vAlign w:val="center"/>
          </w:tcPr>
          <w:p>
            <w:pPr>
              <w:spacing w:after="0"/>
            </w:pPr>
            <w:r>
              <w:rPr>
                <w:b/>
                <w:sz w:val="16"/>
              </w:rPr>
              <w:t>Datasets</w:t>
            </w:r>
          </w:p>
        </w:tc>
        <w:tc>
          <w:tcPr>
            <w:tcW w:type="dxa" w:w="5184"/>
            <w:vAlign w:val="center"/>
          </w:tcPr>
          <w:p>
            <w:pPr>
              <w:spacing w:after="0"/>
            </w:pPr>
            <w:r>
              <w:rPr>
                <w:sz w:val="16"/>
              </w:rPr>
              <w:t>5 relational Excel datasets | 63,797 total records</w:t>
            </w:r>
          </w:p>
        </w:tc>
      </w:tr>
      <w:tr>
        <w:tc>
          <w:tcPr>
            <w:tcW w:type="dxa" w:w="5184"/>
            <w:vAlign w:val="center"/>
          </w:tcPr>
          <w:p>
            <w:pPr>
              <w:spacing w:after="0"/>
            </w:pPr>
            <w:r>
              <w:rPr>
                <w:b/>
                <w:sz w:val="16"/>
              </w:rPr>
              <w:t>Status</w:t>
            </w:r>
          </w:p>
        </w:tc>
        <w:tc>
          <w:tcPr>
            <w:tcW w:type="dxa" w:w="5184"/>
            <w:vAlign w:val="center"/>
          </w:tcPr>
          <w:p>
            <w:pPr>
              <w:spacing w:after="0"/>
            </w:pPr>
            <w:r>
              <w:rPr>
                <w:sz w:val="16"/>
              </w:rPr>
              <w:t>COMPLETED</w:t>
            </w:r>
          </w:p>
        </w:tc>
      </w:tr>
    </w:tbl>
    <w:p>
      <w:pPr>
        <w:spacing w:before="80" w:after="40"/>
      </w:pPr>
      <w:r>
        <w:rPr>
          <w:b/>
          <w:sz w:val="24"/>
        </w:rPr>
        <w:t>1. Phase 2 Objective</w:t>
      </w:r>
    </w:p>
    <w:p>
      <w:r>
        <w:t>The purpose of Phase 2 was to understand the structure and quality of the five project datasets before exploratory analysis, KPI development and dashboard creation. The work covered field and data-type profiling, missing-value and duplicate checks, business-rule validation, outlier investigation, preprocessing documentation and export of cleaned datasets.</w:t>
      </w:r>
    </w:p>
    <w:p>
      <w:pPr>
        <w:spacing w:before="80" w:after="40"/>
      </w:pPr>
      <w:r>
        <w:rPr>
          <w:b/>
          <w:sz w:val="24"/>
        </w:rPr>
        <w:t>2. Dataset Overview</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Pr>
          <w:p>
            <w:pPr>
              <w:spacing w:after="0"/>
            </w:pPr>
            <w:r>
              <w:rPr>
                <w:b/>
                <w:sz w:val="16"/>
              </w:rPr>
              <w:t>Dataset</w:t>
            </w:r>
          </w:p>
        </w:tc>
        <w:tc>
          <w:tcPr>
            <w:tcW w:type="dxa" w:w="2592"/>
            <w:vAlign w:val="center"/>
          </w:tcPr>
          <w:p>
            <w:pPr>
              <w:spacing w:after="0"/>
            </w:pPr>
            <w:r>
              <w:rPr>
                <w:b/>
                <w:sz w:val="16"/>
              </w:rPr>
              <w:t>Records</w:t>
            </w:r>
          </w:p>
        </w:tc>
        <w:tc>
          <w:tcPr>
            <w:tcW w:type="dxa" w:w="2592"/>
            <w:vAlign w:val="center"/>
          </w:tcPr>
          <w:p>
            <w:pPr>
              <w:spacing w:after="0"/>
            </w:pPr>
            <w:r>
              <w:rPr>
                <w:b/>
                <w:sz w:val="16"/>
              </w:rPr>
              <w:t>Columns</w:t>
            </w:r>
          </w:p>
        </w:tc>
        <w:tc>
          <w:tcPr>
            <w:tcW w:type="dxa" w:w="2592"/>
            <w:vAlign w:val="center"/>
          </w:tcPr>
          <w:p>
            <w:pPr>
              <w:spacing w:after="0"/>
            </w:pPr>
            <w:r>
              <w:rPr>
                <w:b/>
                <w:sz w:val="16"/>
              </w:rPr>
              <w:t>Primary Purpose</w:t>
            </w:r>
          </w:p>
        </w:tc>
      </w:tr>
      <w:tr>
        <w:tc>
          <w:tcPr>
            <w:tcW w:type="dxa" w:w="2592"/>
            <w:vAlign w:val="center"/>
          </w:tcPr>
          <w:p>
            <w:pPr>
              <w:spacing w:after="0"/>
            </w:pPr>
            <w:r>
              <w:rPr>
                <w:sz w:val="16"/>
              </w:rPr>
              <w:t>User Profile</w:t>
            </w:r>
          </w:p>
        </w:tc>
        <w:tc>
          <w:tcPr>
            <w:tcW w:type="dxa" w:w="2592"/>
            <w:vAlign w:val="center"/>
          </w:tcPr>
          <w:p>
            <w:pPr>
              <w:spacing w:after="0"/>
            </w:pPr>
            <w:r>
              <w:rPr>
                <w:sz w:val="16"/>
              </w:rPr>
              <w:t>2,000</w:t>
            </w:r>
          </w:p>
        </w:tc>
        <w:tc>
          <w:tcPr>
            <w:tcW w:type="dxa" w:w="2592"/>
            <w:vAlign w:val="center"/>
          </w:tcPr>
          <w:p>
            <w:pPr>
              <w:spacing w:after="0"/>
            </w:pPr>
            <w:r>
              <w:rPr>
                <w:sz w:val="16"/>
              </w:rPr>
              <w:t>9</w:t>
            </w:r>
          </w:p>
        </w:tc>
        <w:tc>
          <w:tcPr>
            <w:tcW w:type="dxa" w:w="2592"/>
            <w:vAlign w:val="center"/>
          </w:tcPr>
          <w:p>
            <w:pPr>
              <w:spacing w:after="0"/>
            </w:pPr>
            <w:r>
              <w:rPr>
                <w:sz w:val="16"/>
              </w:rPr>
              <w:t>Customer demographics, subscription attributes and engagement</w:t>
            </w:r>
          </w:p>
        </w:tc>
      </w:tr>
      <w:tr>
        <w:tc>
          <w:tcPr>
            <w:tcW w:type="dxa" w:w="2592"/>
            <w:vAlign w:val="center"/>
          </w:tcPr>
          <w:p>
            <w:pPr>
              <w:spacing w:after="0"/>
            </w:pPr>
            <w:r>
              <w:rPr>
                <w:sz w:val="16"/>
              </w:rPr>
              <w:t>Content Library</w:t>
            </w:r>
          </w:p>
        </w:tc>
        <w:tc>
          <w:tcPr>
            <w:tcW w:type="dxa" w:w="2592"/>
            <w:vAlign w:val="center"/>
          </w:tcPr>
          <w:p>
            <w:pPr>
              <w:spacing w:after="0"/>
            </w:pPr>
            <w:r>
              <w:rPr>
                <w:sz w:val="16"/>
              </w:rPr>
              <w:t>17,797</w:t>
            </w:r>
          </w:p>
        </w:tc>
        <w:tc>
          <w:tcPr>
            <w:tcW w:type="dxa" w:w="2592"/>
            <w:vAlign w:val="center"/>
          </w:tcPr>
          <w:p>
            <w:pPr>
              <w:spacing w:after="0"/>
            </w:pPr>
            <w:r>
              <w:rPr>
                <w:sz w:val="16"/>
              </w:rPr>
              <w:t>19</w:t>
            </w:r>
          </w:p>
        </w:tc>
        <w:tc>
          <w:tcPr>
            <w:tcW w:type="dxa" w:w="2592"/>
            <w:vAlign w:val="center"/>
          </w:tcPr>
          <w:p>
            <w:pPr>
              <w:spacing w:after="0"/>
            </w:pPr>
            <w:r>
              <w:rPr>
                <w:sz w:val="16"/>
              </w:rPr>
              <w:t>Content catalogue, metadata, platform and content characteristics</w:t>
            </w:r>
          </w:p>
        </w:tc>
      </w:tr>
      <w:tr>
        <w:tc>
          <w:tcPr>
            <w:tcW w:type="dxa" w:w="2592"/>
            <w:vAlign w:val="center"/>
          </w:tcPr>
          <w:p>
            <w:pPr>
              <w:spacing w:after="0"/>
            </w:pPr>
            <w:r>
              <w:rPr>
                <w:sz w:val="16"/>
              </w:rPr>
              <w:t>Viewing Activity</w:t>
            </w:r>
          </w:p>
        </w:tc>
        <w:tc>
          <w:tcPr>
            <w:tcW w:type="dxa" w:w="2592"/>
            <w:vAlign w:val="center"/>
          </w:tcPr>
          <w:p>
            <w:pPr>
              <w:spacing w:after="0"/>
            </w:pPr>
            <w:r>
              <w:rPr>
                <w:sz w:val="16"/>
              </w:rPr>
              <w:t>30,000</w:t>
            </w:r>
          </w:p>
        </w:tc>
        <w:tc>
          <w:tcPr>
            <w:tcW w:type="dxa" w:w="2592"/>
            <w:vAlign w:val="center"/>
          </w:tcPr>
          <w:p>
            <w:pPr>
              <w:spacing w:after="0"/>
            </w:pPr>
            <w:r>
              <w:rPr>
                <w:sz w:val="16"/>
              </w:rPr>
              <w:t>10</w:t>
            </w:r>
          </w:p>
        </w:tc>
        <w:tc>
          <w:tcPr>
            <w:tcW w:type="dxa" w:w="2592"/>
            <w:vAlign w:val="center"/>
          </w:tcPr>
          <w:p>
            <w:pPr>
              <w:spacing w:after="0"/>
            </w:pPr>
            <w:r>
              <w:rPr>
                <w:sz w:val="16"/>
              </w:rPr>
              <w:t>Viewing behaviour, duration, completion, pauses, devices and time</w:t>
            </w:r>
          </w:p>
        </w:tc>
      </w:tr>
      <w:tr>
        <w:tc>
          <w:tcPr>
            <w:tcW w:type="dxa" w:w="2592"/>
            <w:vAlign w:val="center"/>
          </w:tcPr>
          <w:p>
            <w:pPr>
              <w:spacing w:after="0"/>
            </w:pPr>
            <w:r>
              <w:rPr>
                <w:sz w:val="16"/>
              </w:rPr>
              <w:t>Ratings &amp; Feedback</w:t>
            </w:r>
          </w:p>
        </w:tc>
        <w:tc>
          <w:tcPr>
            <w:tcW w:type="dxa" w:w="2592"/>
            <w:vAlign w:val="center"/>
          </w:tcPr>
          <w:p>
            <w:pPr>
              <w:spacing w:after="0"/>
            </w:pPr>
            <w:r>
              <w:rPr>
                <w:sz w:val="16"/>
              </w:rPr>
              <w:t>12,000</w:t>
            </w:r>
          </w:p>
        </w:tc>
        <w:tc>
          <w:tcPr>
            <w:tcW w:type="dxa" w:w="2592"/>
            <w:vAlign w:val="center"/>
          </w:tcPr>
          <w:p>
            <w:pPr>
              <w:spacing w:after="0"/>
            </w:pPr>
            <w:r>
              <w:rPr>
                <w:sz w:val="16"/>
              </w:rPr>
              <w:t>5</w:t>
            </w:r>
          </w:p>
        </w:tc>
        <w:tc>
          <w:tcPr>
            <w:tcW w:type="dxa" w:w="2592"/>
            <w:vAlign w:val="center"/>
          </w:tcPr>
          <w:p>
            <w:pPr>
              <w:spacing w:after="0"/>
            </w:pPr>
            <w:r>
              <w:rPr>
                <w:sz w:val="16"/>
              </w:rPr>
              <w:t>Customer ratings, likes and feedback sentiment</w:t>
            </w:r>
          </w:p>
        </w:tc>
      </w:tr>
      <w:tr>
        <w:tc>
          <w:tcPr>
            <w:tcW w:type="dxa" w:w="2592"/>
            <w:vAlign w:val="center"/>
          </w:tcPr>
          <w:p>
            <w:pPr>
              <w:spacing w:after="0"/>
            </w:pPr>
            <w:r>
              <w:rPr>
                <w:sz w:val="16"/>
              </w:rPr>
              <w:t>Subscription &amp; Retention</w:t>
            </w:r>
          </w:p>
        </w:tc>
        <w:tc>
          <w:tcPr>
            <w:tcW w:type="dxa" w:w="2592"/>
            <w:vAlign w:val="center"/>
          </w:tcPr>
          <w:p>
            <w:pPr>
              <w:spacing w:after="0"/>
            </w:pPr>
            <w:r>
              <w:rPr>
                <w:sz w:val="16"/>
              </w:rPr>
              <w:t>2,000</w:t>
            </w:r>
          </w:p>
        </w:tc>
        <w:tc>
          <w:tcPr>
            <w:tcW w:type="dxa" w:w="2592"/>
            <w:vAlign w:val="center"/>
          </w:tcPr>
          <w:p>
            <w:pPr>
              <w:spacing w:after="0"/>
            </w:pPr>
            <w:r>
              <w:rPr>
                <w:sz w:val="16"/>
              </w:rPr>
              <w:t>5</w:t>
            </w:r>
          </w:p>
        </w:tc>
        <w:tc>
          <w:tcPr>
            <w:tcW w:type="dxa" w:w="2592"/>
            <w:vAlign w:val="center"/>
          </w:tcPr>
          <w:p>
            <w:pPr>
              <w:spacing w:after="0"/>
            </w:pPr>
            <w:r>
              <w:rPr>
                <w:sz w:val="16"/>
              </w:rPr>
              <w:t>Subscription plans, renewal and churn</w:t>
            </w:r>
          </w:p>
        </w:tc>
      </w:tr>
      <w:tr>
        <w:tc>
          <w:tcPr>
            <w:tcW w:type="dxa" w:w="2592"/>
            <w:vAlign w:val="center"/>
          </w:tcPr>
          <w:p>
            <w:pPr>
              <w:spacing w:after="0"/>
            </w:pPr>
            <w:r>
              <w:rPr>
                <w:sz w:val="16"/>
              </w:rPr>
              <w:t>TOTAL</w:t>
            </w:r>
          </w:p>
        </w:tc>
        <w:tc>
          <w:tcPr>
            <w:tcW w:type="dxa" w:w="2592"/>
            <w:vAlign w:val="center"/>
          </w:tcPr>
          <w:p>
            <w:pPr>
              <w:spacing w:after="0"/>
            </w:pPr>
            <w:r>
              <w:rPr>
                <w:sz w:val="16"/>
              </w:rPr>
              <w:t>63,797</w:t>
            </w:r>
          </w:p>
        </w:tc>
        <w:tc>
          <w:tcPr>
            <w:tcW w:type="dxa" w:w="2592"/>
            <w:vAlign w:val="center"/>
          </w:tcPr>
          <w:p>
            <w:pPr>
              <w:spacing w:after="0"/>
            </w:pPr>
            <w:r>
              <w:rPr>
                <w:sz w:val="16"/>
              </w:rPr>
              <w:t>56 fields across datasets</w:t>
            </w:r>
          </w:p>
        </w:tc>
        <w:tc>
          <w:tcPr>
            <w:tcW w:type="dxa" w:w="2592"/>
            <w:vAlign w:val="center"/>
          </w:tcPr>
          <w:p>
            <w:pPr>
              <w:spacing w:after="0"/>
            </w:pPr>
            <w:r>
              <w:rPr>
                <w:sz w:val="16"/>
              </w:rPr>
              <w:t>Integrated business analysis foundation</w:t>
            </w:r>
          </w:p>
        </w:tc>
      </w:tr>
    </w:tbl>
    <w:p>
      <w:r>
        <w:t>Relationship validation established that User_ID is used across customer-related datasets. Content_ID in Viewing Activity uses the Cxxxxx format and was validated against Content Library show_id using the corresponding numeric identifier (Cxxxxx → Sxxxxx), producing a 100% match for all 30,000 viewing records.</w:t>
      </w:r>
    </w:p>
    <w:p>
      <w:pPr>
        <w:spacing w:before="80" w:after="40"/>
      </w:pPr>
      <w:r>
        <w:rPr>
          <w:b/>
          <w:sz w:val="24"/>
        </w:rPr>
        <w:t>3. Dataset 1 — User Profile</w:t>
      </w:r>
    </w:p>
    <w:p>
      <w:r>
        <w:t>2,000 records and 9 fields: User_ID, Gender, Age_Group, Region, Subscription_Type, Subscription_Start_Date, Subscription_End_Date, Device_Type and Engagement_Level.</w:t>
      </w:r>
    </w:p>
    <w:p>
      <w:pPr>
        <w:pStyle w:val="ListBullet"/>
      </w:pPr>
      <w:r>
        <w:t>Duplicate complete rows: 0</w:t>
      </w:r>
    </w:p>
    <w:p>
      <w:pPr>
        <w:pStyle w:val="ListBullet"/>
      </w:pPr>
      <w:r>
        <w:t>User_ID count: 2,000; unique User_ID: 2,000; duplicate User_ID: 0</w:t>
      </w:r>
    </w:p>
    <w:p>
      <w:pPr>
        <w:pStyle w:val="ListBullet"/>
      </w:pPr>
      <w:r>
        <w:t>Missing values: 0 across all fields</w:t>
      </w:r>
    </w:p>
    <w:p>
      <w:pPr>
        <w:pStyle w:val="ListBullet"/>
      </w:pPr>
      <w:r>
        <w:t>Subscription dates correctly typed as datetime</w:t>
      </w:r>
    </w:p>
    <w:p>
      <w:pPr>
        <w:pStyle w:val="ListBullet"/>
      </w:pPr>
      <w:r>
        <w:t>Invalid end-before-start dates: 0</w:t>
      </w:r>
    </w:p>
    <w:p>
      <w:pPr>
        <w:pStyle w:val="ListBullet"/>
      </w:pPr>
      <w:r>
        <w:t>Leading/trailing spaces in checked text fields: 0</w:t>
      </w:r>
    </w:p>
    <w:p>
      <w:pPr>
        <w:pStyle w:val="ListBullet"/>
      </w:pPr>
      <w:r>
        <w:t>Decision: No corrective transformation required; clean copy exported.</w:t>
      </w:r>
    </w:p>
    <w:p>
      <w:pPr>
        <w:spacing w:before="80" w:after="40"/>
      </w:pPr>
      <w:r>
        <w:rPr>
          <w:b/>
          <w:sz w:val="24"/>
        </w:rPr>
        <w:t>4. Dataset 2 — Content Library</w:t>
      </w:r>
    </w:p>
    <w:p>
      <w:r>
        <w:t>17,797 records and 19 fields covering content metadata, platform and derived analytical fields.</w:t>
      </w:r>
    </w:p>
    <w:p>
      <w:pPr>
        <w:pStyle w:val="ListBullet"/>
      </w:pPr>
      <w:r>
        <w:t>Duplicate complete rows: 0; duplicate show_id: 0</w:t>
      </w:r>
    </w:p>
    <w:p>
      <w:pPr>
        <w:pStyle w:val="ListBullet"/>
      </w:pPr>
      <w:r>
        <w:t>Content type: 12,921 Movies and 4,876 TV Shows</w:t>
      </w:r>
    </w:p>
    <w:p>
      <w:pPr>
        <w:pStyle w:val="ListBullet"/>
      </w:pPr>
      <w:r>
        <w:t>Platform distribution: 8,431 NetStream; 8,168 AmazePrime; 1,198 DizPlay+</w:t>
      </w:r>
    </w:p>
    <w:p>
      <w:pPr>
        <w:pStyle w:val="ListBullet"/>
      </w:pPr>
      <w:r>
        <w:t>Missing director, cast, country and rating were handled using explicit 'Unknown' placeholders.</w:t>
      </w:r>
    </w:p>
    <w:p>
      <w:pPr>
        <w:pStyle w:val="ListBullet"/>
      </w:pPr>
      <w:r>
        <w:t>Missing titles were filled with 'Unknown Title'.</w:t>
      </w:r>
    </w:p>
    <w:p>
      <w:pPr>
        <w:pStyle w:val="ListBullet"/>
      </w:pPr>
      <w:r>
        <w:t>Missing descriptions were filled with 'No description available'.</w:t>
      </w:r>
    </w:p>
    <w:p>
      <w:pPr>
        <w:pStyle w:val="ListBullet"/>
      </w:pPr>
      <w:r>
        <w:t>Missing duration text was set to 'Unknown'; the 3 unavailable numeric Duration_Minutes values remain missing.</w:t>
      </w:r>
    </w:p>
    <w:p>
      <w:pPr>
        <w:pStyle w:val="ListBullet"/>
      </w:pPr>
      <w:r>
        <w:t>Leading/trailing whitespace was trimmed and text 'nan' values were converted to actual missing values before filling.</w:t>
      </w:r>
    </w:p>
    <w:p>
      <w:pPr>
        <w:pStyle w:val="ListBullet"/>
      </w:pPr>
      <w:r>
        <w:t>Platform values were standardized so ' DizPlay+' became 'DizPlay+'.</w:t>
      </w:r>
    </w:p>
    <w:p>
      <w:r>
        <w:t>Cleaning principle: descriptive information was not invented. Numeric Duration_Minutes values that could not be safely inferred were deliberately retained as missing.</w:t>
      </w:r>
    </w:p>
    <w:p>
      <w:pPr>
        <w:spacing w:before="80" w:after="40"/>
      </w:pPr>
      <w:r>
        <w:rPr>
          <w:b/>
          <w:sz w:val="24"/>
        </w:rPr>
        <w:t>5. Dataset 3 — Viewing Activity</w:t>
      </w:r>
    </w:p>
    <w:p>
      <w:r>
        <w:t>30,000 records and 10 fields covering Session_ID, User_ID, Content_ID, View_Date, Watch_Duration_Minutes, Completion_Percentage, Paused_Times, Rewatched_Flag, Time_of_Day and Device_Type.</w:t>
      </w:r>
    </w:p>
    <w:p>
      <w:pPr>
        <w:pStyle w:val="ListBullet"/>
      </w:pPr>
      <w:r>
        <w:t>Missing values: 0; duplicate complete rows: 0.</w:t>
      </w:r>
    </w:p>
    <w:p>
      <w:pPr>
        <w:pStyle w:val="ListBullet"/>
      </w:pPr>
      <w:r>
        <w:t>Repeated Session_ID: 490; retained because complete records were not duplicates and represented different combinations.</w:t>
      </w:r>
    </w:p>
    <w:p>
      <w:pPr>
        <w:pStyle w:val="ListBullet"/>
      </w:pPr>
      <w:r>
        <w:t>Completion below 0: 0; completion above 100: 0.</w:t>
      </w:r>
    </w:p>
    <w:p>
      <w:pPr>
        <w:pStyle w:val="ListBullet"/>
      </w:pPr>
      <w:r>
        <w:t>Negative watch duration: 0; negative pauses: 0.</w:t>
      </w:r>
    </w:p>
    <w:p>
      <w:pPr>
        <w:pStyle w:val="ListBullet"/>
      </w:pPr>
      <w:r>
        <w:t>IQR watch-duration candidates: 5,500; retained after investigation.</w:t>
      </w:r>
    </w:p>
    <w:p>
      <w:pPr>
        <w:pStyle w:val="ListBullet"/>
      </w:pPr>
      <w:r>
        <w:t>Records above 1,000 minutes: 1,025; above 2,000: 264; above 5,000: 27; above 10,000: 3.</w:t>
      </w:r>
    </w:p>
    <w:p>
      <w:pPr>
        <w:pStyle w:val="ListBullet"/>
      </w:pPr>
      <w:r>
        <w:t>All 30,000 Content_ID values matched Content Library after standardized numeric-key validation (100%).</w:t>
      </w:r>
    </w:p>
    <w:p>
      <w:r>
        <w:t>Outlier decision: Q1 = 29 minutes, Q3 = 116.25 minutes, IQR = 87.25 minutes and upper IQR boundary = 247.125 minutes. Potential statistical outliers were not automatically deleted. Large values were compared with content duration and completion percentage and were found to be plausible for long-form/series content. Session_ID was therefore not treated as a unique primary key.</w:t>
      </w:r>
    </w:p>
    <w:p>
      <w:pPr>
        <w:spacing w:before="80" w:after="40"/>
      </w:pPr>
      <w:r>
        <w:rPr>
          <w:b/>
          <w:sz w:val="24"/>
        </w:rPr>
        <w:t>6. Dataset 4 — Ratings &amp; Feedback</w:t>
      </w:r>
    </w:p>
    <w:p>
      <w:r>
        <w:t>12,000 records and 5 fields: User_ID, Content_ID, Rating, Liked_Flag and Feedback_Category.</w:t>
      </w:r>
    </w:p>
    <w:p>
      <w:pPr>
        <w:pStyle w:val="ListBullet"/>
      </w:pPr>
      <w:r>
        <w:t>Missing values: 0; duplicate complete rows: 0; duplicate User_ID + Content_ID pairs: 0.</w:t>
      </w:r>
    </w:p>
    <w:p>
      <w:pPr>
        <w:pStyle w:val="ListBullet"/>
      </w:pPr>
      <w:r>
        <w:t>Rating range: 1–5; mean rating: 3.0096.</w:t>
      </w:r>
    </w:p>
    <w:p>
      <w:pPr>
        <w:pStyle w:val="ListBullet"/>
      </w:pPr>
      <w:r>
        <w:t>Rating counts: 1=2,402; 2=2,328; 3=2,434; 4=2,425; 5=2,411.</w:t>
      </w:r>
    </w:p>
    <w:p>
      <w:pPr>
        <w:pStyle w:val="ListBullet"/>
      </w:pPr>
      <w:r>
        <w:t>Liked_Flag: Y=8,425; N=3,575.</w:t>
      </w:r>
    </w:p>
    <w:p>
      <w:pPr>
        <w:pStyle w:val="ListBullet"/>
      </w:pPr>
      <w:r>
        <w:t>Feedback: Positive=4,836; Negative=4,730; Neutral=2,434.</w:t>
      </w:r>
    </w:p>
    <w:p>
      <w:pPr>
        <w:pStyle w:val="ListBullet"/>
      </w:pPr>
      <w:r>
        <w:t>Logical validation confirmed ratings 1–2 map to Negative, 3 to Neutral, and 4–5 to Positive.</w:t>
      </w:r>
    </w:p>
    <w:p>
      <w:pPr>
        <w:pStyle w:val="ListBullet"/>
      </w:pPr>
      <w:r>
        <w:t>Ratings 4 and 5 are consistently marked Y in Liked_Flag.</w:t>
      </w:r>
    </w:p>
    <w:p>
      <w:pPr>
        <w:pStyle w:val="ListBullet"/>
      </w:pPr>
      <w:r>
        <w:t>Rating outliers were not removed because 1–5 is a bounded business scale and extreme ratings are valid opinions.</w:t>
      </w:r>
    </w:p>
    <w:p>
      <w:pPr>
        <w:spacing w:before="80" w:after="40"/>
      </w:pPr>
      <w:r>
        <w:rPr>
          <w:b/>
          <w:sz w:val="24"/>
        </w:rPr>
        <w:t>7. Dataset 5 — Subscription &amp; Retention</w:t>
      </w:r>
    </w:p>
    <w:p>
      <w:r>
        <w:t>2,000 records and 5 fields: User_ID, Subscription_Type, Monthly_Fee, Renewal_Status and Churn_Flag.</w:t>
      </w:r>
    </w:p>
    <w:p>
      <w:pPr>
        <w:pStyle w:val="ListBullet"/>
      </w:pPr>
      <w:r>
        <w:t>Missing values: 0; duplicate complete rows: 0.</w:t>
      </w:r>
    </w:p>
    <w:p>
      <w:pPr>
        <w:pStyle w:val="ListBullet"/>
      </w:pPr>
      <w:r>
        <w:t>Subscription Type: Free Trial=681; Basic=660; Premium=659.</w:t>
      </w:r>
    </w:p>
    <w:p>
      <w:pPr>
        <w:pStyle w:val="ListBullet"/>
      </w:pPr>
      <w:r>
        <w:t>Renewal Status: Renewed=1,112; Not Renewed=888.</w:t>
      </w:r>
    </w:p>
    <w:p>
      <w:pPr>
        <w:pStyle w:val="ListBullet"/>
      </w:pPr>
      <w:r>
        <w:t>Churn Flag: 0=1,112; 1=888.</w:t>
      </w:r>
    </w:p>
    <w:p>
      <w:pPr>
        <w:pStyle w:val="ListBullet"/>
      </w:pPr>
      <w:r>
        <w:t>Monthly Fee values: ₹0, ₹299 and ₹599; negative fees: 0.</w:t>
      </w:r>
    </w:p>
    <w:p>
      <w:pPr>
        <w:pStyle w:val="ListBullet"/>
      </w:pPr>
      <w:r>
        <w:t>Plan-fee relationship is fully consistent: Free Trial→₹0, Basic→₹299, Premium→₹599.</w:t>
      </w:r>
    </w:p>
    <w:p>
      <w:pPr>
        <w:pStyle w:val="ListBullet"/>
      </w:pPr>
      <w:r>
        <w:t>Renewal/churn relationship is fully consistent: Renewed→0, Not Renewed→1.</w:t>
      </w:r>
    </w:p>
    <w:p>
      <w:pPr>
        <w:pStyle w:val="ListBullet"/>
      </w:pPr>
      <w:r>
        <w:t>No corrective cleaning was required after validation.</w:t>
      </w:r>
    </w:p>
    <w:p>
      <w:pPr>
        <w:spacing w:before="80" w:after="40"/>
      </w:pPr>
      <w:r>
        <w:rPr>
          <w:b/>
          <w:sz w:val="24"/>
        </w:rPr>
        <w:t>8. Overall Data Quality Summary</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tcPr>
          <w:p>
            <w:pPr>
              <w:spacing w:after="0"/>
            </w:pPr>
            <w:r>
              <w:rPr>
                <w:b/>
                <w:sz w:val="16"/>
              </w:rPr>
              <w:t>Dataset</w:t>
            </w:r>
          </w:p>
        </w:tc>
        <w:tc>
          <w:tcPr>
            <w:tcW w:type="dxa" w:w="2074"/>
            <w:vAlign w:val="center"/>
          </w:tcPr>
          <w:p>
            <w:pPr>
              <w:spacing w:after="0"/>
            </w:pPr>
            <w:r>
              <w:rPr>
                <w:b/>
                <w:sz w:val="16"/>
              </w:rPr>
              <w:t>Records</w:t>
            </w:r>
          </w:p>
        </w:tc>
        <w:tc>
          <w:tcPr>
            <w:tcW w:type="dxa" w:w="2074"/>
            <w:vAlign w:val="center"/>
          </w:tcPr>
          <w:p>
            <w:pPr>
              <w:spacing w:after="0"/>
            </w:pPr>
            <w:r>
              <w:rPr>
                <w:b/>
                <w:sz w:val="16"/>
              </w:rPr>
              <w:t>Missing</w:t>
            </w:r>
          </w:p>
        </w:tc>
        <w:tc>
          <w:tcPr>
            <w:tcW w:type="dxa" w:w="2074"/>
            <w:vAlign w:val="center"/>
          </w:tcPr>
          <w:p>
            <w:pPr>
              <w:spacing w:after="0"/>
            </w:pPr>
            <w:r>
              <w:rPr>
                <w:b/>
                <w:sz w:val="16"/>
              </w:rPr>
              <w:t>Main Issue Investigated</w:t>
            </w:r>
          </w:p>
        </w:tc>
        <w:tc>
          <w:tcPr>
            <w:tcW w:type="dxa" w:w="2074"/>
            <w:vAlign w:val="center"/>
          </w:tcPr>
          <w:p>
            <w:pPr>
              <w:spacing w:after="0"/>
            </w:pPr>
            <w:r>
              <w:rPr>
                <w:b/>
                <w:sz w:val="16"/>
              </w:rPr>
              <w:t>Final Decision</w:t>
            </w:r>
          </w:p>
        </w:tc>
      </w:tr>
      <w:tr>
        <w:tc>
          <w:tcPr>
            <w:tcW w:type="dxa" w:w="2074"/>
            <w:vAlign w:val="center"/>
          </w:tcPr>
          <w:p>
            <w:pPr>
              <w:spacing w:after="0"/>
            </w:pPr>
            <w:r>
              <w:rPr>
                <w:sz w:val="16"/>
              </w:rPr>
              <w:t>User Profile</w:t>
            </w:r>
          </w:p>
        </w:tc>
        <w:tc>
          <w:tcPr>
            <w:tcW w:type="dxa" w:w="2074"/>
            <w:vAlign w:val="center"/>
          </w:tcPr>
          <w:p>
            <w:pPr>
              <w:spacing w:after="0"/>
            </w:pPr>
            <w:r>
              <w:rPr>
                <w:sz w:val="16"/>
              </w:rPr>
              <w:t>2,000</w:t>
            </w:r>
          </w:p>
        </w:tc>
        <w:tc>
          <w:tcPr>
            <w:tcW w:type="dxa" w:w="2074"/>
            <w:vAlign w:val="center"/>
          </w:tcPr>
          <w:p>
            <w:pPr>
              <w:spacing w:after="0"/>
            </w:pPr>
            <w:r>
              <w:rPr>
                <w:sz w:val="16"/>
              </w:rPr>
              <w:t>0</w:t>
            </w:r>
          </w:p>
        </w:tc>
        <w:tc>
          <w:tcPr>
            <w:tcW w:type="dxa" w:w="2074"/>
            <w:vAlign w:val="center"/>
          </w:tcPr>
          <w:p>
            <w:pPr>
              <w:spacing w:after="0"/>
            </w:pPr>
            <w:r>
              <w:rPr>
                <w:sz w:val="16"/>
              </w:rPr>
              <w:t>Date and User_ID validation</w:t>
            </w:r>
          </w:p>
        </w:tc>
        <w:tc>
          <w:tcPr>
            <w:tcW w:type="dxa" w:w="2074"/>
            <w:vAlign w:val="center"/>
          </w:tcPr>
          <w:p>
            <w:pPr>
              <w:spacing w:after="0"/>
            </w:pPr>
            <w:r>
              <w:rPr>
                <w:sz w:val="16"/>
              </w:rPr>
              <w:t>Clean; no correction required</w:t>
            </w:r>
          </w:p>
        </w:tc>
      </w:tr>
      <w:tr>
        <w:tc>
          <w:tcPr>
            <w:tcW w:type="dxa" w:w="2074"/>
            <w:vAlign w:val="center"/>
          </w:tcPr>
          <w:p>
            <w:pPr>
              <w:spacing w:after="0"/>
            </w:pPr>
            <w:r>
              <w:rPr>
                <w:sz w:val="16"/>
              </w:rPr>
              <w:t>Content Library</w:t>
            </w:r>
          </w:p>
        </w:tc>
        <w:tc>
          <w:tcPr>
            <w:tcW w:type="dxa" w:w="2074"/>
            <w:vAlign w:val="center"/>
          </w:tcPr>
          <w:p>
            <w:pPr>
              <w:spacing w:after="0"/>
            </w:pPr>
            <w:r>
              <w:rPr>
                <w:sz w:val="16"/>
              </w:rPr>
              <w:t>17,797</w:t>
            </w:r>
          </w:p>
        </w:tc>
        <w:tc>
          <w:tcPr>
            <w:tcW w:type="dxa" w:w="2074"/>
            <w:vAlign w:val="center"/>
          </w:tcPr>
          <w:p>
            <w:pPr>
              <w:spacing w:after="0"/>
            </w:pPr>
            <w:r>
              <w:rPr>
                <w:sz w:val="16"/>
              </w:rPr>
              <w:t>3 numeric durations remain unavailable</w:t>
            </w:r>
          </w:p>
        </w:tc>
        <w:tc>
          <w:tcPr>
            <w:tcW w:type="dxa" w:w="2074"/>
            <w:vAlign w:val="center"/>
          </w:tcPr>
          <w:p>
            <w:pPr>
              <w:spacing w:after="0"/>
            </w:pPr>
            <w:r>
              <w:rPr>
                <w:sz w:val="16"/>
              </w:rPr>
              <w:t>Metadata gaps, text nan, platform whitespace</w:t>
            </w:r>
          </w:p>
        </w:tc>
        <w:tc>
          <w:tcPr>
            <w:tcW w:type="dxa" w:w="2074"/>
            <w:vAlign w:val="center"/>
          </w:tcPr>
          <w:p>
            <w:pPr>
              <w:spacing w:after="0"/>
            </w:pPr>
            <w:r>
              <w:rPr>
                <w:sz w:val="16"/>
              </w:rPr>
              <w:t>Cleaned; missing numeric durations retained</w:t>
            </w:r>
          </w:p>
        </w:tc>
      </w:tr>
      <w:tr>
        <w:tc>
          <w:tcPr>
            <w:tcW w:type="dxa" w:w="2074"/>
            <w:vAlign w:val="center"/>
          </w:tcPr>
          <w:p>
            <w:pPr>
              <w:spacing w:after="0"/>
            </w:pPr>
            <w:r>
              <w:rPr>
                <w:sz w:val="16"/>
              </w:rPr>
              <w:t>Viewing Activity</w:t>
            </w:r>
          </w:p>
        </w:tc>
        <w:tc>
          <w:tcPr>
            <w:tcW w:type="dxa" w:w="2074"/>
            <w:vAlign w:val="center"/>
          </w:tcPr>
          <w:p>
            <w:pPr>
              <w:spacing w:after="0"/>
            </w:pPr>
            <w:r>
              <w:rPr>
                <w:sz w:val="16"/>
              </w:rPr>
              <w:t>30,000</w:t>
            </w:r>
          </w:p>
        </w:tc>
        <w:tc>
          <w:tcPr>
            <w:tcW w:type="dxa" w:w="2074"/>
            <w:vAlign w:val="center"/>
          </w:tcPr>
          <w:p>
            <w:pPr>
              <w:spacing w:after="0"/>
            </w:pPr>
            <w:r>
              <w:rPr>
                <w:sz w:val="16"/>
              </w:rPr>
              <w:t>0</w:t>
            </w:r>
          </w:p>
        </w:tc>
        <w:tc>
          <w:tcPr>
            <w:tcW w:type="dxa" w:w="2074"/>
            <w:vAlign w:val="center"/>
          </w:tcPr>
          <w:p>
            <w:pPr>
              <w:spacing w:after="0"/>
            </w:pPr>
            <w:r>
              <w:rPr>
                <w:sz w:val="16"/>
              </w:rPr>
              <w:t>490 repeated Session_ID; 5,500 IQR candidates</w:t>
            </w:r>
          </w:p>
        </w:tc>
        <w:tc>
          <w:tcPr>
            <w:tcW w:type="dxa" w:w="2074"/>
            <w:vAlign w:val="center"/>
          </w:tcPr>
          <w:p>
            <w:pPr>
              <w:spacing w:after="0"/>
            </w:pPr>
            <w:r>
              <w:rPr>
                <w:sz w:val="16"/>
              </w:rPr>
              <w:t>Retained after validation</w:t>
            </w:r>
          </w:p>
        </w:tc>
      </w:tr>
      <w:tr>
        <w:tc>
          <w:tcPr>
            <w:tcW w:type="dxa" w:w="2074"/>
            <w:vAlign w:val="center"/>
          </w:tcPr>
          <w:p>
            <w:pPr>
              <w:spacing w:after="0"/>
            </w:pPr>
            <w:r>
              <w:rPr>
                <w:sz w:val="16"/>
              </w:rPr>
              <w:t>Ratings &amp; Feedback</w:t>
            </w:r>
          </w:p>
        </w:tc>
        <w:tc>
          <w:tcPr>
            <w:tcW w:type="dxa" w:w="2074"/>
            <w:vAlign w:val="center"/>
          </w:tcPr>
          <w:p>
            <w:pPr>
              <w:spacing w:after="0"/>
            </w:pPr>
            <w:r>
              <w:rPr>
                <w:sz w:val="16"/>
              </w:rPr>
              <w:t>12,000</w:t>
            </w:r>
          </w:p>
        </w:tc>
        <w:tc>
          <w:tcPr>
            <w:tcW w:type="dxa" w:w="2074"/>
            <w:vAlign w:val="center"/>
          </w:tcPr>
          <w:p>
            <w:pPr>
              <w:spacing w:after="0"/>
            </w:pPr>
            <w:r>
              <w:rPr>
                <w:sz w:val="16"/>
              </w:rPr>
              <w:t>0</w:t>
            </w:r>
          </w:p>
        </w:tc>
        <w:tc>
          <w:tcPr>
            <w:tcW w:type="dxa" w:w="2074"/>
            <w:vAlign w:val="center"/>
          </w:tcPr>
          <w:p>
            <w:pPr>
              <w:spacing w:after="0"/>
            </w:pPr>
            <w:r>
              <w:rPr>
                <w:sz w:val="16"/>
              </w:rPr>
              <w:t>Rating/like/feedback logic</w:t>
            </w:r>
          </w:p>
        </w:tc>
        <w:tc>
          <w:tcPr>
            <w:tcW w:type="dxa" w:w="2074"/>
            <w:vAlign w:val="center"/>
          </w:tcPr>
          <w:p>
            <w:pPr>
              <w:spacing w:after="0"/>
            </w:pPr>
            <w:r>
              <w:rPr>
                <w:sz w:val="16"/>
              </w:rPr>
              <w:t>Clean; no correction required</w:t>
            </w:r>
          </w:p>
        </w:tc>
      </w:tr>
      <w:tr>
        <w:tc>
          <w:tcPr>
            <w:tcW w:type="dxa" w:w="2074"/>
            <w:vAlign w:val="center"/>
          </w:tcPr>
          <w:p>
            <w:pPr>
              <w:spacing w:after="0"/>
            </w:pPr>
            <w:r>
              <w:rPr>
                <w:sz w:val="16"/>
              </w:rPr>
              <w:t>Subscription &amp; Retention</w:t>
            </w:r>
          </w:p>
        </w:tc>
        <w:tc>
          <w:tcPr>
            <w:tcW w:type="dxa" w:w="2074"/>
            <w:vAlign w:val="center"/>
          </w:tcPr>
          <w:p>
            <w:pPr>
              <w:spacing w:after="0"/>
            </w:pPr>
            <w:r>
              <w:rPr>
                <w:sz w:val="16"/>
              </w:rPr>
              <w:t>2,000</w:t>
            </w:r>
          </w:p>
        </w:tc>
        <w:tc>
          <w:tcPr>
            <w:tcW w:type="dxa" w:w="2074"/>
            <w:vAlign w:val="center"/>
          </w:tcPr>
          <w:p>
            <w:pPr>
              <w:spacing w:after="0"/>
            </w:pPr>
            <w:r>
              <w:rPr>
                <w:sz w:val="16"/>
              </w:rPr>
              <w:t>0</w:t>
            </w:r>
          </w:p>
        </w:tc>
        <w:tc>
          <w:tcPr>
            <w:tcW w:type="dxa" w:w="2074"/>
            <w:vAlign w:val="center"/>
          </w:tcPr>
          <w:p>
            <w:pPr>
              <w:spacing w:after="0"/>
            </w:pPr>
            <w:r>
              <w:rPr>
                <w:sz w:val="16"/>
              </w:rPr>
              <w:t>Plan fee and churn/renewal logic</w:t>
            </w:r>
          </w:p>
        </w:tc>
        <w:tc>
          <w:tcPr>
            <w:tcW w:type="dxa" w:w="2074"/>
            <w:vAlign w:val="center"/>
          </w:tcPr>
          <w:p>
            <w:pPr>
              <w:spacing w:after="0"/>
            </w:pPr>
            <w:r>
              <w:rPr>
                <w:sz w:val="16"/>
              </w:rPr>
              <w:t>Clean; no correction required</w:t>
            </w:r>
          </w:p>
        </w:tc>
      </w:tr>
    </w:tbl>
    <w:p>
      <w:pPr>
        <w:spacing w:before="80" w:after="40"/>
      </w:pPr>
      <w:r>
        <w:rPr>
          <w:b/>
          <w:sz w:val="24"/>
        </w:rPr>
        <w:t>9. Preprocessing Log</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Pr>
          <w:p>
            <w:pPr>
              <w:spacing w:after="0"/>
            </w:pPr>
            <w:r>
              <w:rPr>
                <w:b/>
                <w:sz w:val="16"/>
              </w:rPr>
              <w:t>Dataset</w:t>
            </w:r>
          </w:p>
        </w:tc>
        <w:tc>
          <w:tcPr>
            <w:tcW w:type="dxa" w:w="2592"/>
            <w:vAlign w:val="center"/>
          </w:tcPr>
          <w:p>
            <w:pPr>
              <w:spacing w:after="0"/>
            </w:pPr>
            <w:r>
              <w:rPr>
                <w:b/>
                <w:sz w:val="16"/>
              </w:rPr>
              <w:t>Preprocessing Action</w:t>
            </w:r>
          </w:p>
        </w:tc>
        <w:tc>
          <w:tcPr>
            <w:tcW w:type="dxa" w:w="2592"/>
            <w:vAlign w:val="center"/>
          </w:tcPr>
          <w:p>
            <w:pPr>
              <w:spacing w:after="0"/>
            </w:pPr>
            <w:r>
              <w:rPr>
                <w:b/>
                <w:sz w:val="16"/>
              </w:rPr>
              <w:t>Reason</w:t>
            </w:r>
          </w:p>
        </w:tc>
        <w:tc>
          <w:tcPr>
            <w:tcW w:type="dxa" w:w="2592"/>
            <w:vAlign w:val="center"/>
          </w:tcPr>
          <w:p>
            <w:pPr>
              <w:spacing w:after="0"/>
            </w:pPr>
            <w:r>
              <w:rPr>
                <w:b/>
                <w:sz w:val="16"/>
              </w:rPr>
              <w:t>Outcome</w:t>
            </w:r>
          </w:p>
        </w:tc>
      </w:tr>
      <w:tr>
        <w:tc>
          <w:tcPr>
            <w:tcW w:type="dxa" w:w="2592"/>
            <w:vAlign w:val="center"/>
          </w:tcPr>
          <w:p>
            <w:pPr>
              <w:spacing w:after="0"/>
            </w:pPr>
            <w:r>
              <w:rPr>
                <w:sz w:val="16"/>
              </w:rPr>
              <w:t>User Profile</w:t>
            </w:r>
          </w:p>
        </w:tc>
        <w:tc>
          <w:tcPr>
            <w:tcW w:type="dxa" w:w="2592"/>
            <w:vAlign w:val="center"/>
          </w:tcPr>
          <w:p>
            <w:pPr>
              <w:spacing w:after="0"/>
            </w:pPr>
            <w:r>
              <w:rPr>
                <w:sz w:val="16"/>
              </w:rPr>
              <w:t>Profiled duplicates, IDs, dates and whitespace</w:t>
            </w:r>
          </w:p>
        </w:tc>
        <w:tc>
          <w:tcPr>
            <w:tcW w:type="dxa" w:w="2592"/>
            <w:vAlign w:val="center"/>
          </w:tcPr>
          <w:p>
            <w:pPr>
              <w:spacing w:after="0"/>
            </w:pPr>
            <w:r>
              <w:rPr>
                <w:sz w:val="16"/>
              </w:rPr>
              <w:t>Validate customer dimension</w:t>
            </w:r>
          </w:p>
        </w:tc>
        <w:tc>
          <w:tcPr>
            <w:tcW w:type="dxa" w:w="2592"/>
            <w:vAlign w:val="center"/>
          </w:tcPr>
          <w:p>
            <w:pPr>
              <w:spacing w:after="0"/>
            </w:pPr>
            <w:r>
              <w:rPr>
                <w:sz w:val="16"/>
              </w:rPr>
              <w:t>No corrective transformation</w:t>
            </w:r>
          </w:p>
        </w:tc>
      </w:tr>
      <w:tr>
        <w:tc>
          <w:tcPr>
            <w:tcW w:type="dxa" w:w="2592"/>
            <w:vAlign w:val="center"/>
          </w:tcPr>
          <w:p>
            <w:pPr>
              <w:spacing w:after="0"/>
            </w:pPr>
            <w:r>
              <w:rPr>
                <w:sz w:val="16"/>
              </w:rPr>
              <w:t>Content Library</w:t>
            </w:r>
          </w:p>
        </w:tc>
        <w:tc>
          <w:tcPr>
            <w:tcW w:type="dxa" w:w="2592"/>
            <w:vAlign w:val="center"/>
          </w:tcPr>
          <w:p>
            <w:pPr>
              <w:spacing w:after="0"/>
            </w:pPr>
            <w:r>
              <w:rPr>
                <w:sz w:val="16"/>
              </w:rPr>
              <w:t>Trimmed text; converted text 'nan'; filled descriptive missing values; standardized Platform</w:t>
            </w:r>
          </w:p>
        </w:tc>
        <w:tc>
          <w:tcPr>
            <w:tcW w:type="dxa" w:w="2592"/>
            <w:vAlign w:val="center"/>
          </w:tcPr>
          <w:p>
            <w:pPr>
              <w:spacing w:after="0"/>
            </w:pPr>
            <w:r>
              <w:rPr>
                <w:sz w:val="16"/>
              </w:rPr>
              <w:t>Improve consistency without inventing data</w:t>
            </w:r>
          </w:p>
        </w:tc>
        <w:tc>
          <w:tcPr>
            <w:tcW w:type="dxa" w:w="2592"/>
            <w:vAlign w:val="center"/>
          </w:tcPr>
          <w:p>
            <w:pPr>
              <w:spacing w:after="0"/>
            </w:pPr>
            <w:r>
              <w:rPr>
                <w:sz w:val="16"/>
              </w:rPr>
              <w:t>Cleaned metadata; 3 Duration_Minutes remain missing</w:t>
            </w:r>
          </w:p>
        </w:tc>
      </w:tr>
      <w:tr>
        <w:tc>
          <w:tcPr>
            <w:tcW w:type="dxa" w:w="2592"/>
            <w:vAlign w:val="center"/>
          </w:tcPr>
          <w:p>
            <w:pPr>
              <w:spacing w:after="0"/>
            </w:pPr>
            <w:r>
              <w:rPr>
                <w:sz w:val="16"/>
              </w:rPr>
              <w:t>Viewing Activity</w:t>
            </w:r>
          </w:p>
        </w:tc>
        <w:tc>
          <w:tcPr>
            <w:tcW w:type="dxa" w:w="2592"/>
            <w:vAlign w:val="center"/>
          </w:tcPr>
          <w:p>
            <w:pPr>
              <w:spacing w:after="0"/>
            </w:pPr>
            <w:r>
              <w:rPr>
                <w:sz w:val="16"/>
              </w:rPr>
              <w:t>Checked validity; IQR detection; Content ID mapping; duration/completion validation</w:t>
            </w:r>
          </w:p>
        </w:tc>
        <w:tc>
          <w:tcPr>
            <w:tcW w:type="dxa" w:w="2592"/>
            <w:vAlign w:val="center"/>
          </w:tcPr>
          <w:p>
            <w:pPr>
              <w:spacing w:after="0"/>
            </w:pPr>
            <w:r>
              <w:rPr>
                <w:sz w:val="16"/>
              </w:rPr>
              <w:t>Assess behaviour outliers</w:t>
            </w:r>
          </w:p>
        </w:tc>
        <w:tc>
          <w:tcPr>
            <w:tcW w:type="dxa" w:w="2592"/>
            <w:vAlign w:val="center"/>
          </w:tcPr>
          <w:p>
            <w:pPr>
              <w:spacing w:after="0"/>
            </w:pPr>
            <w:r>
              <w:rPr>
                <w:sz w:val="16"/>
              </w:rPr>
              <w:t>5,500 candidates retained as plausible</w:t>
            </w:r>
          </w:p>
        </w:tc>
      </w:tr>
      <w:tr>
        <w:tc>
          <w:tcPr>
            <w:tcW w:type="dxa" w:w="2592"/>
            <w:vAlign w:val="center"/>
          </w:tcPr>
          <w:p>
            <w:pPr>
              <w:spacing w:after="0"/>
            </w:pPr>
            <w:r>
              <w:rPr>
                <w:sz w:val="16"/>
              </w:rPr>
              <w:t>Ratings &amp; Feedback</w:t>
            </w:r>
          </w:p>
        </w:tc>
        <w:tc>
          <w:tcPr>
            <w:tcW w:type="dxa" w:w="2592"/>
            <w:vAlign w:val="center"/>
          </w:tcPr>
          <w:p>
            <w:pPr>
              <w:spacing w:after="0"/>
            </w:pPr>
            <w:r>
              <w:rPr>
                <w:sz w:val="16"/>
              </w:rPr>
              <w:t>Checked rating scale, categories and cross-tabs</w:t>
            </w:r>
          </w:p>
        </w:tc>
        <w:tc>
          <w:tcPr>
            <w:tcW w:type="dxa" w:w="2592"/>
            <w:vAlign w:val="center"/>
          </w:tcPr>
          <w:p>
            <w:pPr>
              <w:spacing w:after="0"/>
            </w:pPr>
            <w:r>
              <w:rPr>
                <w:sz w:val="16"/>
              </w:rPr>
              <w:t>Validate satisfaction data</w:t>
            </w:r>
          </w:p>
        </w:tc>
        <w:tc>
          <w:tcPr>
            <w:tcW w:type="dxa" w:w="2592"/>
            <w:vAlign w:val="center"/>
          </w:tcPr>
          <w:p>
            <w:pPr>
              <w:spacing w:after="0"/>
            </w:pPr>
            <w:r>
              <w:rPr>
                <w:sz w:val="16"/>
              </w:rPr>
              <w:t>No corrective transformation</w:t>
            </w:r>
          </w:p>
        </w:tc>
      </w:tr>
      <w:tr>
        <w:tc>
          <w:tcPr>
            <w:tcW w:type="dxa" w:w="2592"/>
            <w:vAlign w:val="center"/>
          </w:tcPr>
          <w:p>
            <w:pPr>
              <w:spacing w:after="0"/>
            </w:pPr>
            <w:r>
              <w:rPr>
                <w:sz w:val="16"/>
              </w:rPr>
              <w:t>Subscription &amp; Retention</w:t>
            </w:r>
          </w:p>
        </w:tc>
        <w:tc>
          <w:tcPr>
            <w:tcW w:type="dxa" w:w="2592"/>
            <w:vAlign w:val="center"/>
          </w:tcPr>
          <w:p>
            <w:pPr>
              <w:spacing w:after="0"/>
            </w:pPr>
            <w:r>
              <w:rPr>
                <w:sz w:val="16"/>
              </w:rPr>
              <w:t>Checked plan fees, renewal and churn relationships</w:t>
            </w:r>
          </w:p>
        </w:tc>
        <w:tc>
          <w:tcPr>
            <w:tcW w:type="dxa" w:w="2592"/>
            <w:vAlign w:val="center"/>
          </w:tcPr>
          <w:p>
            <w:pPr>
              <w:spacing w:after="0"/>
            </w:pPr>
            <w:r>
              <w:rPr>
                <w:sz w:val="16"/>
              </w:rPr>
              <w:t>Validate retention business rules</w:t>
            </w:r>
          </w:p>
        </w:tc>
        <w:tc>
          <w:tcPr>
            <w:tcW w:type="dxa" w:w="2592"/>
            <w:vAlign w:val="center"/>
          </w:tcPr>
          <w:p>
            <w:pPr>
              <w:spacing w:after="0"/>
            </w:pPr>
            <w:r>
              <w:rPr>
                <w:sz w:val="16"/>
              </w:rPr>
              <w:t>No corrective transformation</w:t>
            </w:r>
          </w:p>
        </w:tc>
      </w:tr>
    </w:tbl>
    <w:p>
      <w:pPr>
        <w:spacing w:before="80" w:after="40"/>
      </w:pPr>
      <w:r>
        <w:rPr>
          <w:b/>
          <w:sz w:val="24"/>
        </w:rPr>
        <w:t>10. Final Export Files</w:t>
      </w:r>
    </w:p>
    <w:p>
      <w:pPr>
        <w:pStyle w:val="ListBullet"/>
      </w:pPr>
      <w:r>
        <w:t>user_profile_cleaned.xlsx</w:t>
      </w:r>
    </w:p>
    <w:p>
      <w:pPr>
        <w:pStyle w:val="ListBullet"/>
      </w:pPr>
      <w:r>
        <w:t>content_library_cleaned.xlsx</w:t>
      </w:r>
    </w:p>
    <w:p>
      <w:pPr>
        <w:pStyle w:val="ListBullet"/>
      </w:pPr>
      <w:r>
        <w:t>viewing_activity_cleaned.xlsx</w:t>
      </w:r>
    </w:p>
    <w:p>
      <w:pPr>
        <w:pStyle w:val="ListBullet"/>
      </w:pPr>
      <w:r>
        <w:t>ratings_feedback_cleaned.xlsx</w:t>
      </w:r>
    </w:p>
    <w:p>
      <w:pPr>
        <w:pStyle w:val="ListBullet"/>
      </w:pPr>
      <w:r>
        <w:t>subscription_retention_cleaned.xlsx</w:t>
      </w:r>
    </w:p>
    <w:p>
      <w:r>
        <w:t>These cleaned Excel files form the controlled input for the next project stage: Exploratory Data Analysis (EDA), KPI development, business insight generation and dashboard creation.</w:t>
      </w:r>
    </w:p>
    <w:p>
      <w:pPr>
        <w:spacing w:before="80" w:after="40"/>
      </w:pPr>
      <w:r>
        <w:rPr>
          <w:b/>
          <w:sz w:val="24"/>
        </w:rPr>
        <w:t>11. Professional Data-Cleaning Principles Applied</w:t>
      </w:r>
    </w:p>
    <w:p>
      <w:pPr>
        <w:pStyle w:val="ListBullet"/>
      </w:pPr>
      <w:r>
        <w:t>Do not delete a record only because it is statistically unusual.</w:t>
      </w:r>
    </w:p>
    <w:p>
      <w:pPr>
        <w:pStyle w:val="ListBullet"/>
      </w:pPr>
      <w:r>
        <w:t>Validate data against business meaning before modifying it.</w:t>
      </w:r>
    </w:p>
    <w:p>
      <w:pPr>
        <w:pStyle w:val="ListBullet"/>
      </w:pPr>
      <w:r>
        <w:t>Do not fabricate unavailable numeric values.</w:t>
      </w:r>
    </w:p>
    <w:p>
      <w:pPr>
        <w:pStyle w:val="ListBullet"/>
      </w:pPr>
      <w:r>
        <w:t>Preserve original identifiers and use temporary keys for relationship validation.</w:t>
      </w:r>
    </w:p>
    <w:p>
      <w:pPr>
        <w:pStyle w:val="ListBullet"/>
      </w:pPr>
      <w:r>
        <w:t>Document every significant cleaning decision.</w:t>
      </w:r>
    </w:p>
    <w:p>
      <w:pPr>
        <w:pStyle w:val="ListBullet"/>
      </w:pPr>
      <w:r>
        <w:t>Separate raw data from cleaned outputs.</w:t>
      </w:r>
    </w:p>
    <w:p>
      <w:pPr>
        <w:pStyle w:val="ListBullet"/>
      </w:pPr>
      <w:r>
        <w:t>Use repeatable Python preprocessing rather than manual, undocumented edits.</w:t>
      </w:r>
    </w:p>
    <w:p>
      <w:pPr>
        <w:spacing w:before="80" w:after="40"/>
      </w:pPr>
      <w:r>
        <w:rPr>
          <w:b/>
          <w:sz w:val="24"/>
        </w:rPr>
        <w:t>12. Phase 2 Conclusion</w:t>
      </w:r>
    </w:p>
    <w:p>
      <w:r>
        <w:t>Phase 2 established a documented and validated data foundation for the Glowwith Flow OTT Business Analytics project. All five datasets were profiled for structure, missingness, duplicates, data types, distributions and business-rule consistency. The most significant investigation involved Viewing Activity, where statistical watch-duration outliers were validated against content duration and completion percentage before being retained. Content Library metadata gaps were handled transparently using explicit placeholders, while unavailable numeric durations were not fabricated. The resulting cleaned datasets are suitable for the next stage of business analysis.</w:t>
      </w:r>
    </w:p>
    <w:p>
      <w:pPr>
        <w:spacing w:before="100"/>
      </w:pPr>
      <w:r>
        <w:rPr>
          <w:b/>
        </w:rPr>
        <w:t xml:space="preserve">Next Phase: </w:t>
      </w:r>
      <w:r>
        <w:t>Phase 3 — Business Problem Statement, 6 Business Objectives, 30 Business Questions and Hypotheses.</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Glowwith Flow | OTT Platform Viewing Patterns Analysis | Phase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