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PHASE 5 DOCUMENTATION</w:t>
      </w:r>
    </w:p>
    <w:p>
      <w:pPr>
        <w:jc w:val="center"/>
      </w:pPr>
      <w:r>
        <w:rPr>
          <w:b/>
          <w:sz w:val="34"/>
        </w:rPr>
        <w:t>Python Exploratory Data Analysis (EDA)</w:t>
      </w:r>
    </w:p>
    <w:p>
      <w:pPr>
        <w:jc w:val="center"/>
      </w:pPr>
      <w:r>
        <w:rPr>
          <w:i/>
          <w:sz w:val="24"/>
        </w:rPr>
        <w:t>OTT Platform Viewing Patterns to Support Data-Driven Content Decisions</w:t>
      </w:r>
    </w:p>
    <w:p/>
    <w:p>
      <w:pPr>
        <w:pStyle w:val="Heading1"/>
      </w:pPr>
      <w:r>
        <w:t>1. Phase 5 Overview</w:t>
      </w:r>
    </w:p>
    <w:p>
      <w:r>
        <w:t>Phase 5 focuses on Python-based Exploratory Data Analysis (EDA) of the cleaned OTT datasets. The purpose is to convert the cleaned data prepared in earlier phases into measurable patterns, comparisons, distributions and business-oriented observations. The analysis is structured around six business objectives and their related questions.</w:t>
      </w:r>
    </w:p>
    <w:p>
      <w:r>
        <w:t>EDA is used at this stage to identify patterns and relationships. It does not by itself prove statistical significance or causation. Formal hypothesis validation is reserved for the later statistical validation phase.</w:t>
      </w:r>
    </w:p>
    <w:p>
      <w:pPr>
        <w:pStyle w:val="Heading1"/>
      </w:pPr>
      <w:r>
        <w:t>2. Phase 5 Objectives</w:t>
      </w:r>
    </w:p>
    <w:tbl>
      <w:tblPr>
        <w:tblStyle w:val="TableGrid"/>
        <w:tblW w:type="auto" w:w="0"/>
        <w:jc w:val="center"/>
        <w:tblLook w:firstColumn="1" w:firstRow="1" w:lastColumn="0" w:lastRow="0" w:noHBand="0" w:noVBand="1" w:val="04A0"/>
      </w:tblPr>
      <w:tblGrid>
        <w:gridCol w:w="3360"/>
        <w:gridCol w:w="3360"/>
        <w:gridCol w:w="3360"/>
      </w:tblGrid>
      <w:tr>
        <w:tc>
          <w:tcPr>
            <w:tcW w:type="dxa" w:w="936"/>
            <w:vAlign w:val="center"/>
            <w:shd w:fill="D9EAF7"/>
          </w:tcPr>
          <w:p>
            <w:r/>
            <w:r>
              <w:rPr>
                <w:b/>
                <w:sz w:val="18"/>
              </w:rPr>
              <w:t>Objective</w:t>
            </w:r>
          </w:p>
        </w:tc>
        <w:tc>
          <w:tcPr>
            <w:tcW w:type="dxa" w:w="3384"/>
            <w:vAlign w:val="center"/>
            <w:shd w:fill="D9EAF7"/>
          </w:tcPr>
          <w:p>
            <w:r/>
            <w:r>
              <w:rPr>
                <w:b/>
                <w:sz w:val="18"/>
              </w:rPr>
              <w:t>Business Focus</w:t>
            </w:r>
          </w:p>
        </w:tc>
        <w:tc>
          <w:tcPr>
            <w:tcW w:type="dxa" w:w="5472"/>
            <w:vAlign w:val="center"/>
            <w:shd w:fill="D9EAF7"/>
          </w:tcPr>
          <w:p>
            <w:r/>
            <w:r>
              <w:rPr>
                <w:b/>
                <w:sz w:val="18"/>
              </w:rPr>
              <w:t>Main Analysis</w:t>
            </w:r>
          </w:p>
        </w:tc>
      </w:tr>
      <w:tr>
        <w:tc>
          <w:tcPr>
            <w:tcW w:type="dxa" w:w="936"/>
            <w:vAlign w:val="center"/>
          </w:tcPr>
          <w:p>
            <w:r/>
            <w:r>
              <w:rPr>
                <w:b w:val="0"/>
                <w:sz w:val="18"/>
              </w:rPr>
              <w:t>O1</w:t>
            </w:r>
          </w:p>
        </w:tc>
        <w:tc>
          <w:tcPr>
            <w:tcW w:type="dxa" w:w="3384"/>
            <w:vAlign w:val="center"/>
          </w:tcPr>
          <w:p>
            <w:r/>
            <w:r>
              <w:rPr>
                <w:b w:val="0"/>
                <w:sz w:val="18"/>
              </w:rPr>
              <w:t>Content Performance &amp; Viewer Engagement</w:t>
            </w:r>
          </w:p>
        </w:tc>
        <w:tc>
          <w:tcPr>
            <w:tcW w:type="dxa" w:w="5472"/>
            <w:vAlign w:val="center"/>
          </w:tcPr>
          <w:p>
            <w:r/>
            <w:r>
              <w:rPr>
                <w:b w:val="0"/>
                <w:sz w:val="18"/>
              </w:rPr>
              <w:t>Genres, completion, content type, content age, popularity</w:t>
            </w:r>
          </w:p>
        </w:tc>
      </w:tr>
      <w:tr>
        <w:tc>
          <w:tcPr>
            <w:tcW w:type="dxa" w:w="936"/>
            <w:vAlign w:val="center"/>
          </w:tcPr>
          <w:p>
            <w:r/>
            <w:r>
              <w:rPr>
                <w:b w:val="0"/>
                <w:sz w:val="18"/>
              </w:rPr>
              <w:t>O2</w:t>
            </w:r>
          </w:p>
        </w:tc>
        <w:tc>
          <w:tcPr>
            <w:tcW w:type="dxa" w:w="3384"/>
            <w:vAlign w:val="center"/>
          </w:tcPr>
          <w:p>
            <w:r/>
            <w:r>
              <w:rPr>
                <w:b w:val="0"/>
                <w:sz w:val="18"/>
              </w:rPr>
              <w:t>Platform &amp; Content Portfolio Performance</w:t>
            </w:r>
          </w:p>
        </w:tc>
        <w:tc>
          <w:tcPr>
            <w:tcW w:type="dxa" w:w="5472"/>
            <w:vAlign w:val="center"/>
          </w:tcPr>
          <w:p>
            <w:r/>
            <w:r>
              <w:rPr>
                <w:b w:val="0"/>
                <w:sz w:val="18"/>
              </w:rPr>
              <w:t>Catalogue size, viewing activity, completion, platform comparisons</w:t>
            </w:r>
          </w:p>
        </w:tc>
      </w:tr>
      <w:tr>
        <w:tc>
          <w:tcPr>
            <w:tcW w:type="dxa" w:w="936"/>
            <w:vAlign w:val="center"/>
          </w:tcPr>
          <w:p>
            <w:r/>
            <w:r>
              <w:rPr>
                <w:b w:val="0"/>
                <w:sz w:val="18"/>
              </w:rPr>
              <w:t>O3</w:t>
            </w:r>
          </w:p>
        </w:tc>
        <w:tc>
          <w:tcPr>
            <w:tcW w:type="dxa" w:w="3384"/>
            <w:vAlign w:val="center"/>
          </w:tcPr>
          <w:p>
            <w:r/>
            <w:r>
              <w:rPr>
                <w:b w:val="0"/>
                <w:sz w:val="18"/>
              </w:rPr>
              <w:t>Viewing Behaviour Across Customer Segments</w:t>
            </w:r>
          </w:p>
        </w:tc>
        <w:tc>
          <w:tcPr>
            <w:tcW w:type="dxa" w:w="5472"/>
            <w:vAlign w:val="center"/>
          </w:tcPr>
          <w:p>
            <w:r/>
            <w:r>
              <w:rPr>
                <w:b w:val="0"/>
                <w:sz w:val="18"/>
              </w:rPr>
              <w:t>Age, gender, region and engagement patterns</w:t>
            </w:r>
          </w:p>
        </w:tc>
      </w:tr>
      <w:tr>
        <w:tc>
          <w:tcPr>
            <w:tcW w:type="dxa" w:w="936"/>
            <w:vAlign w:val="center"/>
          </w:tcPr>
          <w:p>
            <w:r/>
            <w:r>
              <w:rPr>
                <w:b w:val="0"/>
                <w:sz w:val="18"/>
              </w:rPr>
              <w:t>O4</w:t>
            </w:r>
          </w:p>
        </w:tc>
        <w:tc>
          <w:tcPr>
            <w:tcW w:type="dxa" w:w="3384"/>
            <w:vAlign w:val="center"/>
          </w:tcPr>
          <w:p>
            <w:r/>
            <w:r>
              <w:rPr>
                <w:b w:val="0"/>
                <w:sz w:val="18"/>
              </w:rPr>
              <w:t>Device &amp; Time-Based Viewing Patterns</w:t>
            </w:r>
          </w:p>
        </w:tc>
        <w:tc>
          <w:tcPr>
            <w:tcW w:type="dxa" w:w="5472"/>
            <w:vAlign w:val="center"/>
          </w:tcPr>
          <w:p>
            <w:r/>
            <w:r>
              <w:rPr>
                <w:b w:val="0"/>
                <w:sz w:val="18"/>
              </w:rPr>
              <w:t>Device usage, watch duration, time of day</w:t>
            </w:r>
          </w:p>
        </w:tc>
      </w:tr>
      <w:tr>
        <w:tc>
          <w:tcPr>
            <w:tcW w:type="dxa" w:w="936"/>
            <w:vAlign w:val="center"/>
          </w:tcPr>
          <w:p>
            <w:r/>
            <w:r>
              <w:rPr>
                <w:b w:val="0"/>
                <w:sz w:val="18"/>
              </w:rPr>
              <w:t>O5</w:t>
            </w:r>
          </w:p>
        </w:tc>
        <w:tc>
          <w:tcPr>
            <w:tcW w:type="dxa" w:w="3384"/>
            <w:vAlign w:val="center"/>
          </w:tcPr>
          <w:p>
            <w:r/>
            <w:r>
              <w:rPr>
                <w:b w:val="0"/>
                <w:sz w:val="18"/>
              </w:rPr>
              <w:t>Subscription Retention &amp; Churn</w:t>
            </w:r>
          </w:p>
        </w:tc>
        <w:tc>
          <w:tcPr>
            <w:tcW w:type="dxa" w:w="5472"/>
            <w:vAlign w:val="center"/>
          </w:tcPr>
          <w:p>
            <w:r/>
            <w:r>
              <w:rPr>
                <w:b w:val="0"/>
                <w:sz w:val="18"/>
              </w:rPr>
              <w:t>Renewal, churn, engagement, plan and fee patterns</w:t>
            </w:r>
          </w:p>
        </w:tc>
      </w:tr>
      <w:tr>
        <w:tc>
          <w:tcPr>
            <w:tcW w:type="dxa" w:w="936"/>
            <w:vAlign w:val="center"/>
          </w:tcPr>
          <w:p>
            <w:r/>
            <w:r>
              <w:rPr>
                <w:b w:val="0"/>
                <w:sz w:val="18"/>
              </w:rPr>
              <w:t>O6</w:t>
            </w:r>
          </w:p>
        </w:tc>
        <w:tc>
          <w:tcPr>
            <w:tcW w:type="dxa" w:w="3384"/>
            <w:vAlign w:val="center"/>
          </w:tcPr>
          <w:p>
            <w:r/>
            <w:r>
              <w:rPr>
                <w:b w:val="0"/>
                <w:sz w:val="18"/>
              </w:rPr>
              <w:t>Ratings, Feedback &amp; Content Success</w:t>
            </w:r>
          </w:p>
        </w:tc>
        <w:tc>
          <w:tcPr>
            <w:tcW w:type="dxa" w:w="5472"/>
            <w:vAlign w:val="center"/>
          </w:tcPr>
          <w:p>
            <w:r/>
            <w:r>
              <w:rPr>
                <w:b w:val="0"/>
                <w:sz w:val="18"/>
              </w:rPr>
              <w:t>Ratings, likes, feedback, completion and rewatch</w:t>
            </w:r>
          </w:p>
        </w:tc>
      </w:tr>
    </w:tbl>
    <w:p/>
    <w:p>
      <w:pPr>
        <w:pStyle w:val="Heading1"/>
      </w:pPr>
      <w:r>
        <w:t>3. Datasets Used</w:t>
      </w:r>
    </w:p>
    <w:p>
      <w:r>
        <w:t>The same cleaned datasets used in the previous project phases were used for Phase 5. The five datasets were loaded from Excel using pandas and the openpyxl Excel reader.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vAlign w:val="center"/>
            <w:shd w:fill="D9EAF7"/>
          </w:tcPr>
          <w:p>
            <w:r/>
            <w:r>
              <w:rPr>
                <w:b/>
                <w:sz w:val="18"/>
              </w:rPr>
              <w:t>Dataset</w:t>
            </w:r>
          </w:p>
        </w:tc>
        <w:tc>
          <w:tcPr>
            <w:tcW w:type="dxa" w:w="1080"/>
            <w:vAlign w:val="center"/>
            <w:shd w:fill="D9EAF7"/>
          </w:tcPr>
          <w:p>
            <w:r/>
            <w:r>
              <w:rPr>
                <w:b/>
                <w:sz w:val="18"/>
              </w:rPr>
              <w:t>Rows</w:t>
            </w:r>
          </w:p>
        </w:tc>
        <w:tc>
          <w:tcPr>
            <w:tcW w:type="dxa" w:w="1080"/>
            <w:vAlign w:val="center"/>
            <w:shd w:fill="D9EAF7"/>
          </w:tcPr>
          <w:p>
            <w:r/>
            <w:r>
              <w:rPr>
                <w:b/>
                <w:sz w:val="18"/>
              </w:rPr>
              <w:t>Columns</w:t>
            </w:r>
          </w:p>
        </w:tc>
        <w:tc>
          <w:tcPr>
            <w:tcW w:type="dxa" w:w="5184"/>
            <w:vAlign w:val="center"/>
            <w:shd w:fill="D9EAF7"/>
          </w:tcPr>
          <w:p>
            <w:r/>
            <w:r>
              <w:rPr>
                <w:b/>
                <w:sz w:val="18"/>
              </w:rPr>
              <w:t>Purpose</w:t>
            </w:r>
          </w:p>
        </w:tc>
      </w:tr>
      <w:tr>
        <w:tc>
          <w:tcPr>
            <w:tcW w:type="dxa" w:w="2448"/>
            <w:vAlign w:val="center"/>
          </w:tcPr>
          <w:p>
            <w:r/>
            <w:r>
              <w:rPr>
                <w:b w:val="0"/>
                <w:sz w:val="18"/>
              </w:rPr>
              <w:t>User Profile</w:t>
            </w:r>
          </w:p>
        </w:tc>
        <w:tc>
          <w:tcPr>
            <w:tcW w:type="dxa" w:w="1080"/>
            <w:vAlign w:val="center"/>
          </w:tcPr>
          <w:p>
            <w:r/>
            <w:r>
              <w:rPr>
                <w:b w:val="0"/>
                <w:sz w:val="18"/>
              </w:rPr>
              <w:t>2,000</w:t>
            </w:r>
          </w:p>
        </w:tc>
        <w:tc>
          <w:tcPr>
            <w:tcW w:type="dxa" w:w="1080"/>
            <w:vAlign w:val="center"/>
          </w:tcPr>
          <w:p>
            <w:r/>
            <w:r>
              <w:rPr>
                <w:b w:val="0"/>
                <w:sz w:val="18"/>
              </w:rPr>
              <w:t>9</w:t>
            </w:r>
          </w:p>
        </w:tc>
        <w:tc>
          <w:tcPr>
            <w:tcW w:type="dxa" w:w="5184"/>
            <w:vAlign w:val="center"/>
          </w:tcPr>
          <w:p>
            <w:r/>
            <w:r>
              <w:rPr>
                <w:b w:val="0"/>
                <w:sz w:val="18"/>
              </w:rPr>
              <w:t>Customer demographics and engagement information</w:t>
            </w:r>
          </w:p>
        </w:tc>
      </w:tr>
      <w:tr>
        <w:tc>
          <w:tcPr>
            <w:tcW w:type="dxa" w:w="2448"/>
            <w:vAlign w:val="center"/>
          </w:tcPr>
          <w:p>
            <w:r/>
            <w:r>
              <w:rPr>
                <w:b w:val="0"/>
                <w:sz w:val="18"/>
              </w:rPr>
              <w:t>Content Library</w:t>
            </w:r>
          </w:p>
        </w:tc>
        <w:tc>
          <w:tcPr>
            <w:tcW w:type="dxa" w:w="1080"/>
            <w:vAlign w:val="center"/>
          </w:tcPr>
          <w:p>
            <w:r/>
            <w:r>
              <w:rPr>
                <w:b w:val="0"/>
                <w:sz w:val="18"/>
              </w:rPr>
              <w:t>17,797</w:t>
            </w:r>
          </w:p>
        </w:tc>
        <w:tc>
          <w:tcPr>
            <w:tcW w:type="dxa" w:w="1080"/>
            <w:vAlign w:val="center"/>
          </w:tcPr>
          <w:p>
            <w:r/>
            <w:r>
              <w:rPr>
                <w:b w:val="0"/>
                <w:sz w:val="18"/>
              </w:rPr>
              <w:t>19</w:t>
            </w:r>
          </w:p>
        </w:tc>
        <w:tc>
          <w:tcPr>
            <w:tcW w:type="dxa" w:w="5184"/>
            <w:vAlign w:val="center"/>
          </w:tcPr>
          <w:p>
            <w:r/>
            <w:r>
              <w:rPr>
                <w:b w:val="0"/>
                <w:sz w:val="18"/>
              </w:rPr>
              <w:t>Content catalogue, platform, type, genre and content attributes</w:t>
            </w:r>
          </w:p>
        </w:tc>
      </w:tr>
      <w:tr>
        <w:tc>
          <w:tcPr>
            <w:tcW w:type="dxa" w:w="2448"/>
            <w:vAlign w:val="center"/>
          </w:tcPr>
          <w:p>
            <w:r/>
            <w:r>
              <w:rPr>
                <w:b w:val="0"/>
                <w:sz w:val="18"/>
              </w:rPr>
              <w:t>Viewing Activity</w:t>
            </w:r>
          </w:p>
        </w:tc>
        <w:tc>
          <w:tcPr>
            <w:tcW w:type="dxa" w:w="1080"/>
            <w:vAlign w:val="center"/>
          </w:tcPr>
          <w:p>
            <w:r/>
            <w:r>
              <w:rPr>
                <w:b w:val="0"/>
                <w:sz w:val="18"/>
              </w:rPr>
              <w:t>30,000</w:t>
            </w:r>
          </w:p>
        </w:tc>
        <w:tc>
          <w:tcPr>
            <w:tcW w:type="dxa" w:w="1080"/>
            <w:vAlign w:val="center"/>
          </w:tcPr>
          <w:p>
            <w:r/>
            <w:r>
              <w:rPr>
                <w:b w:val="0"/>
                <w:sz w:val="18"/>
              </w:rPr>
              <w:t>10</w:t>
            </w:r>
          </w:p>
        </w:tc>
        <w:tc>
          <w:tcPr>
            <w:tcW w:type="dxa" w:w="5184"/>
            <w:vAlign w:val="center"/>
          </w:tcPr>
          <w:p>
            <w:r/>
            <w:r>
              <w:rPr>
                <w:b w:val="0"/>
                <w:sz w:val="18"/>
              </w:rPr>
              <w:t>Viewing sessions, watch duration, completion and device/time behaviour</w:t>
            </w:r>
          </w:p>
        </w:tc>
      </w:tr>
      <w:tr>
        <w:tc>
          <w:tcPr>
            <w:tcW w:type="dxa" w:w="2448"/>
            <w:vAlign w:val="center"/>
          </w:tcPr>
          <w:p>
            <w:r/>
            <w:r>
              <w:rPr>
                <w:b w:val="0"/>
                <w:sz w:val="18"/>
              </w:rPr>
              <w:t>Ratings &amp; Feedback</w:t>
            </w:r>
          </w:p>
        </w:tc>
        <w:tc>
          <w:tcPr>
            <w:tcW w:type="dxa" w:w="1080"/>
            <w:vAlign w:val="center"/>
          </w:tcPr>
          <w:p>
            <w:r/>
            <w:r>
              <w:rPr>
                <w:b w:val="0"/>
                <w:sz w:val="18"/>
              </w:rPr>
              <w:t>12,000</w:t>
            </w:r>
          </w:p>
        </w:tc>
        <w:tc>
          <w:tcPr>
            <w:tcW w:type="dxa" w:w="1080"/>
            <w:vAlign w:val="center"/>
          </w:tcPr>
          <w:p>
            <w:r/>
            <w:r>
              <w:rPr>
                <w:b w:val="0"/>
                <w:sz w:val="18"/>
              </w:rPr>
              <w:t>5</w:t>
            </w:r>
          </w:p>
        </w:tc>
        <w:tc>
          <w:tcPr>
            <w:tcW w:type="dxa" w:w="5184"/>
            <w:vAlign w:val="center"/>
          </w:tcPr>
          <w:p>
            <w:r/>
            <w:r>
              <w:rPr>
                <w:b w:val="0"/>
                <w:sz w:val="18"/>
              </w:rPr>
              <w:t>Viewer ratings, likes and feedback</w:t>
            </w:r>
          </w:p>
        </w:tc>
      </w:tr>
      <w:tr>
        <w:tc>
          <w:tcPr>
            <w:tcW w:type="dxa" w:w="2448"/>
            <w:vAlign w:val="center"/>
          </w:tcPr>
          <w:p>
            <w:r/>
            <w:r>
              <w:rPr>
                <w:b w:val="0"/>
                <w:sz w:val="18"/>
              </w:rPr>
              <w:t>Subscription &amp; Retention</w:t>
            </w:r>
          </w:p>
        </w:tc>
        <w:tc>
          <w:tcPr>
            <w:tcW w:type="dxa" w:w="1080"/>
            <w:vAlign w:val="center"/>
          </w:tcPr>
          <w:p>
            <w:r/>
            <w:r>
              <w:rPr>
                <w:b w:val="0"/>
                <w:sz w:val="18"/>
              </w:rPr>
              <w:t>2,000</w:t>
            </w:r>
          </w:p>
        </w:tc>
        <w:tc>
          <w:tcPr>
            <w:tcW w:type="dxa" w:w="1080"/>
            <w:vAlign w:val="center"/>
          </w:tcPr>
          <w:p>
            <w:r/>
            <w:r>
              <w:rPr>
                <w:b w:val="0"/>
                <w:sz w:val="18"/>
              </w:rPr>
              <w:t>5</w:t>
            </w:r>
          </w:p>
        </w:tc>
        <w:tc>
          <w:tcPr>
            <w:tcW w:type="dxa" w:w="5184"/>
            <w:vAlign w:val="center"/>
          </w:tcPr>
          <w:p>
            <w:r/>
            <w:r>
              <w:rPr>
                <w:b w:val="0"/>
                <w:sz w:val="18"/>
              </w:rPr>
              <w:t>Subscription type, monthly fee, renewal and churn</w:t>
            </w:r>
          </w:p>
        </w:tc>
      </w:tr>
    </w:tbl>
    <w:p/>
    <w:p>
      <w:pPr>
        <w:pStyle w:val="Heading1"/>
      </w:pPr>
      <w:r>
        <w:t>4. Tools and Technologies</w:t>
      </w:r>
    </w:p>
    <w:p>
      <w:pPr>
        <w:pStyle w:val="ListBullet"/>
      </w:pPr>
      <w:r>
        <w:t>Python — main analysis language.</w:t>
      </w:r>
    </w:p>
    <w:p>
      <w:pPr>
        <w:pStyle w:val="ListBullet"/>
      </w:pPr>
      <w:r>
        <w:t>Jupyter Notebook — interactive development and documentation environment.</w:t>
      </w:r>
    </w:p>
    <w:p>
      <w:pPr>
        <w:pStyle w:val="ListBullet"/>
      </w:pPr>
      <w:r>
        <w:t>Pandas — data loading, transformation, grouping, aggregation and descriptive analysis.</w:t>
      </w:r>
    </w:p>
    <w:p>
      <w:pPr>
        <w:pStyle w:val="ListBullet"/>
      </w:pPr>
      <w:r>
        <w:t>NumPy — numerical operations and analytical calculations.</w:t>
      </w:r>
    </w:p>
    <w:p>
      <w:pPr>
        <w:pStyle w:val="ListBullet"/>
      </w:pPr>
      <w:r>
        <w:t>Matplotlib — charts and visualisations.</w:t>
      </w:r>
    </w:p>
    <w:p>
      <w:pPr>
        <w:pStyle w:val="ListBullet"/>
      </w:pPr>
      <w:r>
        <w:t>OpenPyXL — Excel (.xlsx) reading support for pandas.</w:t>
      </w:r>
    </w:p>
    <w:p>
      <w:pPr>
        <w:pStyle w:val="ListBullet"/>
      </w:pPr>
      <w:r>
        <w:t>Excel cleaned datasets — source data for the Python EDA.</w:t>
      </w:r>
    </w:p>
    <w:p>
      <w:pPr>
        <w:pStyle w:val="Heading1"/>
      </w:pPr>
      <w:r>
        <w:t>5. Data Loading and Environment Setup</w:t>
      </w:r>
    </w:p>
    <w:p>
      <w:r>
        <w:t>A Python setup cell was used to verify the Excel-reading dependency. Because pandas requires openpyxl for .xlsx files, the notebook checks for openpyxl and installs it into the active Jupyter Python environment when it is not available.</w:t>
      </w:r>
    </w:p>
    <w:p>
      <w:r>
        <w:t>The notebook then identifies the current project folder and loads all five cleaned Excel files. A dataset summary is generated showing row and column counts.</w:t>
      </w:r>
    </w:p>
    <w:p>
      <w:pPr>
        <w:pStyle w:val="Heading1"/>
      </w:pPr>
      <w:r>
        <w:t>6. Data Quality Verification</w:t>
      </w:r>
    </w:p>
    <w:p>
      <w:r>
        <w:t>Before analysis, a reusable profiling function was used to check each dataset for row count, column count, duplicate rows and total missing values. This provides a basic verification that the cleaned datasets are ready for analysis.</w:t>
      </w:r>
    </w:p>
    <w:p>
      <w:r>
        <w:t>The Phase 5 workflow therefore follows:</w:t>
      </w:r>
    </w:p>
    <w:p>
      <w:pPr>
        <w:pStyle w:val="ListBullet"/>
      </w:pPr>
      <w:r>
        <w:t>Load cleaned Excel files.</w:t>
      </w:r>
    </w:p>
    <w:p>
      <w:pPr>
        <w:pStyle w:val="ListBullet"/>
      </w:pPr>
      <w:r>
        <w:t>Verify file availability and dataset dimensions.</w:t>
      </w:r>
    </w:p>
    <w:p>
      <w:pPr>
        <w:pStyle w:val="ListBullet"/>
      </w:pPr>
      <w:r>
        <w:t>Check duplicates and missing values.</w:t>
      </w:r>
    </w:p>
    <w:p>
      <w:pPr>
        <w:pStyle w:val="ListBullet"/>
      </w:pPr>
      <w:r>
        <w:t>Prepare analytical relationships between customer, content, viewing, rating and subscription data.</w:t>
      </w:r>
    </w:p>
    <w:p>
      <w:pPr>
        <w:pStyle w:val="ListBullet"/>
      </w:pPr>
      <w:r>
        <w:t>Calculate descriptive statistics.</w:t>
      </w:r>
    </w:p>
    <w:p>
      <w:pPr>
        <w:pStyle w:val="ListBullet"/>
      </w:pPr>
      <w:r>
        <w:t>Perform objective-wise EDA.</w:t>
      </w:r>
    </w:p>
    <w:p>
      <w:pPr>
        <w:pStyle w:val="ListBullet"/>
      </w:pPr>
      <w:r>
        <w:t>Record business observations.</w:t>
      </w:r>
    </w:p>
    <w:p>
      <w:pPr>
        <w:pStyle w:val="ListBullet"/>
      </w:pPr>
      <w:r>
        <w:t>Carry forward selected relationships for formal statistical validation.</w:t>
      </w:r>
    </w:p>
    <w:p>
      <w:pPr>
        <w:pStyle w:val="Heading1"/>
      </w:pPr>
      <w:r>
        <w:t>7. Analytical Relationships Prepared</w:t>
      </w:r>
    </w:p>
    <w:p>
      <w:r>
        <w:t>The notebook prepares the main relationships required for business analysis. User_ID is used to connect customer information with viewing and subscription information. Content identifiers are normalised into a Content_Key so that viewing and ratings can be connected with the content library.</w:t>
      </w:r>
    </w:p>
    <w:p>
      <w:pPr>
        <w:pStyle w:val="ListBullet"/>
      </w:pPr>
      <w:r>
        <w:t>User_ID → User Profile + Viewing Activity + Subscription/Retention</w:t>
      </w:r>
    </w:p>
    <w:p>
      <w:pPr>
        <w:pStyle w:val="ListBullet"/>
      </w:pPr>
      <w:r>
        <w:t>Content_Key → Content Library + Viewing Activity + Ratings &amp; Feedback</w:t>
      </w:r>
    </w:p>
    <w:p>
      <w:pPr>
        <w:pStyle w:val="ListBullet"/>
      </w:pPr>
      <w:r>
        <w:t>Content attributes such as platform, title, content type and primary genre are mapped into viewing records.</w:t>
      </w:r>
    </w:p>
    <w:p>
      <w:pPr>
        <w:pStyle w:val="ListBullet"/>
      </w:pPr>
      <w:r>
        <w:t>Customer attributes such as age group, gender, region, engagement level and subscription type are used for segmentation.</w:t>
      </w:r>
    </w:p>
    <w:p>
      <w:pPr>
        <w:pStyle w:val="Heading1"/>
      </w:pPr>
      <w:r>
        <w:t>8. Descriptive Statistics</w:t>
      </w:r>
    </w:p>
    <w:p>
      <w:r>
        <w:t>Descriptive statistics were calculated for key analytical variables to understand central tendency and spread before interpreting charts. The notebook calculates Mean, Median, Standard Deviation, Minimum and Maximum for selected measures.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8"/>
              </w:rPr>
              <w:t>Measure</w:t>
            </w:r>
          </w:p>
        </w:tc>
        <w:tc>
          <w:tcPr>
            <w:tcW w:type="dxa" w:w="6768"/>
            <w:vAlign w:val="center"/>
            <w:shd w:fill="D9EAF7"/>
          </w:tcPr>
          <w:p>
            <w:r/>
            <w:r>
              <w:rPr>
                <w:b/>
                <w:sz w:val="18"/>
              </w:rPr>
              <w:t>Business Meaning</w:t>
            </w:r>
          </w:p>
        </w:tc>
      </w:tr>
      <w:tr>
        <w:tc>
          <w:tcPr>
            <w:tcW w:type="dxa" w:w="2880"/>
            <w:vAlign w:val="center"/>
          </w:tcPr>
          <w:p>
            <w:r/>
            <w:r>
              <w:rPr>
                <w:b w:val="0"/>
                <w:sz w:val="18"/>
              </w:rPr>
              <w:t>Watch Duration</w:t>
            </w:r>
          </w:p>
        </w:tc>
        <w:tc>
          <w:tcPr>
            <w:tcW w:type="dxa" w:w="6768"/>
            <w:vAlign w:val="center"/>
          </w:tcPr>
          <w:p>
            <w:r/>
            <w:r>
              <w:rPr>
                <w:b w:val="0"/>
                <w:sz w:val="18"/>
              </w:rPr>
              <w:t>How long viewers spend watching content.</w:t>
            </w:r>
          </w:p>
        </w:tc>
      </w:tr>
      <w:tr>
        <w:tc>
          <w:tcPr>
            <w:tcW w:type="dxa" w:w="2880"/>
            <w:vAlign w:val="center"/>
          </w:tcPr>
          <w:p>
            <w:r/>
            <w:r>
              <w:rPr>
                <w:b w:val="0"/>
                <w:sz w:val="18"/>
              </w:rPr>
              <w:t>Completion %</w:t>
            </w:r>
          </w:p>
        </w:tc>
        <w:tc>
          <w:tcPr>
            <w:tcW w:type="dxa" w:w="6768"/>
            <w:vAlign w:val="center"/>
          </w:tcPr>
          <w:p>
            <w:r/>
            <w:r>
              <w:rPr>
                <w:b w:val="0"/>
                <w:sz w:val="18"/>
              </w:rPr>
              <w:t>How much of the content viewers complete.</w:t>
            </w:r>
          </w:p>
        </w:tc>
      </w:tr>
      <w:tr>
        <w:tc>
          <w:tcPr>
            <w:tcW w:type="dxa" w:w="2880"/>
            <w:vAlign w:val="center"/>
          </w:tcPr>
          <w:p>
            <w:r/>
            <w:r>
              <w:rPr>
                <w:b w:val="0"/>
                <w:sz w:val="18"/>
              </w:rPr>
              <w:t>Paused Times</w:t>
            </w:r>
          </w:p>
        </w:tc>
        <w:tc>
          <w:tcPr>
            <w:tcW w:type="dxa" w:w="6768"/>
            <w:vAlign w:val="center"/>
          </w:tcPr>
          <w:p>
            <w:r/>
            <w:r>
              <w:rPr>
                <w:b w:val="0"/>
                <w:sz w:val="18"/>
              </w:rPr>
              <w:t>Indicates interruptions during viewing.</w:t>
            </w:r>
          </w:p>
        </w:tc>
      </w:tr>
      <w:tr>
        <w:tc>
          <w:tcPr>
            <w:tcW w:type="dxa" w:w="2880"/>
            <w:vAlign w:val="center"/>
          </w:tcPr>
          <w:p>
            <w:r/>
            <w:r>
              <w:rPr>
                <w:b w:val="0"/>
                <w:sz w:val="18"/>
              </w:rPr>
              <w:t>Rating</w:t>
            </w:r>
          </w:p>
        </w:tc>
        <w:tc>
          <w:tcPr>
            <w:tcW w:type="dxa" w:w="6768"/>
            <w:vAlign w:val="center"/>
          </w:tcPr>
          <w:p>
            <w:r/>
            <w:r>
              <w:rPr>
                <w:b w:val="0"/>
                <w:sz w:val="18"/>
              </w:rPr>
              <w:t>Viewer satisfaction indicator.</w:t>
            </w:r>
          </w:p>
        </w:tc>
      </w:tr>
      <w:tr>
        <w:tc>
          <w:tcPr>
            <w:tcW w:type="dxa" w:w="2880"/>
            <w:vAlign w:val="center"/>
          </w:tcPr>
          <w:p>
            <w:r/>
            <w:r>
              <w:rPr>
                <w:b w:val="0"/>
                <w:sz w:val="18"/>
              </w:rPr>
              <w:t>Monthly Fee</w:t>
            </w:r>
          </w:p>
        </w:tc>
        <w:tc>
          <w:tcPr>
            <w:tcW w:type="dxa" w:w="6768"/>
            <w:vAlign w:val="center"/>
          </w:tcPr>
          <w:p>
            <w:r/>
            <w:r>
              <w:rPr>
                <w:b w:val="0"/>
                <w:sz w:val="18"/>
              </w:rPr>
              <w:t>Subscription price measure used in retention analysis.</w:t>
            </w:r>
          </w:p>
        </w:tc>
      </w:tr>
    </w:tbl>
    <w:p/>
    <w:p>
      <w:pPr>
        <w:pStyle w:val="Heading1"/>
      </w:pPr>
      <w:r>
        <w:t>9. O1 — Content Performance &amp; Viewer Engagement</w:t>
      </w:r>
    </w:p>
    <w:p>
      <w:r>
        <w:t>O1 evaluates which content categories and characteristics are associated with stronger viewing engagement.</w:t>
      </w:r>
    </w:p>
    <w:tbl>
      <w:tblPr>
        <w:tblStyle w:val="TableGrid"/>
        <w:tblW w:type="auto" w:w="0"/>
        <w:jc w:val="center"/>
        <w:tblLook w:firstColumn="1" w:firstRow="1" w:lastColumn="0" w:lastRow="0" w:noHBand="0" w:noVBand="1" w:val="04A0"/>
      </w:tblPr>
      <w:tblGrid>
        <w:gridCol w:w="3360"/>
        <w:gridCol w:w="3360"/>
        <w:gridCol w:w="3360"/>
      </w:tblGrid>
      <w:tr>
        <w:tc>
          <w:tcPr>
            <w:tcW w:type="dxa" w:w="2736"/>
            <w:vAlign w:val="center"/>
            <w:shd w:fill="D9EAF7"/>
          </w:tcPr>
          <w:p>
            <w:r/>
            <w:r>
              <w:rPr>
                <w:b/>
                <w:sz w:val="18"/>
              </w:rPr>
              <w:t>Question / Analysis</w:t>
            </w:r>
          </w:p>
        </w:tc>
        <w:tc>
          <w:tcPr>
            <w:tcW w:type="dxa" w:w="4680"/>
            <w:vAlign w:val="center"/>
            <w:shd w:fill="D9EAF7"/>
          </w:tcPr>
          <w:p>
            <w:r/>
            <w:r>
              <w:rPr>
                <w:b/>
                <w:sz w:val="18"/>
              </w:rPr>
              <w:t>Implementation</w:t>
            </w:r>
          </w:p>
        </w:tc>
        <w:tc>
          <w:tcPr>
            <w:tcW w:type="dxa" w:w="2232"/>
            <w:vAlign w:val="center"/>
            <w:shd w:fill="D9EAF7"/>
          </w:tcPr>
          <w:p>
            <w:r/>
            <w:r>
              <w:rPr>
                <w:b/>
                <w:sz w:val="18"/>
              </w:rPr>
              <w:t>Visual / Output</w:t>
            </w:r>
          </w:p>
        </w:tc>
      </w:tr>
      <w:tr>
        <w:tc>
          <w:tcPr>
            <w:tcW w:type="dxa" w:w="2736"/>
            <w:vAlign w:val="center"/>
          </w:tcPr>
          <w:p>
            <w:r/>
            <w:r>
              <w:rPr>
                <w:b w:val="0"/>
                <w:sz w:val="18"/>
              </w:rPr>
              <w:t>Q1.1 — Top genres</w:t>
            </w:r>
          </w:p>
        </w:tc>
        <w:tc>
          <w:tcPr>
            <w:tcW w:type="dxa" w:w="4680"/>
            <w:vAlign w:val="center"/>
          </w:tcPr>
          <w:p>
            <w:r/>
            <w:r>
              <w:rPr>
                <w:b w:val="0"/>
                <w:sz w:val="18"/>
              </w:rPr>
              <w:t>Count titles by primary genre.</w:t>
            </w:r>
          </w:p>
        </w:tc>
        <w:tc>
          <w:tcPr>
            <w:tcW w:type="dxa" w:w="2232"/>
            <w:vAlign w:val="center"/>
          </w:tcPr>
          <w:p>
            <w:r/>
            <w:r>
              <w:rPr>
                <w:b w:val="0"/>
                <w:sz w:val="18"/>
              </w:rPr>
              <w:t>Horizontal bar chart</w:t>
            </w:r>
          </w:p>
        </w:tc>
      </w:tr>
      <w:tr>
        <w:tc>
          <w:tcPr>
            <w:tcW w:type="dxa" w:w="2736"/>
            <w:vAlign w:val="center"/>
          </w:tcPr>
          <w:p>
            <w:r/>
            <w:r>
              <w:rPr>
                <w:b w:val="0"/>
                <w:sz w:val="18"/>
              </w:rPr>
              <w:t>Q1.2 — Completion by genre</w:t>
            </w:r>
          </w:p>
        </w:tc>
        <w:tc>
          <w:tcPr>
            <w:tcW w:type="dxa" w:w="4680"/>
            <w:vAlign w:val="center"/>
          </w:tcPr>
          <w:p>
            <w:r/>
            <w:r>
              <w:rPr>
                <w:b w:val="0"/>
                <w:sz w:val="18"/>
              </w:rPr>
              <w:t>Group viewing records by primary genre and calculate mean completion.</w:t>
            </w:r>
          </w:p>
        </w:tc>
        <w:tc>
          <w:tcPr>
            <w:tcW w:type="dxa" w:w="2232"/>
            <w:vAlign w:val="center"/>
          </w:tcPr>
          <w:p>
            <w:r/>
            <w:r>
              <w:rPr>
                <w:b w:val="0"/>
                <w:sz w:val="18"/>
              </w:rPr>
              <w:t>Horizontal bar chart</w:t>
            </w:r>
          </w:p>
        </w:tc>
      </w:tr>
      <w:tr>
        <w:tc>
          <w:tcPr>
            <w:tcW w:type="dxa" w:w="2736"/>
            <w:vAlign w:val="center"/>
          </w:tcPr>
          <w:p>
            <w:r/>
            <w:r>
              <w:rPr>
                <w:b w:val="0"/>
                <w:sz w:val="18"/>
              </w:rPr>
              <w:t>Q1.3 — Movies vs TV Shows</w:t>
            </w:r>
          </w:p>
        </w:tc>
        <w:tc>
          <w:tcPr>
            <w:tcW w:type="dxa" w:w="4680"/>
            <w:vAlign w:val="center"/>
          </w:tcPr>
          <w:p>
            <w:r/>
            <w:r>
              <w:rPr>
                <w:b w:val="0"/>
                <w:sz w:val="18"/>
              </w:rPr>
              <w:t>Compare sessions, average watch duration and completion.</w:t>
            </w:r>
          </w:p>
        </w:tc>
        <w:tc>
          <w:tcPr>
            <w:tcW w:type="dxa" w:w="2232"/>
            <w:vAlign w:val="center"/>
          </w:tcPr>
          <w:p>
            <w:r/>
            <w:r>
              <w:rPr>
                <w:b w:val="0"/>
                <w:sz w:val="18"/>
              </w:rPr>
              <w:t>Summary table + bar chart</w:t>
            </w:r>
          </w:p>
        </w:tc>
      </w:tr>
      <w:tr>
        <w:tc>
          <w:tcPr>
            <w:tcW w:type="dxa" w:w="2736"/>
            <w:vAlign w:val="center"/>
          </w:tcPr>
          <w:p>
            <w:r/>
            <w:r>
              <w:rPr>
                <w:b w:val="0"/>
                <w:sz w:val="18"/>
              </w:rPr>
              <w:t>Q1.4 — Content age vs engagement</w:t>
            </w:r>
          </w:p>
        </w:tc>
        <w:tc>
          <w:tcPr>
            <w:tcW w:type="dxa" w:w="4680"/>
            <w:vAlign w:val="center"/>
          </w:tcPr>
          <w:p>
            <w:r/>
            <w:r>
              <w:rPr>
                <w:b w:val="0"/>
                <w:sz w:val="18"/>
              </w:rPr>
              <w:t>Create content-age groups and compare popularity/engagement.</w:t>
            </w:r>
          </w:p>
        </w:tc>
        <w:tc>
          <w:tcPr>
            <w:tcW w:type="dxa" w:w="2232"/>
            <w:vAlign w:val="center"/>
          </w:tcPr>
          <w:p>
            <w:r/>
            <w:r>
              <w:rPr>
                <w:b w:val="0"/>
                <w:sz w:val="18"/>
              </w:rPr>
              <w:t>Line chart + boxplot</w:t>
            </w:r>
          </w:p>
        </w:tc>
      </w:tr>
      <w:tr>
        <w:tc>
          <w:tcPr>
            <w:tcW w:type="dxa" w:w="2736"/>
            <w:vAlign w:val="center"/>
          </w:tcPr>
          <w:p>
            <w:r/>
            <w:r>
              <w:rPr>
                <w:b w:val="0"/>
                <w:sz w:val="18"/>
              </w:rPr>
              <w:t>Q1.5 — Top titles</w:t>
            </w:r>
          </w:p>
        </w:tc>
        <w:tc>
          <w:tcPr>
            <w:tcW w:type="dxa" w:w="4680"/>
            <w:vAlign w:val="center"/>
          </w:tcPr>
          <w:p>
            <w:r/>
            <w:r>
              <w:rPr>
                <w:b w:val="0"/>
                <w:sz w:val="18"/>
              </w:rPr>
              <w:t>Rank titles using popularity and engagement indicators.</w:t>
            </w:r>
          </w:p>
        </w:tc>
        <w:tc>
          <w:tcPr>
            <w:tcW w:type="dxa" w:w="2232"/>
            <w:vAlign w:val="center"/>
          </w:tcPr>
          <w:p>
            <w:r/>
            <w:r>
              <w:rPr>
                <w:b w:val="0"/>
                <w:sz w:val="18"/>
              </w:rPr>
              <w:t>Top-10 table</w:t>
            </w:r>
          </w:p>
        </w:tc>
      </w:tr>
    </w:tbl>
    <w:p/>
    <w:p>
      <w:r>
        <w:t>Business use: identify content categories, formats and titles that show stronger observed engagement and can support content portfolio decisions.</w:t>
      </w:r>
    </w:p>
    <w:p>
      <w:pPr>
        <w:pStyle w:val="Heading1"/>
      </w:pPr>
      <w:r>
        <w:t>10. O2 — Platform &amp; Content Portfolio Performance</w:t>
      </w:r>
    </w:p>
    <w:p>
      <w:r>
        <w:t>O2 compares platform-level catalogue and viewing performance.</w:t>
      </w:r>
    </w:p>
    <w:tbl>
      <w:tblPr>
        <w:tblStyle w:val="TableGrid"/>
        <w:tblW w:type="auto" w:w="0"/>
        <w:jc w:val="center"/>
        <w:tblLook w:firstColumn="1" w:firstRow="1" w:lastColumn="0" w:lastRow="0" w:noHBand="0" w:noVBand="1" w:val="04A0"/>
      </w:tblPr>
      <w:tblGrid>
        <w:gridCol w:w="3360"/>
        <w:gridCol w:w="3360"/>
        <w:gridCol w:w="3360"/>
      </w:tblGrid>
      <w:tr>
        <w:tc>
          <w:tcPr>
            <w:tcW w:type="dxa" w:w="2736"/>
            <w:vAlign w:val="center"/>
            <w:shd w:fill="D9EAF7"/>
          </w:tcPr>
          <w:p>
            <w:r/>
            <w:r>
              <w:rPr>
                <w:b/>
                <w:sz w:val="18"/>
              </w:rPr>
              <w:t>Question / Analysis</w:t>
            </w:r>
          </w:p>
        </w:tc>
        <w:tc>
          <w:tcPr>
            <w:tcW w:type="dxa" w:w="4680"/>
            <w:vAlign w:val="center"/>
            <w:shd w:fill="D9EAF7"/>
          </w:tcPr>
          <w:p>
            <w:r/>
            <w:r>
              <w:rPr>
                <w:b/>
                <w:sz w:val="18"/>
              </w:rPr>
              <w:t>Implementation</w:t>
            </w:r>
          </w:p>
        </w:tc>
        <w:tc>
          <w:tcPr>
            <w:tcW w:type="dxa" w:w="2232"/>
            <w:vAlign w:val="center"/>
            <w:shd w:fill="D9EAF7"/>
          </w:tcPr>
          <w:p>
            <w:r/>
            <w:r>
              <w:rPr>
                <w:b/>
                <w:sz w:val="18"/>
              </w:rPr>
              <w:t>Output</w:t>
            </w:r>
          </w:p>
        </w:tc>
      </w:tr>
      <w:tr>
        <w:tc>
          <w:tcPr>
            <w:tcW w:type="dxa" w:w="2736"/>
            <w:vAlign w:val="center"/>
          </w:tcPr>
          <w:p>
            <w:r/>
            <w:r>
              <w:rPr>
                <w:b w:val="0"/>
                <w:sz w:val="18"/>
              </w:rPr>
              <w:t>Q2.1 — Catalogue size</w:t>
            </w:r>
          </w:p>
        </w:tc>
        <w:tc>
          <w:tcPr>
            <w:tcW w:type="dxa" w:w="4680"/>
            <w:vAlign w:val="center"/>
          </w:tcPr>
          <w:p>
            <w:r/>
            <w:r>
              <w:rPr>
                <w:b w:val="0"/>
                <w:sz w:val="18"/>
              </w:rPr>
              <w:t>Count titles by platform.</w:t>
            </w:r>
          </w:p>
        </w:tc>
        <w:tc>
          <w:tcPr>
            <w:tcW w:type="dxa" w:w="2232"/>
            <w:vAlign w:val="center"/>
          </w:tcPr>
          <w:p>
            <w:r/>
            <w:r>
              <w:rPr>
                <w:b w:val="0"/>
                <w:sz w:val="18"/>
              </w:rPr>
              <w:t>Bar chart</w:t>
            </w:r>
          </w:p>
        </w:tc>
      </w:tr>
      <w:tr>
        <w:tc>
          <w:tcPr>
            <w:tcW w:type="dxa" w:w="2736"/>
            <w:vAlign w:val="center"/>
          </w:tcPr>
          <w:p>
            <w:r/>
            <w:r>
              <w:rPr>
                <w:b w:val="0"/>
                <w:sz w:val="18"/>
              </w:rPr>
              <w:t>Q2.2 — Platform viewing</w:t>
            </w:r>
          </w:p>
        </w:tc>
        <w:tc>
          <w:tcPr>
            <w:tcW w:type="dxa" w:w="4680"/>
            <w:vAlign w:val="center"/>
          </w:tcPr>
          <w:p>
            <w:r/>
            <w:r>
              <w:rPr>
                <w:b w:val="0"/>
                <w:sz w:val="18"/>
              </w:rPr>
              <w:t>Count viewing sessions by platform.</w:t>
            </w:r>
          </w:p>
        </w:tc>
        <w:tc>
          <w:tcPr>
            <w:tcW w:type="dxa" w:w="2232"/>
            <w:vAlign w:val="center"/>
          </w:tcPr>
          <w:p>
            <w:r/>
            <w:r>
              <w:rPr>
                <w:b w:val="0"/>
                <w:sz w:val="18"/>
              </w:rPr>
              <w:t>Summary table</w:t>
            </w:r>
          </w:p>
        </w:tc>
      </w:tr>
      <w:tr>
        <w:tc>
          <w:tcPr>
            <w:tcW w:type="dxa" w:w="2736"/>
            <w:vAlign w:val="center"/>
          </w:tcPr>
          <w:p>
            <w:r/>
            <w:r>
              <w:rPr>
                <w:b w:val="0"/>
                <w:sz w:val="18"/>
              </w:rPr>
              <w:t>Q2.3 — Platform completion</w:t>
            </w:r>
          </w:p>
        </w:tc>
        <w:tc>
          <w:tcPr>
            <w:tcW w:type="dxa" w:w="4680"/>
            <w:vAlign w:val="center"/>
          </w:tcPr>
          <w:p>
            <w:r/>
            <w:r>
              <w:rPr>
                <w:b w:val="0"/>
                <w:sz w:val="18"/>
              </w:rPr>
              <w:t>Calculate average completion by platform.</w:t>
            </w:r>
          </w:p>
        </w:tc>
        <w:tc>
          <w:tcPr>
            <w:tcW w:type="dxa" w:w="2232"/>
            <w:vAlign w:val="center"/>
          </w:tcPr>
          <w:p>
            <w:r/>
            <w:r>
              <w:rPr>
                <w:b w:val="0"/>
                <w:sz w:val="18"/>
              </w:rPr>
              <w:t>Bar chart</w:t>
            </w:r>
          </w:p>
        </w:tc>
      </w:tr>
      <w:tr>
        <w:tc>
          <w:tcPr>
            <w:tcW w:type="dxa" w:w="2736"/>
            <w:vAlign w:val="center"/>
          </w:tcPr>
          <w:p>
            <w:r/>
            <w:r>
              <w:rPr>
                <w:b w:val="0"/>
                <w:sz w:val="18"/>
              </w:rPr>
              <w:t>Q2.4 — Watch-duration distribution</w:t>
            </w:r>
          </w:p>
        </w:tc>
        <w:tc>
          <w:tcPr>
            <w:tcW w:type="dxa" w:w="4680"/>
            <w:vAlign w:val="center"/>
          </w:tcPr>
          <w:p>
            <w:r/>
            <w:r>
              <w:rPr>
                <w:b w:val="0"/>
                <w:sz w:val="18"/>
              </w:rPr>
              <w:t>Compare watch-duration distributions across platforms.</w:t>
            </w:r>
          </w:p>
        </w:tc>
        <w:tc>
          <w:tcPr>
            <w:tcW w:type="dxa" w:w="2232"/>
            <w:vAlign w:val="center"/>
          </w:tcPr>
          <w:p>
            <w:r/>
            <w:r>
              <w:rPr>
                <w:b w:val="0"/>
                <w:sz w:val="18"/>
              </w:rPr>
              <w:t>Boxplot</w:t>
            </w:r>
          </w:p>
        </w:tc>
      </w:tr>
      <w:tr>
        <w:tc>
          <w:tcPr>
            <w:tcW w:type="dxa" w:w="2736"/>
            <w:vAlign w:val="center"/>
          </w:tcPr>
          <w:p>
            <w:r/>
            <w:r>
              <w:rPr>
                <w:b w:val="0"/>
                <w:sz w:val="18"/>
              </w:rPr>
              <w:t>Q2.5 — Platform × genre</w:t>
            </w:r>
          </w:p>
        </w:tc>
        <w:tc>
          <w:tcPr>
            <w:tcW w:type="dxa" w:w="4680"/>
            <w:vAlign w:val="center"/>
          </w:tcPr>
          <w:p>
            <w:r/>
            <w:r>
              <w:rPr>
                <w:b w:val="0"/>
                <w:sz w:val="18"/>
              </w:rPr>
              <w:t>Rank genres within each platform using average completion.</w:t>
            </w:r>
          </w:p>
        </w:tc>
        <w:tc>
          <w:tcPr>
            <w:tcW w:type="dxa" w:w="2232"/>
            <w:vAlign w:val="center"/>
          </w:tcPr>
          <w:p>
            <w:r/>
            <w:r>
              <w:rPr>
                <w:b w:val="0"/>
                <w:sz w:val="18"/>
              </w:rPr>
              <w:t>Ranked table</w:t>
            </w:r>
          </w:p>
        </w:tc>
      </w:tr>
    </w:tbl>
    <w:p/>
    <w:p>
      <w:r>
        <w:t>Business use: understand platform portfolio strength, viewer engagement and areas where content performance differs across platforms.</w:t>
      </w:r>
    </w:p>
    <w:p>
      <w:pPr>
        <w:pStyle w:val="Heading1"/>
      </w:pPr>
      <w:r>
        <w:t>11. O3 — Viewing Behaviour Across Customer Segments</w:t>
      </w:r>
    </w:p>
    <w:p>
      <w:r>
        <w:t>O3 uses customer segmentation to understand differences in viewing behaviour.</w:t>
      </w:r>
    </w:p>
    <w:tbl>
      <w:tblPr>
        <w:tblStyle w:val="TableGrid"/>
        <w:tblW w:type="auto" w:w="0"/>
        <w:jc w:val="center"/>
        <w:tblLook w:firstColumn="1" w:firstRow="1" w:lastColumn="0" w:lastRow="0" w:noHBand="0" w:noVBand="1" w:val="04A0"/>
      </w:tblPr>
      <w:tblGrid>
        <w:gridCol w:w="3360"/>
        <w:gridCol w:w="3360"/>
        <w:gridCol w:w="3360"/>
      </w:tblGrid>
      <w:tr>
        <w:tc>
          <w:tcPr>
            <w:tcW w:type="dxa" w:w="2736"/>
            <w:vAlign w:val="center"/>
            <w:shd w:fill="D9EAF7"/>
          </w:tcPr>
          <w:p>
            <w:r/>
            <w:r>
              <w:rPr>
                <w:b/>
                <w:sz w:val="18"/>
              </w:rPr>
              <w:t>Question / Analysis</w:t>
            </w:r>
          </w:p>
        </w:tc>
        <w:tc>
          <w:tcPr>
            <w:tcW w:type="dxa" w:w="4680"/>
            <w:vAlign w:val="center"/>
            <w:shd w:fill="D9EAF7"/>
          </w:tcPr>
          <w:p>
            <w:r/>
            <w:r>
              <w:rPr>
                <w:b/>
                <w:sz w:val="18"/>
              </w:rPr>
              <w:t>Implementation</w:t>
            </w:r>
          </w:p>
        </w:tc>
        <w:tc>
          <w:tcPr>
            <w:tcW w:type="dxa" w:w="2232"/>
            <w:vAlign w:val="center"/>
            <w:shd w:fill="D9EAF7"/>
          </w:tcPr>
          <w:p>
            <w:r/>
            <w:r>
              <w:rPr>
                <w:b/>
                <w:sz w:val="18"/>
              </w:rPr>
              <w:t>Output</w:t>
            </w:r>
          </w:p>
        </w:tc>
      </w:tr>
      <w:tr>
        <w:tc>
          <w:tcPr>
            <w:tcW w:type="dxa" w:w="2736"/>
            <w:vAlign w:val="center"/>
          </w:tcPr>
          <w:p>
            <w:r/>
            <w:r>
              <w:rPr>
                <w:b w:val="0"/>
                <w:sz w:val="18"/>
              </w:rPr>
              <w:t>Q3.1 — Age group viewing</w:t>
            </w:r>
          </w:p>
        </w:tc>
        <w:tc>
          <w:tcPr>
            <w:tcW w:type="dxa" w:w="4680"/>
            <w:vAlign w:val="center"/>
          </w:tcPr>
          <w:p>
            <w:r/>
            <w:r>
              <w:rPr>
                <w:b w:val="0"/>
                <w:sz w:val="18"/>
              </w:rPr>
              <w:t>Compare session volume and viewing measures by age group.</w:t>
            </w:r>
          </w:p>
        </w:tc>
        <w:tc>
          <w:tcPr>
            <w:tcW w:type="dxa" w:w="2232"/>
            <w:vAlign w:val="center"/>
          </w:tcPr>
          <w:p>
            <w:r/>
            <w:r>
              <w:rPr>
                <w:b w:val="0"/>
                <w:sz w:val="18"/>
              </w:rPr>
              <w:t>Bar chart + table</w:t>
            </w:r>
          </w:p>
        </w:tc>
      </w:tr>
      <w:tr>
        <w:tc>
          <w:tcPr>
            <w:tcW w:type="dxa" w:w="2736"/>
            <w:vAlign w:val="center"/>
          </w:tcPr>
          <w:p>
            <w:r/>
            <w:r>
              <w:rPr>
                <w:b w:val="0"/>
                <w:sz w:val="18"/>
              </w:rPr>
              <w:t>Q3.2 — Region × engagement</w:t>
            </w:r>
          </w:p>
        </w:tc>
        <w:tc>
          <w:tcPr>
            <w:tcW w:type="dxa" w:w="4680"/>
            <w:vAlign w:val="center"/>
          </w:tcPr>
          <w:p>
            <w:r/>
            <w:r>
              <w:rPr>
                <w:b w:val="0"/>
                <w:sz w:val="18"/>
              </w:rPr>
              <w:t>Create a region-by-engagement cross-tabulation.</w:t>
            </w:r>
          </w:p>
        </w:tc>
        <w:tc>
          <w:tcPr>
            <w:tcW w:type="dxa" w:w="2232"/>
            <w:vAlign w:val="center"/>
          </w:tcPr>
          <w:p>
            <w:r/>
            <w:r>
              <w:rPr>
                <w:b w:val="0"/>
                <w:sz w:val="18"/>
              </w:rPr>
              <w:t>Heatmap-style chart</w:t>
            </w:r>
          </w:p>
        </w:tc>
      </w:tr>
      <w:tr>
        <w:tc>
          <w:tcPr>
            <w:tcW w:type="dxa" w:w="2736"/>
            <w:vAlign w:val="center"/>
          </w:tcPr>
          <w:p>
            <w:r/>
            <w:r>
              <w:rPr>
                <w:b w:val="0"/>
                <w:sz w:val="18"/>
              </w:rPr>
              <w:t>Q3.3 — Gender comparison</w:t>
            </w:r>
          </w:p>
        </w:tc>
        <w:tc>
          <w:tcPr>
            <w:tcW w:type="dxa" w:w="4680"/>
            <w:vAlign w:val="center"/>
          </w:tcPr>
          <w:p>
            <w:r/>
            <w:r>
              <w:rPr>
                <w:b w:val="0"/>
                <w:sz w:val="18"/>
              </w:rPr>
              <w:t>Compare sessions, watch duration and completion by gender.</w:t>
            </w:r>
          </w:p>
        </w:tc>
        <w:tc>
          <w:tcPr>
            <w:tcW w:type="dxa" w:w="2232"/>
            <w:vAlign w:val="center"/>
          </w:tcPr>
          <w:p>
            <w:r/>
            <w:r>
              <w:rPr>
                <w:b w:val="0"/>
                <w:sz w:val="18"/>
              </w:rPr>
              <w:t>Summary table</w:t>
            </w:r>
          </w:p>
        </w:tc>
      </w:tr>
      <w:tr>
        <w:tc>
          <w:tcPr>
            <w:tcW w:type="dxa" w:w="2736"/>
            <w:vAlign w:val="center"/>
          </w:tcPr>
          <w:p>
            <w:r/>
            <w:r>
              <w:rPr>
                <w:b w:val="0"/>
                <w:sz w:val="18"/>
              </w:rPr>
              <w:t>Q3.4 — Engagement behaviour</w:t>
            </w:r>
          </w:p>
        </w:tc>
        <w:tc>
          <w:tcPr>
            <w:tcW w:type="dxa" w:w="4680"/>
            <w:vAlign w:val="center"/>
          </w:tcPr>
          <w:p>
            <w:r/>
            <w:r>
              <w:rPr>
                <w:b w:val="0"/>
                <w:sz w:val="18"/>
              </w:rPr>
              <w:t>Use engagement-level grouping to compare customer viewing patterns.</w:t>
            </w:r>
          </w:p>
        </w:tc>
        <w:tc>
          <w:tcPr>
            <w:tcW w:type="dxa" w:w="2232"/>
            <w:vAlign w:val="center"/>
          </w:tcPr>
          <w:p>
            <w:r/>
            <w:r>
              <w:rPr>
                <w:b w:val="0"/>
                <w:sz w:val="18"/>
              </w:rPr>
              <w:t>Grouped analysis</w:t>
            </w:r>
          </w:p>
        </w:tc>
      </w:tr>
      <w:tr>
        <w:tc>
          <w:tcPr>
            <w:tcW w:type="dxa" w:w="2736"/>
            <w:vAlign w:val="center"/>
          </w:tcPr>
          <w:p>
            <w:r/>
            <w:r>
              <w:rPr>
                <w:b w:val="0"/>
                <w:sz w:val="18"/>
              </w:rPr>
              <w:t>Q3.5 — Region completion</w:t>
            </w:r>
          </w:p>
        </w:tc>
        <w:tc>
          <w:tcPr>
            <w:tcW w:type="dxa" w:w="4680"/>
            <w:vAlign w:val="center"/>
          </w:tcPr>
          <w:p>
            <w:r/>
            <w:r>
              <w:rPr>
                <w:b w:val="0"/>
                <w:sz w:val="18"/>
              </w:rPr>
              <w:t>Calculate average completion by region.</w:t>
            </w:r>
          </w:p>
        </w:tc>
        <w:tc>
          <w:tcPr>
            <w:tcW w:type="dxa" w:w="2232"/>
            <w:vAlign w:val="center"/>
          </w:tcPr>
          <w:p>
            <w:r/>
            <w:r>
              <w:rPr>
                <w:b w:val="0"/>
                <w:sz w:val="18"/>
              </w:rPr>
              <w:t>Bar chart</w:t>
            </w:r>
          </w:p>
        </w:tc>
      </w:tr>
    </w:tbl>
    <w:p/>
    <w:p>
      <w:r>
        <w:t>Business use: support audience segmentation and targeted content or engagement strategies.</w:t>
      </w:r>
    </w:p>
    <w:p>
      <w:pPr>
        <w:pStyle w:val="Heading1"/>
      </w:pPr>
      <w:r>
        <w:t>12. O4 — Device &amp; Time-Based Viewing Patterns</w:t>
      </w:r>
    </w:p>
    <w:p>
      <w:r>
        <w:t>O4 analyses when and where customers consume OTT content.</w:t>
      </w:r>
    </w:p>
    <w:tbl>
      <w:tblPr>
        <w:tblStyle w:val="TableGrid"/>
        <w:tblW w:type="auto" w:w="0"/>
        <w:jc w:val="center"/>
        <w:tblLook w:firstColumn="1" w:firstRow="1" w:lastColumn="0" w:lastRow="0" w:noHBand="0" w:noVBand="1" w:val="04A0"/>
      </w:tblPr>
      <w:tblGrid>
        <w:gridCol w:w="3360"/>
        <w:gridCol w:w="3360"/>
        <w:gridCol w:w="3360"/>
      </w:tblGrid>
      <w:tr>
        <w:tc>
          <w:tcPr>
            <w:tcW w:type="dxa" w:w="2736"/>
            <w:vAlign w:val="center"/>
            <w:shd w:fill="D9EAF7"/>
          </w:tcPr>
          <w:p>
            <w:r/>
            <w:r>
              <w:rPr>
                <w:b/>
                <w:sz w:val="18"/>
              </w:rPr>
              <w:t>Question / Analysis</w:t>
            </w:r>
          </w:p>
        </w:tc>
        <w:tc>
          <w:tcPr>
            <w:tcW w:type="dxa" w:w="4680"/>
            <w:vAlign w:val="center"/>
            <w:shd w:fill="D9EAF7"/>
          </w:tcPr>
          <w:p>
            <w:r/>
            <w:r>
              <w:rPr>
                <w:b/>
                <w:sz w:val="18"/>
              </w:rPr>
              <w:t>Implementation</w:t>
            </w:r>
          </w:p>
        </w:tc>
        <w:tc>
          <w:tcPr>
            <w:tcW w:type="dxa" w:w="2232"/>
            <w:vAlign w:val="center"/>
            <w:shd w:fill="D9EAF7"/>
          </w:tcPr>
          <w:p>
            <w:r/>
            <w:r>
              <w:rPr>
                <w:b/>
                <w:sz w:val="18"/>
              </w:rPr>
              <w:t>Output</w:t>
            </w:r>
          </w:p>
        </w:tc>
      </w:tr>
      <w:tr>
        <w:tc>
          <w:tcPr>
            <w:tcW w:type="dxa" w:w="2736"/>
            <w:vAlign w:val="center"/>
          </w:tcPr>
          <w:p>
            <w:r/>
            <w:r>
              <w:rPr>
                <w:b w:val="0"/>
                <w:sz w:val="18"/>
              </w:rPr>
              <w:t>Q4.1 — Device usage</w:t>
            </w:r>
          </w:p>
        </w:tc>
        <w:tc>
          <w:tcPr>
            <w:tcW w:type="dxa" w:w="4680"/>
            <w:vAlign w:val="center"/>
          </w:tcPr>
          <w:p>
            <w:r/>
            <w:r>
              <w:rPr>
                <w:b w:val="0"/>
                <w:sz w:val="18"/>
              </w:rPr>
              <w:t>Count viewing sessions by device.</w:t>
            </w:r>
          </w:p>
        </w:tc>
        <w:tc>
          <w:tcPr>
            <w:tcW w:type="dxa" w:w="2232"/>
            <w:vAlign w:val="center"/>
          </w:tcPr>
          <w:p>
            <w:r/>
            <w:r>
              <w:rPr>
                <w:b w:val="0"/>
                <w:sz w:val="18"/>
              </w:rPr>
              <w:t>Bar chart</w:t>
            </w:r>
          </w:p>
        </w:tc>
      </w:tr>
      <w:tr>
        <w:tc>
          <w:tcPr>
            <w:tcW w:type="dxa" w:w="2736"/>
            <w:vAlign w:val="center"/>
          </w:tcPr>
          <w:p>
            <w:r/>
            <w:r>
              <w:rPr>
                <w:b w:val="0"/>
                <w:sz w:val="18"/>
              </w:rPr>
              <w:t>Q4.2 — Device watch duration</w:t>
            </w:r>
          </w:p>
        </w:tc>
        <w:tc>
          <w:tcPr>
            <w:tcW w:type="dxa" w:w="4680"/>
            <w:vAlign w:val="center"/>
          </w:tcPr>
          <w:p>
            <w:r/>
            <w:r>
              <w:rPr>
                <w:b w:val="0"/>
                <w:sz w:val="18"/>
              </w:rPr>
              <w:t>Compare watch-duration distributions by device.</w:t>
            </w:r>
          </w:p>
        </w:tc>
        <w:tc>
          <w:tcPr>
            <w:tcW w:type="dxa" w:w="2232"/>
            <w:vAlign w:val="center"/>
          </w:tcPr>
          <w:p>
            <w:r/>
            <w:r>
              <w:rPr>
                <w:b w:val="0"/>
                <w:sz w:val="18"/>
              </w:rPr>
              <w:t>Boxplot</w:t>
            </w:r>
          </w:p>
        </w:tc>
      </w:tr>
      <w:tr>
        <w:tc>
          <w:tcPr>
            <w:tcW w:type="dxa" w:w="2736"/>
            <w:vAlign w:val="center"/>
          </w:tcPr>
          <w:p>
            <w:r/>
            <w:r>
              <w:rPr>
                <w:b w:val="0"/>
                <w:sz w:val="18"/>
              </w:rPr>
              <w:t>Q4.3 — Device completion</w:t>
            </w:r>
          </w:p>
        </w:tc>
        <w:tc>
          <w:tcPr>
            <w:tcW w:type="dxa" w:w="4680"/>
            <w:vAlign w:val="center"/>
          </w:tcPr>
          <w:p>
            <w:r/>
            <w:r>
              <w:rPr>
                <w:b w:val="0"/>
                <w:sz w:val="18"/>
              </w:rPr>
              <w:t>Calculate average completion by device.</w:t>
            </w:r>
          </w:p>
        </w:tc>
        <w:tc>
          <w:tcPr>
            <w:tcW w:type="dxa" w:w="2232"/>
            <w:vAlign w:val="center"/>
          </w:tcPr>
          <w:p>
            <w:r/>
            <w:r>
              <w:rPr>
                <w:b w:val="0"/>
                <w:sz w:val="18"/>
              </w:rPr>
              <w:t>Summary table</w:t>
            </w:r>
          </w:p>
        </w:tc>
      </w:tr>
      <w:tr>
        <w:tc>
          <w:tcPr>
            <w:tcW w:type="dxa" w:w="2736"/>
            <w:vAlign w:val="center"/>
          </w:tcPr>
          <w:p>
            <w:r/>
            <w:r>
              <w:rPr>
                <w:b w:val="0"/>
                <w:sz w:val="18"/>
              </w:rPr>
              <w:t>Q4.4 — Time of day</w:t>
            </w:r>
          </w:p>
        </w:tc>
        <w:tc>
          <w:tcPr>
            <w:tcW w:type="dxa" w:w="4680"/>
            <w:vAlign w:val="center"/>
          </w:tcPr>
          <w:p>
            <w:r/>
            <w:r>
              <w:rPr>
                <w:b w:val="0"/>
                <w:sz w:val="18"/>
              </w:rPr>
              <w:t>Count viewing sessions by time-of-day category.</w:t>
            </w:r>
          </w:p>
        </w:tc>
        <w:tc>
          <w:tcPr>
            <w:tcW w:type="dxa" w:w="2232"/>
            <w:vAlign w:val="center"/>
          </w:tcPr>
          <w:p>
            <w:r/>
            <w:r>
              <w:rPr>
                <w:b w:val="0"/>
                <w:sz w:val="18"/>
              </w:rPr>
              <w:t>Bar chart</w:t>
            </w:r>
          </w:p>
        </w:tc>
      </w:tr>
      <w:tr>
        <w:tc>
          <w:tcPr>
            <w:tcW w:type="dxa" w:w="2736"/>
            <w:vAlign w:val="center"/>
          </w:tcPr>
          <w:p>
            <w:r/>
            <w:r>
              <w:rPr>
                <w:b w:val="0"/>
                <w:sz w:val="18"/>
              </w:rPr>
              <w:t>Q4.5 — Device × time</w:t>
            </w:r>
          </w:p>
        </w:tc>
        <w:tc>
          <w:tcPr>
            <w:tcW w:type="dxa" w:w="4680"/>
            <w:vAlign w:val="center"/>
          </w:tcPr>
          <w:p>
            <w:r/>
            <w:r>
              <w:rPr>
                <w:b w:val="0"/>
                <w:sz w:val="18"/>
              </w:rPr>
              <w:t>Compare average watch duration across device and time combinations.</w:t>
            </w:r>
          </w:p>
        </w:tc>
        <w:tc>
          <w:tcPr>
            <w:tcW w:type="dxa" w:w="2232"/>
            <w:vAlign w:val="center"/>
          </w:tcPr>
          <w:p>
            <w:r/>
            <w:r>
              <w:rPr>
                <w:b w:val="0"/>
                <w:sz w:val="18"/>
              </w:rPr>
              <w:t>Heatmap-style chart</w:t>
            </w:r>
          </w:p>
        </w:tc>
      </w:tr>
    </w:tbl>
    <w:p/>
    <w:p>
      <w:r>
        <w:t>Business use: identify dominant viewing devices and time periods that can support scheduling, content promotion and user-experience decisions.</w:t>
      </w:r>
    </w:p>
    <w:p>
      <w:pPr>
        <w:pStyle w:val="Heading1"/>
      </w:pPr>
      <w:r>
        <w:t>13. O5 — Subscription Retention &amp; Churn</w:t>
      </w:r>
    </w:p>
    <w:p>
      <w:r>
        <w:t>O5 links subscription characteristics with renewal and churn behaviour. During implementation, duplicate Subscription_Type fields were avoided by taking customer demographics from User Profile and subscription measures from Subscription &amp; Retention.</w:t>
      </w:r>
    </w:p>
    <w:tbl>
      <w:tblPr>
        <w:tblStyle w:val="TableGrid"/>
        <w:tblW w:type="auto" w:w="0"/>
        <w:jc w:val="center"/>
        <w:tblLook w:firstColumn="1" w:firstRow="1" w:lastColumn="0" w:lastRow="0" w:noHBand="0" w:noVBand="1" w:val="04A0"/>
      </w:tblPr>
      <w:tblGrid>
        <w:gridCol w:w="3360"/>
        <w:gridCol w:w="3360"/>
        <w:gridCol w:w="3360"/>
      </w:tblGrid>
      <w:tr>
        <w:tc>
          <w:tcPr>
            <w:tcW w:type="dxa" w:w="2736"/>
            <w:vAlign w:val="center"/>
            <w:shd w:fill="D9EAF7"/>
          </w:tcPr>
          <w:p>
            <w:r/>
            <w:r>
              <w:rPr>
                <w:b/>
                <w:sz w:val="18"/>
              </w:rPr>
              <w:t>Question / Analysis</w:t>
            </w:r>
          </w:p>
        </w:tc>
        <w:tc>
          <w:tcPr>
            <w:tcW w:type="dxa" w:w="4680"/>
            <w:vAlign w:val="center"/>
            <w:shd w:fill="D9EAF7"/>
          </w:tcPr>
          <w:p>
            <w:r/>
            <w:r>
              <w:rPr>
                <w:b/>
                <w:sz w:val="18"/>
              </w:rPr>
              <w:t>Implementation</w:t>
            </w:r>
          </w:p>
        </w:tc>
        <w:tc>
          <w:tcPr>
            <w:tcW w:type="dxa" w:w="2232"/>
            <w:vAlign w:val="center"/>
            <w:shd w:fill="D9EAF7"/>
          </w:tcPr>
          <w:p>
            <w:r/>
            <w:r>
              <w:rPr>
                <w:b/>
                <w:sz w:val="18"/>
              </w:rPr>
              <w:t>Output</w:t>
            </w:r>
          </w:p>
        </w:tc>
      </w:tr>
      <w:tr>
        <w:tc>
          <w:tcPr>
            <w:tcW w:type="dxa" w:w="2736"/>
            <w:vAlign w:val="center"/>
          </w:tcPr>
          <w:p>
            <w:r/>
            <w:r>
              <w:rPr>
                <w:b w:val="0"/>
                <w:sz w:val="18"/>
              </w:rPr>
              <w:t>Q5.1 — Renewal by plan</w:t>
            </w:r>
          </w:p>
        </w:tc>
        <w:tc>
          <w:tcPr>
            <w:tcW w:type="dxa" w:w="4680"/>
            <w:vAlign w:val="center"/>
          </w:tcPr>
          <w:p>
            <w:r/>
            <w:r>
              <w:rPr>
                <w:b w:val="0"/>
                <w:sz w:val="18"/>
              </w:rPr>
              <w:t>Calculate renewal rate for each subscription type.</w:t>
            </w:r>
          </w:p>
        </w:tc>
        <w:tc>
          <w:tcPr>
            <w:tcW w:type="dxa" w:w="2232"/>
            <w:vAlign w:val="center"/>
          </w:tcPr>
          <w:p>
            <w:r/>
            <w:r>
              <w:rPr>
                <w:b w:val="0"/>
                <w:sz w:val="18"/>
              </w:rPr>
              <w:t>Comparison table</w:t>
            </w:r>
          </w:p>
        </w:tc>
      </w:tr>
      <w:tr>
        <w:tc>
          <w:tcPr>
            <w:tcW w:type="dxa" w:w="2736"/>
            <w:vAlign w:val="center"/>
          </w:tcPr>
          <w:p>
            <w:r/>
            <w:r>
              <w:rPr>
                <w:b w:val="0"/>
                <w:sz w:val="18"/>
              </w:rPr>
              <w:t>Q5.2 — Churn by plan</w:t>
            </w:r>
          </w:p>
        </w:tc>
        <w:tc>
          <w:tcPr>
            <w:tcW w:type="dxa" w:w="4680"/>
            <w:vAlign w:val="center"/>
          </w:tcPr>
          <w:p>
            <w:r/>
            <w:r>
              <w:rPr>
                <w:b w:val="0"/>
                <w:sz w:val="18"/>
              </w:rPr>
              <w:t>Calculate churn rate for each subscription type.</w:t>
            </w:r>
          </w:p>
        </w:tc>
        <w:tc>
          <w:tcPr>
            <w:tcW w:type="dxa" w:w="2232"/>
            <w:vAlign w:val="center"/>
          </w:tcPr>
          <w:p>
            <w:r/>
            <w:r>
              <w:rPr>
                <w:b w:val="0"/>
                <w:sz w:val="18"/>
              </w:rPr>
              <w:t>Grouped bar chart</w:t>
            </w:r>
          </w:p>
        </w:tc>
      </w:tr>
      <w:tr>
        <w:tc>
          <w:tcPr>
            <w:tcW w:type="dxa" w:w="2736"/>
            <w:vAlign w:val="center"/>
          </w:tcPr>
          <w:p>
            <w:r/>
            <w:r>
              <w:rPr>
                <w:b w:val="0"/>
                <w:sz w:val="18"/>
              </w:rPr>
              <w:t>Q5.3 — Engagement vs churn</w:t>
            </w:r>
          </w:p>
        </w:tc>
        <w:tc>
          <w:tcPr>
            <w:tcW w:type="dxa" w:w="4680"/>
            <w:vAlign w:val="center"/>
          </w:tcPr>
          <w:p>
            <w:r/>
            <w:r>
              <w:rPr>
                <w:b w:val="0"/>
                <w:sz w:val="18"/>
              </w:rPr>
              <w:t>Compare churn rate across engagement levels.</w:t>
            </w:r>
          </w:p>
        </w:tc>
        <w:tc>
          <w:tcPr>
            <w:tcW w:type="dxa" w:w="2232"/>
            <w:vAlign w:val="center"/>
          </w:tcPr>
          <w:p>
            <w:r/>
            <w:r>
              <w:rPr>
                <w:b w:val="0"/>
                <w:sz w:val="18"/>
              </w:rPr>
              <w:t>Summary table</w:t>
            </w:r>
          </w:p>
        </w:tc>
      </w:tr>
      <w:tr>
        <w:tc>
          <w:tcPr>
            <w:tcW w:type="dxa" w:w="2736"/>
            <w:vAlign w:val="center"/>
          </w:tcPr>
          <w:p>
            <w:r/>
            <w:r>
              <w:rPr>
                <w:b w:val="0"/>
                <w:sz w:val="18"/>
              </w:rPr>
              <w:t>Q5.4 — Basic vs Premium</w:t>
            </w:r>
          </w:p>
        </w:tc>
        <w:tc>
          <w:tcPr>
            <w:tcW w:type="dxa" w:w="4680"/>
            <w:vAlign w:val="center"/>
          </w:tcPr>
          <w:p>
            <w:r/>
            <w:r>
              <w:rPr>
                <w:b w:val="0"/>
                <w:sz w:val="18"/>
              </w:rPr>
              <w:t>Compare customers, renewal, churn and average fee.</w:t>
            </w:r>
          </w:p>
        </w:tc>
        <w:tc>
          <w:tcPr>
            <w:tcW w:type="dxa" w:w="2232"/>
            <w:vAlign w:val="center"/>
          </w:tcPr>
          <w:p>
            <w:r/>
            <w:r>
              <w:rPr>
                <w:b w:val="0"/>
                <w:sz w:val="18"/>
              </w:rPr>
              <w:t>Comparison table</w:t>
            </w:r>
          </w:p>
        </w:tc>
      </w:tr>
      <w:tr>
        <w:tc>
          <w:tcPr>
            <w:tcW w:type="dxa" w:w="2736"/>
            <w:vAlign w:val="center"/>
          </w:tcPr>
          <w:p>
            <w:r/>
            <w:r>
              <w:rPr>
                <w:b w:val="0"/>
                <w:sz w:val="18"/>
              </w:rPr>
              <w:t>Q5.5 — Monthly fee vs churn</w:t>
            </w:r>
          </w:p>
        </w:tc>
        <w:tc>
          <w:tcPr>
            <w:tcW w:type="dxa" w:w="4680"/>
            <w:vAlign w:val="center"/>
          </w:tcPr>
          <w:p>
            <w:r/>
            <w:r>
              <w:rPr>
                <w:b w:val="0"/>
                <w:sz w:val="18"/>
              </w:rPr>
              <w:t>Compare monthly fee levels with churn rate.</w:t>
            </w:r>
          </w:p>
        </w:tc>
        <w:tc>
          <w:tcPr>
            <w:tcW w:type="dxa" w:w="2232"/>
            <w:vAlign w:val="center"/>
          </w:tcPr>
          <w:p>
            <w:r/>
            <w:r>
              <w:rPr>
                <w:b w:val="0"/>
                <w:sz w:val="18"/>
              </w:rPr>
              <w:t>Scatter plot</w:t>
            </w:r>
          </w:p>
        </w:tc>
      </w:tr>
    </w:tbl>
    <w:p/>
    <w:p>
      <w:r>
        <w:t>Business use: identify subscription segments that may require retention campaigns, pricing review or improved engagement strategies.</w:t>
      </w:r>
    </w:p>
    <w:p>
      <w:pPr>
        <w:pStyle w:val="Heading1"/>
      </w:pPr>
      <w:r>
        <w:t>14. O6 — Ratings, Feedback &amp; Content Success</w:t>
      </w:r>
    </w:p>
    <w:p>
      <w:r>
        <w:t>O6 connects viewer satisfaction indicators with content completion and rewatch behaviour.</w:t>
      </w:r>
    </w:p>
    <w:tbl>
      <w:tblPr>
        <w:tblStyle w:val="TableGrid"/>
        <w:tblW w:type="auto" w:w="0"/>
        <w:jc w:val="center"/>
        <w:tblLook w:firstColumn="1" w:firstRow="1" w:lastColumn="0" w:lastRow="0" w:noHBand="0" w:noVBand="1" w:val="04A0"/>
      </w:tblPr>
      <w:tblGrid>
        <w:gridCol w:w="3360"/>
        <w:gridCol w:w="3360"/>
        <w:gridCol w:w="3360"/>
      </w:tblGrid>
      <w:tr>
        <w:tc>
          <w:tcPr>
            <w:tcW w:type="dxa" w:w="2736"/>
            <w:vAlign w:val="center"/>
            <w:shd w:fill="D9EAF7"/>
          </w:tcPr>
          <w:p>
            <w:r/>
            <w:r>
              <w:rPr>
                <w:b/>
                <w:sz w:val="18"/>
              </w:rPr>
              <w:t>Question / Analysis</w:t>
            </w:r>
          </w:p>
        </w:tc>
        <w:tc>
          <w:tcPr>
            <w:tcW w:type="dxa" w:w="4680"/>
            <w:vAlign w:val="center"/>
            <w:shd w:fill="D9EAF7"/>
          </w:tcPr>
          <w:p>
            <w:r/>
            <w:r>
              <w:rPr>
                <w:b/>
                <w:sz w:val="18"/>
              </w:rPr>
              <w:t>Implementation</w:t>
            </w:r>
          </w:p>
        </w:tc>
        <w:tc>
          <w:tcPr>
            <w:tcW w:type="dxa" w:w="2232"/>
            <w:vAlign w:val="center"/>
            <w:shd w:fill="D9EAF7"/>
          </w:tcPr>
          <w:p>
            <w:r/>
            <w:r>
              <w:rPr>
                <w:b/>
                <w:sz w:val="18"/>
              </w:rPr>
              <w:t>Output</w:t>
            </w:r>
          </w:p>
        </w:tc>
      </w:tr>
      <w:tr>
        <w:tc>
          <w:tcPr>
            <w:tcW w:type="dxa" w:w="2736"/>
            <w:vAlign w:val="center"/>
          </w:tcPr>
          <w:p>
            <w:r/>
            <w:r>
              <w:rPr>
                <w:b w:val="0"/>
                <w:sz w:val="18"/>
              </w:rPr>
              <w:t>Q6.1 — Top-rated content</w:t>
            </w:r>
          </w:p>
        </w:tc>
        <w:tc>
          <w:tcPr>
            <w:tcW w:type="dxa" w:w="4680"/>
            <w:vAlign w:val="center"/>
          </w:tcPr>
          <w:p>
            <w:r/>
            <w:r>
              <w:rPr>
                <w:b w:val="0"/>
                <w:sz w:val="18"/>
              </w:rPr>
              <w:t>Calculate average rating by title and rank the top titles.</w:t>
            </w:r>
          </w:p>
        </w:tc>
        <w:tc>
          <w:tcPr>
            <w:tcW w:type="dxa" w:w="2232"/>
            <w:vAlign w:val="center"/>
          </w:tcPr>
          <w:p>
            <w:r/>
            <w:r>
              <w:rPr>
                <w:b w:val="0"/>
                <w:sz w:val="18"/>
              </w:rPr>
              <w:t>Top-10 table</w:t>
            </w:r>
          </w:p>
        </w:tc>
      </w:tr>
      <w:tr>
        <w:tc>
          <w:tcPr>
            <w:tcW w:type="dxa" w:w="2736"/>
            <w:vAlign w:val="center"/>
          </w:tcPr>
          <w:p>
            <w:r/>
            <w:r>
              <w:rPr>
                <w:b w:val="0"/>
                <w:sz w:val="18"/>
              </w:rPr>
              <w:t>Q6.2 — Top-liked content</w:t>
            </w:r>
          </w:p>
        </w:tc>
        <w:tc>
          <w:tcPr>
            <w:tcW w:type="dxa" w:w="4680"/>
            <w:vAlign w:val="center"/>
          </w:tcPr>
          <w:p>
            <w:r/>
            <w:r>
              <w:rPr>
                <w:b w:val="0"/>
                <w:sz w:val="18"/>
              </w:rPr>
              <w:t>Count positive likes by title.</w:t>
            </w:r>
          </w:p>
        </w:tc>
        <w:tc>
          <w:tcPr>
            <w:tcW w:type="dxa" w:w="2232"/>
            <w:vAlign w:val="center"/>
          </w:tcPr>
          <w:p>
            <w:r/>
            <w:r>
              <w:rPr>
                <w:b w:val="0"/>
                <w:sz w:val="18"/>
              </w:rPr>
              <w:t>Top-10 table</w:t>
            </w:r>
          </w:p>
        </w:tc>
      </w:tr>
      <w:tr>
        <w:tc>
          <w:tcPr>
            <w:tcW w:type="dxa" w:w="2736"/>
            <w:vAlign w:val="center"/>
          </w:tcPr>
          <w:p>
            <w:r/>
            <w:r>
              <w:rPr>
                <w:b w:val="0"/>
                <w:sz w:val="18"/>
              </w:rPr>
              <w:t>Q6.3 — Feedback distribution</w:t>
            </w:r>
          </w:p>
        </w:tc>
        <w:tc>
          <w:tcPr>
            <w:tcW w:type="dxa" w:w="4680"/>
            <w:vAlign w:val="center"/>
          </w:tcPr>
          <w:p>
            <w:r/>
            <w:r>
              <w:rPr>
                <w:b w:val="0"/>
                <w:sz w:val="18"/>
              </w:rPr>
              <w:t>Count feedback categories.</w:t>
            </w:r>
          </w:p>
        </w:tc>
        <w:tc>
          <w:tcPr>
            <w:tcW w:type="dxa" w:w="2232"/>
            <w:vAlign w:val="center"/>
          </w:tcPr>
          <w:p>
            <w:r/>
            <w:r>
              <w:rPr>
                <w:b w:val="0"/>
                <w:sz w:val="18"/>
              </w:rPr>
              <w:t>Pie chart</w:t>
            </w:r>
          </w:p>
        </w:tc>
      </w:tr>
      <w:tr>
        <w:tc>
          <w:tcPr>
            <w:tcW w:type="dxa" w:w="2736"/>
            <w:vAlign w:val="center"/>
          </w:tcPr>
          <w:p>
            <w:r/>
            <w:r>
              <w:rPr>
                <w:b w:val="0"/>
                <w:sz w:val="18"/>
              </w:rPr>
              <w:t>Q6.4 — Rating vs completion</w:t>
            </w:r>
          </w:p>
        </w:tc>
        <w:tc>
          <w:tcPr>
            <w:tcW w:type="dxa" w:w="4680"/>
            <w:vAlign w:val="center"/>
          </w:tcPr>
          <w:p>
            <w:r/>
            <w:r>
              <w:rPr>
                <w:b w:val="0"/>
                <w:sz w:val="18"/>
              </w:rPr>
              <w:t>Compare average completion across rating levels.</w:t>
            </w:r>
          </w:p>
        </w:tc>
        <w:tc>
          <w:tcPr>
            <w:tcW w:type="dxa" w:w="2232"/>
            <w:vAlign w:val="center"/>
          </w:tcPr>
          <w:p>
            <w:r/>
            <w:r>
              <w:rPr>
                <w:b w:val="0"/>
                <w:sz w:val="18"/>
              </w:rPr>
              <w:t>Scatter/trend chart</w:t>
            </w:r>
          </w:p>
        </w:tc>
      </w:tr>
      <w:tr>
        <w:tc>
          <w:tcPr>
            <w:tcW w:type="dxa" w:w="2736"/>
            <w:vAlign w:val="center"/>
          </w:tcPr>
          <w:p>
            <w:r/>
            <w:r>
              <w:rPr>
                <w:b w:val="0"/>
                <w:sz w:val="18"/>
              </w:rPr>
              <w:t>Q6.5 — Rating vs rewatch</w:t>
            </w:r>
          </w:p>
        </w:tc>
        <w:tc>
          <w:tcPr>
            <w:tcW w:type="dxa" w:w="4680"/>
            <w:vAlign w:val="center"/>
          </w:tcPr>
          <w:p>
            <w:r/>
            <w:r>
              <w:rPr>
                <w:b w:val="0"/>
                <w:sz w:val="18"/>
              </w:rPr>
              <w:t>Compare average rewatch rate across rating levels.</w:t>
            </w:r>
          </w:p>
        </w:tc>
        <w:tc>
          <w:tcPr>
            <w:tcW w:type="dxa" w:w="2232"/>
            <w:vAlign w:val="center"/>
          </w:tcPr>
          <w:p>
            <w:r/>
            <w:r>
              <w:rPr>
                <w:b w:val="0"/>
                <w:sz w:val="18"/>
              </w:rPr>
              <w:t>Line chart</w:t>
            </w:r>
          </w:p>
        </w:tc>
      </w:tr>
    </w:tbl>
    <w:p/>
    <w:p>
      <w:r>
        <w:t>Business use: identify content associated with stronger satisfaction, completion and repeat viewing.</w:t>
      </w:r>
    </w:p>
    <w:p>
      <w:pPr>
        <w:pStyle w:val="Heading1"/>
      </w:pPr>
      <w:r>
        <w:t>15. Correlation Analysis</w:t>
      </w:r>
    </w:p>
    <w:p>
      <w:r>
        <w:t>A correlation matrix was created for selected viewing variables including Watch Duration, Completion Percentage and Paused Times. A heatmap-style visual was used to make the direction and strength of pairwise relationships easier to interpret.</w:t>
      </w:r>
    </w:p>
    <w:p>
      <w:r>
        <w:t>Correlation is exploratory in Phase 5. A correlation does not establish causation, and the observed relationship should be considered alongside the later statistical validation.</w:t>
      </w:r>
    </w:p>
    <w:p>
      <w:pPr>
        <w:pStyle w:val="Heading1"/>
      </w:pPr>
      <w:r>
        <w:t>16. Distribution Analysis</w:t>
      </w:r>
    </w:p>
    <w:p>
      <w:r>
        <w:t>Watch Duration was analysed using a histogram to understand its distribution. A log-transformed view was also included to make the distribution easier to inspect when values are unevenly spread.</w:t>
      </w:r>
    </w:p>
    <w:p>
      <w:pPr>
        <w:pStyle w:val="ListBullet"/>
      </w:pPr>
      <w:r>
        <w:t>Histogram — overall watch-duration distribution.</w:t>
      </w:r>
    </w:p>
    <w:p>
      <w:pPr>
        <w:pStyle w:val="ListBullet"/>
      </w:pPr>
      <w:r>
        <w:t>Log-transformed histogram — alternative view of skewed duration data.</w:t>
      </w:r>
    </w:p>
    <w:p>
      <w:pPr>
        <w:pStyle w:val="ListBullet"/>
      </w:pPr>
      <w:r>
        <w:t>Boxplots — comparison of completion or popularity distributions across groups.</w:t>
      </w:r>
    </w:p>
    <w:p>
      <w:pPr>
        <w:pStyle w:val="Heading1"/>
      </w:pPr>
      <w:r>
        <w:t>17. Hypothesis-Linked EDA</w:t>
      </w:r>
    </w:p>
    <w:p>
      <w:r>
        <w:t>Phase 5 acts as the exploratory bridge between the business questions/hypotheses from Phase 3 and formal statistical testing in the later validation phase.</w:t>
      </w:r>
    </w:p>
    <w:tbl>
      <w:tblPr>
        <w:tblStyle w:val="TableGrid"/>
        <w:tblW w:type="auto" w:w="0"/>
        <w:jc w:val="center"/>
        <w:tblLook w:firstColumn="1" w:firstRow="1" w:lastColumn="0" w:lastRow="0" w:noHBand="0" w:noVBand="1" w:val="04A0"/>
      </w:tblPr>
      <w:tblGrid>
        <w:gridCol w:w="5040"/>
        <w:gridCol w:w="5040"/>
      </w:tblGrid>
      <w:tr>
        <w:tc>
          <w:tcPr>
            <w:tcW w:type="dxa" w:w="3672"/>
            <w:vAlign w:val="center"/>
            <w:shd w:fill="D9EAF7"/>
          </w:tcPr>
          <w:p>
            <w:r/>
            <w:r>
              <w:rPr>
                <w:b/>
                <w:sz w:val="18"/>
              </w:rPr>
              <w:t>Hypothesis Area</w:t>
            </w:r>
          </w:p>
        </w:tc>
        <w:tc>
          <w:tcPr>
            <w:tcW w:type="dxa" w:w="5976"/>
            <w:vAlign w:val="center"/>
            <w:shd w:fill="D9EAF7"/>
          </w:tcPr>
          <w:p>
            <w:r/>
            <w:r>
              <w:rPr>
                <w:b/>
                <w:sz w:val="18"/>
              </w:rPr>
              <w:t>EDA Evidence Used</w:t>
            </w:r>
          </w:p>
        </w:tc>
      </w:tr>
      <w:tr>
        <w:tc>
          <w:tcPr>
            <w:tcW w:type="dxa" w:w="3672"/>
            <w:vAlign w:val="center"/>
          </w:tcPr>
          <w:p>
            <w:r/>
            <w:r>
              <w:rPr>
                <w:b w:val="0"/>
                <w:sz w:val="18"/>
              </w:rPr>
              <w:t>Movies vs TV completion</w:t>
            </w:r>
          </w:p>
        </w:tc>
        <w:tc>
          <w:tcPr>
            <w:tcW w:type="dxa" w:w="5976"/>
            <w:vAlign w:val="center"/>
          </w:tcPr>
          <w:p>
            <w:r/>
            <w:r>
              <w:rPr>
                <w:b w:val="0"/>
                <w:sz w:val="18"/>
              </w:rPr>
              <w:t>Group means, completion boxplot and distribution comparison</w:t>
            </w:r>
          </w:p>
        </w:tc>
      </w:tr>
      <w:tr>
        <w:tc>
          <w:tcPr>
            <w:tcW w:type="dxa" w:w="3672"/>
            <w:vAlign w:val="center"/>
          </w:tcPr>
          <w:p>
            <w:r/>
            <w:r>
              <w:rPr>
                <w:b w:val="0"/>
                <w:sz w:val="18"/>
              </w:rPr>
              <w:t>Content age vs engagement</w:t>
            </w:r>
          </w:p>
        </w:tc>
        <w:tc>
          <w:tcPr>
            <w:tcW w:type="dxa" w:w="5976"/>
            <w:vAlign w:val="center"/>
          </w:tcPr>
          <w:p>
            <w:r/>
            <w:r>
              <w:rPr>
                <w:b w:val="0"/>
                <w:sz w:val="18"/>
              </w:rPr>
              <w:t>Content-age groups, popularity/engagement trends and boxplot</w:t>
            </w:r>
          </w:p>
        </w:tc>
      </w:tr>
      <w:tr>
        <w:tc>
          <w:tcPr>
            <w:tcW w:type="dxa" w:w="3672"/>
            <w:vAlign w:val="center"/>
          </w:tcPr>
          <w:p>
            <w:r/>
            <w:r>
              <w:rPr>
                <w:b w:val="0"/>
                <w:sz w:val="18"/>
              </w:rPr>
              <w:t>Engagement vs churn</w:t>
            </w:r>
          </w:p>
        </w:tc>
        <w:tc>
          <w:tcPr>
            <w:tcW w:type="dxa" w:w="5976"/>
            <w:vAlign w:val="center"/>
          </w:tcPr>
          <w:p>
            <w:r/>
            <w:r>
              <w:rPr>
                <w:b w:val="0"/>
                <w:sz w:val="18"/>
              </w:rPr>
              <w:t>Churn rate by engagement level</w:t>
            </w:r>
          </w:p>
        </w:tc>
      </w:tr>
      <w:tr>
        <w:tc>
          <w:tcPr>
            <w:tcW w:type="dxa" w:w="3672"/>
            <w:vAlign w:val="center"/>
          </w:tcPr>
          <w:p>
            <w:r/>
            <w:r>
              <w:rPr>
                <w:b w:val="0"/>
                <w:sz w:val="18"/>
              </w:rPr>
              <w:t>Monthly fee vs retention</w:t>
            </w:r>
          </w:p>
        </w:tc>
        <w:tc>
          <w:tcPr>
            <w:tcW w:type="dxa" w:w="5976"/>
            <w:vAlign w:val="center"/>
          </w:tcPr>
          <w:p>
            <w:r/>
            <w:r>
              <w:rPr>
                <w:b w:val="0"/>
                <w:sz w:val="18"/>
              </w:rPr>
              <w:t>Fee-level renewal/churn analysis and scatter plot</w:t>
            </w:r>
          </w:p>
        </w:tc>
      </w:tr>
      <w:tr>
        <w:tc>
          <w:tcPr>
            <w:tcW w:type="dxa" w:w="3672"/>
            <w:vAlign w:val="center"/>
          </w:tcPr>
          <w:p>
            <w:r/>
            <w:r>
              <w:rPr>
                <w:b w:val="0"/>
                <w:sz w:val="18"/>
              </w:rPr>
              <w:t>Rating vs completion</w:t>
            </w:r>
          </w:p>
        </w:tc>
        <w:tc>
          <w:tcPr>
            <w:tcW w:type="dxa" w:w="5976"/>
            <w:vAlign w:val="center"/>
          </w:tcPr>
          <w:p>
            <w:r/>
            <w:r>
              <w:rPr>
                <w:b w:val="0"/>
                <w:sz w:val="18"/>
              </w:rPr>
              <w:t>Rating-level completion comparison and scatter plot</w:t>
            </w:r>
          </w:p>
        </w:tc>
      </w:tr>
      <w:tr>
        <w:tc>
          <w:tcPr>
            <w:tcW w:type="dxa" w:w="3672"/>
            <w:vAlign w:val="center"/>
          </w:tcPr>
          <w:p>
            <w:r/>
            <w:r>
              <w:rPr>
                <w:b w:val="0"/>
                <w:sz w:val="18"/>
              </w:rPr>
              <w:t>Rating vs rewatch</w:t>
            </w:r>
          </w:p>
        </w:tc>
        <w:tc>
          <w:tcPr>
            <w:tcW w:type="dxa" w:w="5976"/>
            <w:vAlign w:val="center"/>
          </w:tcPr>
          <w:p>
            <w:r/>
            <w:r>
              <w:rPr>
                <w:b w:val="0"/>
                <w:sz w:val="18"/>
              </w:rPr>
              <w:t>Rating-level rewatch comparison and trend plot</w:t>
            </w:r>
          </w:p>
        </w:tc>
      </w:tr>
    </w:tbl>
    <w:p/>
    <w:p>
      <w:pPr>
        <w:pStyle w:val="Heading1"/>
      </w:pPr>
      <w:r>
        <w:t>18. Key Visualisations Created</w:t>
      </w:r>
    </w:p>
    <w:p>
      <w:pPr>
        <w:pStyle w:val="ListBullet"/>
      </w:pPr>
      <w:r>
        <w:t>Bar charts — counts and category comparisons.</w:t>
      </w:r>
    </w:p>
    <w:p>
      <w:pPr>
        <w:pStyle w:val="ListBullet"/>
      </w:pPr>
      <w:r>
        <w:t>Horizontal bar charts — ranked genres and completion comparisons.</w:t>
      </w:r>
    </w:p>
    <w:p>
      <w:pPr>
        <w:pStyle w:val="ListBullet"/>
      </w:pPr>
      <w:r>
        <w:t>Line charts — trends across content-age or rating groups.</w:t>
      </w:r>
    </w:p>
    <w:p>
      <w:pPr>
        <w:pStyle w:val="ListBullet"/>
      </w:pPr>
      <w:r>
        <w:t>Boxplots — distributions across content type, age groups and devices.</w:t>
      </w:r>
    </w:p>
    <w:p>
      <w:pPr>
        <w:pStyle w:val="ListBullet"/>
      </w:pPr>
      <w:r>
        <w:t>Scatter plots — fee/churn and rating/behaviour relationships.</w:t>
      </w:r>
    </w:p>
    <w:p>
      <w:pPr>
        <w:pStyle w:val="ListBullet"/>
      </w:pPr>
      <w:r>
        <w:t>Heatmap-style charts — region × engagement, device × time and correlations.</w:t>
      </w:r>
    </w:p>
    <w:p>
      <w:pPr>
        <w:pStyle w:val="ListBullet"/>
      </w:pPr>
      <w:r>
        <w:t>Pie chart — feedback-category distribution.</w:t>
      </w:r>
    </w:p>
    <w:p>
      <w:pPr>
        <w:pStyle w:val="ListBullet"/>
      </w:pPr>
      <w:r>
        <w:t>Histograms — watch-duration distributions.</w:t>
      </w:r>
    </w:p>
    <w:p>
      <w:pPr>
        <w:pStyle w:val="Heading1"/>
      </w:pPr>
      <w:r>
        <w:t>19. Phase 5 Business Analytics Flow</w:t>
      </w:r>
    </w:p>
    <w:p>
      <w:r>
        <w:t>The Phase 5 workflow follows a business analytics sequence rather than analysing variables in isolation:</w:t>
      </w:r>
    </w:p>
    <w:p>
      <w:pPr>
        <w:pStyle w:val="ListBullet"/>
      </w:pPr>
      <w:r>
        <w:t>Business objective → define what decision needs support.</w:t>
      </w:r>
    </w:p>
    <w:p>
      <w:pPr>
        <w:pStyle w:val="ListBullet"/>
      </w:pPr>
      <w:r>
        <w:t>Question → identify the measurable relationship.</w:t>
      </w:r>
    </w:p>
    <w:p>
      <w:pPr>
        <w:pStyle w:val="ListBullet"/>
      </w:pPr>
      <w:r>
        <w:t>Data → select the appropriate cleaned dataset(s).</w:t>
      </w:r>
    </w:p>
    <w:p>
      <w:pPr>
        <w:pStyle w:val="ListBullet"/>
      </w:pPr>
      <w:r>
        <w:t>Preparation → join customer/content/viewing/subscription information where required.</w:t>
      </w:r>
    </w:p>
    <w:p>
      <w:pPr>
        <w:pStyle w:val="ListBullet"/>
      </w:pPr>
      <w:r>
        <w:t>EDA → calculate summaries and create visuals.</w:t>
      </w:r>
    </w:p>
    <w:p>
      <w:pPr>
        <w:pStyle w:val="ListBullet"/>
      </w:pPr>
      <w:r>
        <w:t>Observation → describe the pattern shown by the data.</w:t>
      </w:r>
    </w:p>
    <w:p>
      <w:pPr>
        <w:pStyle w:val="ListBullet"/>
      </w:pPr>
      <w:r>
        <w:t>Business meaning → explain why the pattern matters.</w:t>
      </w:r>
    </w:p>
    <w:p>
      <w:pPr>
        <w:pStyle w:val="ListBullet"/>
      </w:pPr>
      <w:r>
        <w:t>Validation → carry selected relationships into formal statistical testing.</w:t>
      </w:r>
    </w:p>
    <w:p>
      <w:pPr>
        <w:pStyle w:val="Heading1"/>
      </w:pPr>
      <w:r>
        <w:t>20. Important Interpretation Rule</w:t>
      </w:r>
    </w:p>
    <w:p>
      <w:r>
        <w:t>The Phase 5 notebook is intentionally exploratory. Statements such as 'significant effect', 'significant difference', 'causes churn' or 'proves that' should not be used based only on these charts. Such conclusions require the statistical tests planned for the later validation phase.</w:t>
      </w:r>
    </w:p>
    <w:p>
      <w:pPr>
        <w:pStyle w:val="Heading1"/>
      </w:pPr>
      <w:r>
        <w:t>21. Phase 5 Deliverables</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D9EAF7"/>
          </w:tcPr>
          <w:p>
            <w:r/>
            <w:r>
              <w:rPr>
                <w:b/>
                <w:sz w:val="18"/>
              </w:rPr>
              <w:t>Deliverable</w:t>
            </w:r>
          </w:p>
        </w:tc>
        <w:tc>
          <w:tcPr>
            <w:tcW w:type="dxa" w:w="6624"/>
            <w:vAlign w:val="center"/>
            <w:shd w:fill="D9EAF7"/>
          </w:tcPr>
          <w:p>
            <w:r/>
            <w:r>
              <w:rPr>
                <w:b/>
                <w:sz w:val="18"/>
              </w:rPr>
              <w:t>Status / Description</w:t>
            </w:r>
          </w:p>
        </w:tc>
      </w:tr>
      <w:tr>
        <w:tc>
          <w:tcPr>
            <w:tcW w:type="dxa" w:w="3024"/>
            <w:vAlign w:val="center"/>
          </w:tcPr>
          <w:p>
            <w:r/>
            <w:r>
              <w:rPr>
                <w:b w:val="0"/>
                <w:sz w:val="18"/>
              </w:rPr>
              <w:t>Python EDA Notebook</w:t>
            </w:r>
          </w:p>
        </w:tc>
        <w:tc>
          <w:tcPr>
            <w:tcW w:type="dxa" w:w="6624"/>
            <w:vAlign w:val="center"/>
          </w:tcPr>
          <w:p>
            <w:r/>
            <w:r>
              <w:rPr>
                <w:b w:val="0"/>
                <w:sz w:val="18"/>
              </w:rPr>
              <w:t>Completed with objective-wise analysis and visualisations</w:t>
            </w:r>
          </w:p>
        </w:tc>
      </w:tr>
      <w:tr>
        <w:tc>
          <w:tcPr>
            <w:tcW w:type="dxa" w:w="3024"/>
            <w:vAlign w:val="center"/>
          </w:tcPr>
          <w:p>
            <w:r/>
            <w:r>
              <w:rPr>
                <w:b w:val="0"/>
                <w:sz w:val="18"/>
              </w:rPr>
              <w:t>Five cleaned Excel datasets</w:t>
            </w:r>
          </w:p>
        </w:tc>
        <w:tc>
          <w:tcPr>
            <w:tcW w:type="dxa" w:w="6624"/>
            <w:vAlign w:val="center"/>
          </w:tcPr>
          <w:p>
            <w:r/>
            <w:r>
              <w:rPr>
                <w:b w:val="0"/>
                <w:sz w:val="18"/>
              </w:rPr>
              <w:t>Used as Phase 5 analytical inputs</w:t>
            </w:r>
          </w:p>
        </w:tc>
      </w:tr>
      <w:tr>
        <w:tc>
          <w:tcPr>
            <w:tcW w:type="dxa" w:w="3024"/>
            <w:vAlign w:val="center"/>
          </w:tcPr>
          <w:p>
            <w:r/>
            <w:r>
              <w:rPr>
                <w:b w:val="0"/>
                <w:sz w:val="18"/>
              </w:rPr>
              <w:t>Dataset verification</w:t>
            </w:r>
          </w:p>
        </w:tc>
        <w:tc>
          <w:tcPr>
            <w:tcW w:type="dxa" w:w="6624"/>
            <w:vAlign w:val="center"/>
          </w:tcPr>
          <w:p>
            <w:r/>
            <w:r>
              <w:rPr>
                <w:b w:val="0"/>
                <w:sz w:val="18"/>
              </w:rPr>
              <w:t>Rows, columns, duplicates and missing values checked</w:t>
            </w:r>
          </w:p>
        </w:tc>
      </w:tr>
      <w:tr>
        <w:tc>
          <w:tcPr>
            <w:tcW w:type="dxa" w:w="3024"/>
            <w:vAlign w:val="center"/>
          </w:tcPr>
          <w:p>
            <w:r/>
            <w:r>
              <w:rPr>
                <w:b w:val="0"/>
                <w:sz w:val="18"/>
              </w:rPr>
              <w:t>Descriptive statistics</w:t>
            </w:r>
          </w:p>
        </w:tc>
        <w:tc>
          <w:tcPr>
            <w:tcW w:type="dxa" w:w="6624"/>
            <w:vAlign w:val="center"/>
          </w:tcPr>
          <w:p>
            <w:r/>
            <w:r>
              <w:rPr>
                <w:b w:val="0"/>
                <w:sz w:val="18"/>
              </w:rPr>
              <w:t>Mean, median, standard deviation, min and max</w:t>
            </w:r>
          </w:p>
        </w:tc>
      </w:tr>
      <w:tr>
        <w:tc>
          <w:tcPr>
            <w:tcW w:type="dxa" w:w="3024"/>
            <w:vAlign w:val="center"/>
          </w:tcPr>
          <w:p>
            <w:r/>
            <w:r>
              <w:rPr>
                <w:b w:val="0"/>
                <w:sz w:val="18"/>
              </w:rPr>
              <w:t>O1–O6 EDA</w:t>
            </w:r>
          </w:p>
        </w:tc>
        <w:tc>
          <w:tcPr>
            <w:tcW w:type="dxa" w:w="6624"/>
            <w:vAlign w:val="center"/>
          </w:tcPr>
          <w:p>
            <w:r/>
            <w:r>
              <w:rPr>
                <w:b w:val="0"/>
                <w:sz w:val="18"/>
              </w:rPr>
              <w:t>Business-objective-based analysis implemented</w:t>
            </w:r>
          </w:p>
        </w:tc>
      </w:tr>
      <w:tr>
        <w:tc>
          <w:tcPr>
            <w:tcW w:type="dxa" w:w="3024"/>
            <w:vAlign w:val="center"/>
          </w:tcPr>
          <w:p>
            <w:r/>
            <w:r>
              <w:rPr>
                <w:b w:val="0"/>
                <w:sz w:val="18"/>
              </w:rPr>
              <w:t>Visual analysis</w:t>
            </w:r>
          </w:p>
        </w:tc>
        <w:tc>
          <w:tcPr>
            <w:tcW w:type="dxa" w:w="6624"/>
            <w:vAlign w:val="center"/>
          </w:tcPr>
          <w:p>
            <w:r/>
            <w:r>
              <w:rPr>
                <w:b w:val="0"/>
                <w:sz w:val="18"/>
              </w:rPr>
              <w:t>Bar, line, boxplot, scatter, histogram, pie and heatmap-style charts</w:t>
            </w:r>
          </w:p>
        </w:tc>
      </w:tr>
      <w:tr>
        <w:tc>
          <w:tcPr>
            <w:tcW w:type="dxa" w:w="3024"/>
            <w:vAlign w:val="center"/>
          </w:tcPr>
          <w:p>
            <w:r/>
            <w:r>
              <w:rPr>
                <w:b w:val="0"/>
                <w:sz w:val="18"/>
              </w:rPr>
              <w:t>Hypothesis linkage</w:t>
            </w:r>
          </w:p>
        </w:tc>
        <w:tc>
          <w:tcPr>
            <w:tcW w:type="dxa" w:w="6624"/>
            <w:vAlign w:val="center"/>
          </w:tcPr>
          <w:p>
            <w:r/>
            <w:r>
              <w:rPr>
                <w:b w:val="0"/>
                <w:sz w:val="18"/>
              </w:rPr>
              <w:t>EDA patterns connected to later statistical validation</w:t>
            </w:r>
          </w:p>
        </w:tc>
      </w:tr>
      <w:tr>
        <w:tc>
          <w:tcPr>
            <w:tcW w:type="dxa" w:w="3024"/>
            <w:vAlign w:val="center"/>
          </w:tcPr>
          <w:p>
            <w:r/>
            <w:r>
              <w:rPr>
                <w:b w:val="0"/>
                <w:sz w:val="18"/>
              </w:rPr>
              <w:t>Business observations</w:t>
            </w:r>
          </w:p>
        </w:tc>
        <w:tc>
          <w:tcPr>
            <w:tcW w:type="dxa" w:w="6624"/>
            <w:vAlign w:val="center"/>
          </w:tcPr>
          <w:p>
            <w:r/>
            <w:r>
              <w:rPr>
                <w:b w:val="0"/>
                <w:sz w:val="18"/>
              </w:rPr>
              <w:t>Finding template provided for objective-wise interpretation</w:t>
            </w:r>
          </w:p>
        </w:tc>
      </w:tr>
    </w:tbl>
    <w:p/>
    <w:p>
      <w:pPr>
        <w:pStyle w:val="Heading1"/>
      </w:pPr>
      <w:r>
        <w:t>22. Phase 5 Conclusion</w:t>
      </w:r>
    </w:p>
    <w:p>
      <w:r>
        <w:t>Phase 5 transformed the cleaned OTT datasets into a structured Python EDA workflow. The analysis covers content performance, platform performance, customer viewing behaviour, device and time patterns, subscription retention/churn, and ratings/feedback. Descriptive statistics and multiple visualisation techniques were used to identify patterns relevant to business decisions.</w:t>
      </w:r>
    </w:p>
    <w:p>
      <w:r>
        <w:t>The main outcome of Phase 5 is an evidence-based list of relationships and patterns that can be carried into the next analytical stage. The findings should be interpreted as exploratory until formal statistical validation is completed.</w:t>
      </w:r>
    </w:p>
    <w:p>
      <w:pPr>
        <w:pStyle w:val="Heading1"/>
      </w:pPr>
      <w:r>
        <w:t>23. Suggested Phase 5 Evidence to Keep</w:t>
      </w:r>
    </w:p>
    <w:p>
      <w:pPr>
        <w:pStyle w:val="ListBullet"/>
      </w:pPr>
      <w:r>
        <w:t>Screenshot of successful loading of all five cleaned datasets.</w:t>
      </w:r>
    </w:p>
    <w:p>
      <w:pPr>
        <w:pStyle w:val="ListBullet"/>
      </w:pPr>
      <w:r>
        <w:t>Screenshot of dataset quality/verification table.</w:t>
      </w:r>
    </w:p>
    <w:p>
      <w:pPr>
        <w:pStyle w:val="ListBullet"/>
      </w:pPr>
      <w:r>
        <w:t>Important chart screenshots from O1–O6.</w:t>
      </w:r>
    </w:p>
    <w:p>
      <w:pPr>
        <w:pStyle w:val="ListBullet"/>
      </w:pPr>
      <w:r>
        <w:t>Key summary tables and descriptive statistics.</w:t>
      </w:r>
    </w:p>
    <w:p>
      <w:pPr>
        <w:pStyle w:val="ListBullet"/>
      </w:pPr>
      <w:r>
        <w:t>Correlation heatmap.</w:t>
      </w:r>
    </w:p>
    <w:p>
      <w:pPr>
        <w:pStyle w:val="ListBullet"/>
      </w:pPr>
      <w:r>
        <w:t>Hypothesis-linked EDA observations.</w:t>
      </w:r>
    </w:p>
    <w:p>
      <w:pPr>
        <w:pStyle w:val="ListBullet"/>
      </w:pPr>
      <w:r>
        <w:t>Final notebook file used for the analysis.</w:t>
      </w:r>
    </w:p>
    <w:p/>
    <w:p>
      <w:pPr>
        <w:jc w:val="center"/>
      </w:pPr>
      <w:r>
        <w:rPr>
          <w:b/>
        </w:rPr>
        <w:t>End of Phase 5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