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F0CEAE" w14:textId="77777777" w:rsidR="00044F06" w:rsidRPr="00DF51D3" w:rsidRDefault="00044F06" w:rsidP="00DF51D3">
      <w:pPr>
        <w:rPr>
          <w:rFonts w:ascii="Times New Roman" w:hAnsi="Times New Roman" w:cs="Times New Roman"/>
          <w:b/>
          <w:bCs/>
          <w:sz w:val="36"/>
          <w:szCs w:val="36"/>
        </w:rPr>
      </w:pPr>
      <w:r w:rsidRPr="00DF51D3">
        <w:rPr>
          <w:rFonts w:ascii="Times New Roman" w:hAnsi="Times New Roman" w:cs="Times New Roman"/>
          <w:b/>
          <w:bCs/>
          <w:sz w:val="36"/>
          <w:szCs w:val="36"/>
        </w:rPr>
        <w:t xml:space="preserve">Stress-Testing </w:t>
      </w:r>
      <w:proofErr w:type="spellStart"/>
      <w:r w:rsidRPr="00DF51D3">
        <w:rPr>
          <w:rFonts w:ascii="Times New Roman" w:hAnsi="Times New Roman" w:cs="Times New Roman"/>
          <w:b/>
          <w:bCs/>
          <w:sz w:val="36"/>
          <w:szCs w:val="36"/>
        </w:rPr>
        <w:t>SeSE</w:t>
      </w:r>
      <w:proofErr w:type="spellEnd"/>
      <w:r w:rsidRPr="00DF51D3">
        <w:rPr>
          <w:rFonts w:ascii="Times New Roman" w:hAnsi="Times New Roman" w:cs="Times New Roman"/>
          <w:b/>
          <w:bCs/>
          <w:sz w:val="36"/>
          <w:szCs w:val="36"/>
        </w:rPr>
        <w:t>: Robustness and Failure Analysis of LLM Uncertainty Estimation</w:t>
      </w:r>
    </w:p>
    <w:p w14:paraId="1A4E8FDF" w14:textId="77777777" w:rsidR="00EA1100" w:rsidRDefault="00EA1100" w:rsidP="00044F06">
      <w:pPr>
        <w:jc w:val="both"/>
        <w:rPr>
          <w:rFonts w:ascii="Times New Roman" w:hAnsi="Times New Roman" w:cs="Times New Roman"/>
          <w:kern w:val="0"/>
          <w:sz w:val="24"/>
          <w:szCs w:val="24"/>
          <w:lang w:eastAsia="en-IN"/>
        </w:rPr>
      </w:pPr>
    </w:p>
    <w:p w14:paraId="6D46312E" w14:textId="1D7E88B0"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Abstract</w:t>
      </w:r>
    </w:p>
    <w:p w14:paraId="38D9948B"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Large language models (LLMs) can generate fluent responses that remain factually incorrect, making uncertainty estimation central to reliable deployment. Existing semantic uncertainty methods improve on token-level measures by grouping responses according to meaning, but the structural behavior of semantic-graph uncertainty signals under controlled changes is less directly characterized [2,3,6]. We investigate this behavior using Semantic Structural Entropy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preserving the original structural-entropy implementation while constructing an independent evaluation layer around it. The study evaluates six complementary dimensions: scaled case evaluation, clustering-threshold sensitivity, semantic-graph perturbation, repeated-score stability, complexity variation, and structural failure mechanisms. Across five tested clustering thresholds, structural entropy varied by only 0.000198. Under controlled perturbation, the maximum relative entropy change was 0.320876 for edge-weight noise and 0.144263 for edge dropout. Eleven repeated evaluations yielded a standard deviation of 0.849235 and an observed range of 2.260093. In seven scaled cases, all five factual cases produced a [5,1] cluster structure in which the single incorrect response formed a singleton, whereas the two reasoning cases produced [3,2,1] and [4,1,1] structures. These findings indicate a selective robustness profile rather than uniform stability: threshold variation was comparatively benign, while graph-weight perturbation and repeated evaluation produced larger score variation. The results provide a pilot-scale structural characterization of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and identify concrete directions for larger, statistically controlled validation.</w:t>
      </w:r>
    </w:p>
    <w:p w14:paraId="0E246274"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1. Introduction</w:t>
      </w:r>
    </w:p>
    <w:p w14:paraId="24E1BA55"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LLMs can produce fluent but non-factual outputs, creating a reliability problem for downstream use and motivating uncertainty quantification as a </w:t>
      </w:r>
      <w:r w:rsidRPr="00EA42D9">
        <w:rPr>
          <w:rFonts w:ascii="Times New Roman" w:hAnsi="Times New Roman" w:cs="Times New Roman"/>
          <w:kern w:val="0"/>
          <w:sz w:val="24"/>
          <w:szCs w:val="24"/>
          <w:lang w:eastAsia="en-IN"/>
        </w:rPr>
        <w:t xml:space="preserve">means of assessing when generated content should be trusted or verified [3,4,5]. Hallucinated or unsupported responses can be difficult to identify from surface fluency alone, motivating uncertainty quantification (UQ) as a mechanism for reliability assessment and selective use. Recent UQ literature distinguishes multiple approaches, including probability-based, representation-based, sampling-based, and black-box behavioral methods [3,6,9]. Sampling-based methods such as </w:t>
      </w:r>
      <w:proofErr w:type="spellStart"/>
      <w:r w:rsidRPr="00EA42D9">
        <w:rPr>
          <w:rFonts w:ascii="Times New Roman" w:hAnsi="Times New Roman" w:cs="Times New Roman"/>
          <w:kern w:val="0"/>
          <w:sz w:val="24"/>
          <w:szCs w:val="24"/>
          <w:lang w:eastAsia="en-IN"/>
        </w:rPr>
        <w:t>SelfCheckGPT</w:t>
      </w:r>
      <w:proofErr w:type="spellEnd"/>
      <w:r w:rsidRPr="00EA42D9">
        <w:rPr>
          <w:rFonts w:ascii="Times New Roman" w:hAnsi="Times New Roman" w:cs="Times New Roman"/>
          <w:kern w:val="0"/>
          <w:sz w:val="24"/>
          <w:szCs w:val="24"/>
          <w:lang w:eastAsia="en-IN"/>
        </w:rPr>
        <w:t xml:space="preserve"> and self-consistency use agreement across generated outputs as an uncertainty-relevant signal [7,8]. Semantic uncertainty is particularly relevant because different textual realizations can express the same underlying answer; treating lexical variation as uncertainty can therefore exaggerate disagreement.</w:t>
      </w:r>
    </w:p>
    <w:p w14:paraId="02B61F95"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Semantic entropy established an influential response-level formulation by grouping generations according to semantic meaning before computing uncertainty [2]. Related work has also explored alternative semantic-similarity representations for uncertainty estimation, including contrastive semantic similarity [10]. Farquhar et al. showed that semantic grouping can outperform naive sequence-level entropy for detecting confabulation and demonstrated the value of semantic consistency across multiple generated answers [2].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extends this direction by representing semantic relationships structurally and using structural entropy over a hierarchical abstraction of the response space. The original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study introduces structural information as an additional source of uncertainty information and reports empirical evaluation across 24 model-dataset combinations [1].</w:t>
      </w:r>
    </w:p>
    <w:p w14:paraId="1FE63C4C" w14:textId="46B10518"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question addressed here is narrower and complementary: how does the structural uncertainty signal behave when the graph construction is subjected to controlled changes? Aggregate discrimination metrics can show whether </w:t>
      </w:r>
      <w:r w:rsidR="00044F06" w:rsidRPr="00EA42D9">
        <w:rPr>
          <w:rFonts w:ascii="Times New Roman" w:hAnsi="Times New Roman" w:cs="Times New Roman"/>
          <w:kern w:val="0"/>
          <w:sz w:val="24"/>
          <w:szCs w:val="24"/>
          <w:lang w:eastAsia="en-IN"/>
        </w:rPr>
        <w:t>estimator separates</w:t>
      </w:r>
      <w:r w:rsidRPr="00EA42D9">
        <w:rPr>
          <w:rFonts w:ascii="Times New Roman" w:hAnsi="Times New Roman" w:cs="Times New Roman"/>
          <w:kern w:val="0"/>
          <w:sz w:val="24"/>
          <w:szCs w:val="24"/>
          <w:lang w:eastAsia="en-IN"/>
        </w:rPr>
        <w:t xml:space="preserve"> correct from incorrect outputs, but they do not fully reveal whether the underlying score is sensitive to clustering choices, graph perturbations, repeated evaluation, response complexity, or particular error configurations. Such structural diagnostics matter because a score can perform well on aggregate while still exhibiting instability or systematic failure modes in specific settings.</w:t>
      </w:r>
    </w:p>
    <w:p w14:paraId="5EA3E6AF"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lastRenderedPageBreak/>
        <w:t>We therefore ask: How robust, stable, and diagnostically informative is semantic-graph structural entropy as an uncertainty signal for LLM-generated responses? We address this question through six coordinated experiments. First, threshold sensitivity tests whether the final entropy changes materially across clustering thresholds. Second, perturbation experiments separately examine edge-weight noise and edge dropout. Third, repeated evaluations quantify score variability. Fourth, complexity experiments examine entropy variation across controlled semantic/reasoning conditions. Fifth, scaled evaluation expands the case-level analysis to seven questions. Sixth, failure-mechanism analysis examines how incorrect responses are positioned within semantic clusters.</w:t>
      </w:r>
    </w:p>
    <w:p w14:paraId="50D5A575"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study makes four empirical contributions. First, it provides a multi-axis empirical characterization of the structural behavior of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rather than evaluating only aggregate discrimination. Second, it quantifies sensitivity to intermediate graph-construction choices and explicit graph perturbations. Third, it connects score variability to repeated evaluation and response complexity. Fourth, it examines concrete structural configurations associated with incorrect responses, producing interpretable case-level evidence that complements aggregate metrics.</w:t>
      </w:r>
    </w:p>
    <w:p w14:paraId="2F396A33"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2. Related Work</w:t>
      </w:r>
    </w:p>
    <w:p w14:paraId="48ABE132"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LLM uncertainty estimation has developed rapidly because fluent generation does not guarantee factual reliability. Recent surveys organize UQ methods into multiple families and emphasize the need for evaluation protocols that connect uncertainty scores to reliability outcomes [3,6]. Hallucination research likewise distinguishes factuality, faithfulness, and detection settings rather than treating all non-factual generation as a single phenomenon [4,5]. Semantic entropy is a particularly relevant precedent: it estimates uncertainty over meanings rather than exact token sequences and uses semantic clustering to avoid counting paraphrases as independent answers [2].</w:t>
      </w:r>
    </w:p>
    <w:p w14:paraId="04EB1DA0"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present study differs in emphasis rather than replacing these approaches.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introduces structural information by constructing a semantic graph and an optimized hierarchical abstraction, with structural entropy serving as the uncertainty </w:t>
      </w:r>
      <w:r w:rsidRPr="00EA42D9">
        <w:rPr>
          <w:rFonts w:ascii="Times New Roman" w:hAnsi="Times New Roman" w:cs="Times New Roman"/>
          <w:kern w:val="0"/>
          <w:sz w:val="24"/>
          <w:szCs w:val="24"/>
          <w:lang w:eastAsia="en-IN"/>
        </w:rPr>
        <w:t xml:space="preserve">quantity [1]. This is conceptually adjacent to semantic-similarity approaches that use NLI or contrastive representations to characterize response dispersion [2,10]. The original work also establishes theoretical and empirical properties of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including its relationship to semantic entropy and its performance across 24 model-dataset combinations [1]. Consequently, broader dataset expansion, model comparison, sample-count ablations, and generic hallucination detection are not treated here as novel contributions.</w:t>
      </w:r>
    </w:p>
    <w:p w14:paraId="4ADC2A2A"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2.1 Positioning against representative approaches</w:t>
      </w:r>
    </w:p>
    <w:tbl>
      <w:tblPr>
        <w:tblStyle w:val="TableGrid"/>
        <w:tblW w:w="5245" w:type="dxa"/>
        <w:tblInd w:w="-5" w:type="dxa"/>
        <w:tblLayout w:type="fixed"/>
        <w:tblLook w:val="04A0" w:firstRow="1" w:lastRow="0" w:firstColumn="1" w:lastColumn="0" w:noHBand="0" w:noVBand="1"/>
      </w:tblPr>
      <w:tblGrid>
        <w:gridCol w:w="1098"/>
        <w:gridCol w:w="1312"/>
        <w:gridCol w:w="1276"/>
        <w:gridCol w:w="1559"/>
      </w:tblGrid>
      <w:tr w:rsidR="00044F06" w:rsidRPr="00044F06" w14:paraId="15F980F2" w14:textId="77777777" w:rsidTr="00EA1100">
        <w:tc>
          <w:tcPr>
            <w:tcW w:w="1098" w:type="dxa"/>
            <w:hideMark/>
          </w:tcPr>
          <w:p w14:paraId="7B4A5915"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Approach</w:t>
            </w:r>
          </w:p>
        </w:tc>
        <w:tc>
          <w:tcPr>
            <w:tcW w:w="1312" w:type="dxa"/>
            <w:hideMark/>
          </w:tcPr>
          <w:p w14:paraId="6E4873EF"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Primary signal</w:t>
            </w:r>
          </w:p>
        </w:tc>
        <w:tc>
          <w:tcPr>
            <w:tcW w:w="1276" w:type="dxa"/>
            <w:hideMark/>
          </w:tcPr>
          <w:p w14:paraId="6C949B05"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Access requirement</w:t>
            </w:r>
          </w:p>
        </w:tc>
        <w:tc>
          <w:tcPr>
            <w:tcW w:w="1559" w:type="dxa"/>
            <w:hideMark/>
          </w:tcPr>
          <w:p w14:paraId="1C0C111F"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Relationship to this study</w:t>
            </w:r>
          </w:p>
        </w:tc>
      </w:tr>
      <w:tr w:rsidR="00044F06" w:rsidRPr="00044F06" w14:paraId="3D78D70A" w14:textId="77777777" w:rsidTr="00EA1100">
        <w:tc>
          <w:tcPr>
            <w:tcW w:w="1098" w:type="dxa"/>
            <w:hideMark/>
          </w:tcPr>
          <w:p w14:paraId="1FD47D9C"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Semantic entropy [2]</w:t>
            </w:r>
          </w:p>
        </w:tc>
        <w:tc>
          <w:tcPr>
            <w:tcW w:w="1312" w:type="dxa"/>
            <w:hideMark/>
          </w:tcPr>
          <w:p w14:paraId="35E39E44"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Semantic agreement/disagreement across generations</w:t>
            </w:r>
          </w:p>
        </w:tc>
        <w:tc>
          <w:tcPr>
            <w:tcW w:w="1276" w:type="dxa"/>
            <w:hideMark/>
          </w:tcPr>
          <w:p w14:paraId="783B7350"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Black-box response access</w:t>
            </w:r>
          </w:p>
        </w:tc>
        <w:tc>
          <w:tcPr>
            <w:tcW w:w="1559" w:type="dxa"/>
            <w:hideMark/>
          </w:tcPr>
          <w:p w14:paraId="1BC3B163"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Direct conceptual predecessor; our analysis probes structural behavior beyond semantic grouping</w:t>
            </w:r>
          </w:p>
        </w:tc>
      </w:tr>
      <w:tr w:rsidR="00044F06" w:rsidRPr="00044F06" w14:paraId="38B58EDF" w14:textId="77777777" w:rsidTr="00EA1100">
        <w:tc>
          <w:tcPr>
            <w:tcW w:w="1098" w:type="dxa"/>
            <w:hideMark/>
          </w:tcPr>
          <w:p w14:paraId="5FDE7DB0" w14:textId="77777777" w:rsidR="00EA42D9" w:rsidRPr="00044F06" w:rsidRDefault="00EA42D9" w:rsidP="00EA1100">
            <w:pPr>
              <w:rPr>
                <w:rFonts w:ascii="Times New Roman" w:hAnsi="Times New Roman" w:cs="Times New Roman"/>
                <w:kern w:val="0"/>
                <w:sz w:val="20"/>
                <w:szCs w:val="20"/>
                <w:lang w:eastAsia="en-IN"/>
              </w:rPr>
            </w:pPr>
            <w:proofErr w:type="spellStart"/>
            <w:r w:rsidRPr="00044F06">
              <w:rPr>
                <w:rFonts w:ascii="Times New Roman" w:hAnsi="Times New Roman" w:cs="Times New Roman"/>
                <w:kern w:val="0"/>
                <w:sz w:val="20"/>
                <w:szCs w:val="20"/>
                <w:lang w:eastAsia="en-IN"/>
              </w:rPr>
              <w:t>SelfCheckGPT</w:t>
            </w:r>
            <w:proofErr w:type="spellEnd"/>
            <w:r w:rsidRPr="00044F06">
              <w:rPr>
                <w:rFonts w:ascii="Times New Roman" w:hAnsi="Times New Roman" w:cs="Times New Roman"/>
                <w:kern w:val="0"/>
                <w:sz w:val="20"/>
                <w:szCs w:val="20"/>
                <w:lang w:eastAsia="en-IN"/>
              </w:rPr>
              <w:t xml:space="preserve"> [7]</w:t>
            </w:r>
          </w:p>
        </w:tc>
        <w:tc>
          <w:tcPr>
            <w:tcW w:w="1312" w:type="dxa"/>
            <w:hideMark/>
          </w:tcPr>
          <w:p w14:paraId="7588A7B8"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Cross-sample consistency and contradiction</w:t>
            </w:r>
          </w:p>
        </w:tc>
        <w:tc>
          <w:tcPr>
            <w:tcW w:w="1276" w:type="dxa"/>
            <w:hideMark/>
          </w:tcPr>
          <w:p w14:paraId="1697356F"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Black-box response access</w:t>
            </w:r>
          </w:p>
        </w:tc>
        <w:tc>
          <w:tcPr>
            <w:tcW w:w="1559" w:type="dxa"/>
            <w:hideMark/>
          </w:tcPr>
          <w:p w14:paraId="41E992E7"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Motivates repeated-response analysis; does not construct a structural-entropy graph</w:t>
            </w:r>
          </w:p>
        </w:tc>
      </w:tr>
      <w:tr w:rsidR="00044F06" w:rsidRPr="00044F06" w14:paraId="1A734A3C" w14:textId="77777777" w:rsidTr="00EA1100">
        <w:tc>
          <w:tcPr>
            <w:tcW w:w="1098" w:type="dxa"/>
            <w:hideMark/>
          </w:tcPr>
          <w:p w14:paraId="2836CA85"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Self-consistency [8]</w:t>
            </w:r>
          </w:p>
        </w:tc>
        <w:tc>
          <w:tcPr>
            <w:tcW w:w="1312" w:type="dxa"/>
            <w:hideMark/>
          </w:tcPr>
          <w:p w14:paraId="59040B0F"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Agreement among sampled reasoning paths</w:t>
            </w:r>
          </w:p>
        </w:tc>
        <w:tc>
          <w:tcPr>
            <w:tcW w:w="1276" w:type="dxa"/>
            <w:hideMark/>
          </w:tcPr>
          <w:p w14:paraId="0B2927E0"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Black-box generation</w:t>
            </w:r>
          </w:p>
        </w:tc>
        <w:tc>
          <w:tcPr>
            <w:tcW w:w="1559" w:type="dxa"/>
            <w:hideMark/>
          </w:tcPr>
          <w:p w14:paraId="44EB85A8"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Related sampling principle, but designed for answer selection rather than uncertainty-structure diagnosis</w:t>
            </w:r>
          </w:p>
        </w:tc>
      </w:tr>
      <w:tr w:rsidR="00044F06" w:rsidRPr="00044F06" w14:paraId="6E8A818E" w14:textId="77777777" w:rsidTr="00EA1100">
        <w:tc>
          <w:tcPr>
            <w:tcW w:w="1098" w:type="dxa"/>
            <w:hideMark/>
          </w:tcPr>
          <w:p w14:paraId="53F3AF38"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CSS [10]</w:t>
            </w:r>
          </w:p>
        </w:tc>
        <w:tc>
          <w:tcPr>
            <w:tcW w:w="1312" w:type="dxa"/>
            <w:hideMark/>
          </w:tcPr>
          <w:p w14:paraId="4695E5DD"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Contrastive semantic similarity</w:t>
            </w:r>
          </w:p>
        </w:tc>
        <w:tc>
          <w:tcPr>
            <w:tcW w:w="1276" w:type="dxa"/>
            <w:hideMark/>
          </w:tcPr>
          <w:p w14:paraId="7FA0260C"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Black-box response access</w:t>
            </w:r>
          </w:p>
        </w:tc>
        <w:tc>
          <w:tcPr>
            <w:tcW w:w="1559" w:type="dxa"/>
            <w:hideMark/>
          </w:tcPr>
          <w:p w14:paraId="3DE0A79A"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Alternative semantic representation; highlights sensitivity to how response relationships are encoded</w:t>
            </w:r>
          </w:p>
        </w:tc>
      </w:tr>
      <w:tr w:rsidR="00044F06" w:rsidRPr="00044F06" w14:paraId="31A7FE17" w14:textId="77777777" w:rsidTr="00EA1100">
        <w:tc>
          <w:tcPr>
            <w:tcW w:w="1098" w:type="dxa"/>
            <w:hideMark/>
          </w:tcPr>
          <w:p w14:paraId="529910C8"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LM-Polygraph [6]</w:t>
            </w:r>
          </w:p>
        </w:tc>
        <w:tc>
          <w:tcPr>
            <w:tcW w:w="1312" w:type="dxa"/>
            <w:hideMark/>
          </w:tcPr>
          <w:p w14:paraId="5525AD95"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Benchmarking multiple UQ families</w:t>
            </w:r>
          </w:p>
        </w:tc>
        <w:tc>
          <w:tcPr>
            <w:tcW w:w="1276" w:type="dxa"/>
            <w:hideMark/>
          </w:tcPr>
          <w:p w14:paraId="218120AC"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Model/output access depending on method</w:t>
            </w:r>
          </w:p>
        </w:tc>
        <w:tc>
          <w:tcPr>
            <w:tcW w:w="1559" w:type="dxa"/>
            <w:hideMark/>
          </w:tcPr>
          <w:p w14:paraId="71CF1D67" w14:textId="77777777" w:rsidR="00EA42D9" w:rsidRPr="00044F06" w:rsidRDefault="00EA42D9" w:rsidP="00EA1100">
            <w:pPr>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Establishes the need for controlled, comparable UQ evaluation</w:t>
            </w:r>
          </w:p>
        </w:tc>
      </w:tr>
      <w:tr w:rsidR="00044F06" w:rsidRPr="00044F06" w14:paraId="30ACF860" w14:textId="77777777" w:rsidTr="00EA1100">
        <w:tc>
          <w:tcPr>
            <w:tcW w:w="1098" w:type="dxa"/>
            <w:hideMark/>
          </w:tcPr>
          <w:p w14:paraId="14CB93FF" w14:textId="77777777" w:rsidR="00EA42D9" w:rsidRPr="00044F06" w:rsidRDefault="00EA42D9" w:rsidP="00044F06">
            <w:pPr>
              <w:jc w:val="both"/>
              <w:rPr>
                <w:rFonts w:ascii="Times New Roman" w:hAnsi="Times New Roman" w:cs="Times New Roman"/>
                <w:kern w:val="0"/>
                <w:sz w:val="20"/>
                <w:szCs w:val="20"/>
                <w:lang w:eastAsia="en-IN"/>
              </w:rPr>
            </w:pPr>
            <w:proofErr w:type="spellStart"/>
            <w:r w:rsidRPr="00044F06">
              <w:rPr>
                <w:rFonts w:ascii="Times New Roman" w:hAnsi="Times New Roman" w:cs="Times New Roman"/>
                <w:kern w:val="0"/>
                <w:sz w:val="20"/>
                <w:szCs w:val="20"/>
                <w:lang w:eastAsia="en-IN"/>
              </w:rPr>
              <w:t>SeSE</w:t>
            </w:r>
            <w:proofErr w:type="spellEnd"/>
            <w:r w:rsidRPr="00044F06">
              <w:rPr>
                <w:rFonts w:ascii="Times New Roman" w:hAnsi="Times New Roman" w:cs="Times New Roman"/>
                <w:kern w:val="0"/>
                <w:sz w:val="20"/>
                <w:szCs w:val="20"/>
                <w:lang w:eastAsia="en-IN"/>
              </w:rPr>
              <w:t xml:space="preserve"> [1]</w:t>
            </w:r>
          </w:p>
        </w:tc>
        <w:tc>
          <w:tcPr>
            <w:tcW w:w="1312" w:type="dxa"/>
            <w:hideMark/>
          </w:tcPr>
          <w:p w14:paraId="60F956BB" w14:textId="77777777" w:rsidR="00EA42D9" w:rsidRPr="00044F06" w:rsidRDefault="00EA42D9" w:rsidP="00044F06">
            <w:pPr>
              <w:jc w:val="both"/>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Semantic graph + hierarchical structural entropy</w:t>
            </w:r>
          </w:p>
        </w:tc>
        <w:tc>
          <w:tcPr>
            <w:tcW w:w="1276" w:type="dxa"/>
            <w:hideMark/>
          </w:tcPr>
          <w:p w14:paraId="58812D82" w14:textId="77777777" w:rsidR="00EA42D9" w:rsidRPr="00044F06" w:rsidRDefault="00EA42D9" w:rsidP="00044F06">
            <w:pPr>
              <w:jc w:val="both"/>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Black-box response access</w:t>
            </w:r>
          </w:p>
        </w:tc>
        <w:tc>
          <w:tcPr>
            <w:tcW w:w="1559" w:type="dxa"/>
            <w:hideMark/>
          </w:tcPr>
          <w:p w14:paraId="6EBBAB71" w14:textId="77777777" w:rsidR="00EA42D9" w:rsidRPr="00044F06" w:rsidRDefault="00EA42D9" w:rsidP="00044F06">
            <w:pPr>
              <w:jc w:val="both"/>
              <w:rPr>
                <w:rFonts w:ascii="Times New Roman" w:hAnsi="Times New Roman" w:cs="Times New Roman"/>
                <w:kern w:val="0"/>
                <w:sz w:val="20"/>
                <w:szCs w:val="20"/>
                <w:lang w:eastAsia="en-IN"/>
              </w:rPr>
            </w:pPr>
            <w:r w:rsidRPr="00044F06">
              <w:rPr>
                <w:rFonts w:ascii="Times New Roman" w:hAnsi="Times New Roman" w:cs="Times New Roman"/>
                <w:kern w:val="0"/>
                <w:sz w:val="20"/>
                <w:szCs w:val="20"/>
                <w:lang w:eastAsia="en-IN"/>
              </w:rPr>
              <w:t>Foundational method evaluated here; this study interrogates its robustness and failure structure</w:t>
            </w:r>
          </w:p>
        </w:tc>
      </w:tr>
    </w:tbl>
    <w:p w14:paraId="7DB84017" w14:textId="77777777" w:rsidR="00EA1100" w:rsidRDefault="00EA1100" w:rsidP="00044F06">
      <w:pPr>
        <w:jc w:val="both"/>
        <w:rPr>
          <w:rFonts w:ascii="Times New Roman" w:hAnsi="Times New Roman" w:cs="Times New Roman"/>
          <w:kern w:val="0"/>
          <w:sz w:val="24"/>
          <w:szCs w:val="24"/>
          <w:lang w:eastAsia="en-IN"/>
        </w:rPr>
      </w:pPr>
    </w:p>
    <w:p w14:paraId="76C14B1F" w14:textId="69C9CC8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lastRenderedPageBreak/>
        <w:t xml:space="preserve">Instead, this study targets a more specific empirical gap: the structural conditions under which a semantic-graph uncertainty signal remains stable, changes under controlled graph perturbations, or exhibits recognizable failure configurations. This distinction is important because an uncertainty estimator may have strong aggregate AUROC or AURAC while its score remains sensitive to intermediate representation choices or generation variability. Our experiments therefore complement, rather than reproduce, the principal performance claims of the original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study.</w:t>
      </w:r>
    </w:p>
    <w:p w14:paraId="706BD2B4"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3. Methodology</w:t>
      </w:r>
    </w:p>
    <w:p w14:paraId="737F39B3"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 xml:space="preserve">3.1 </w:t>
      </w:r>
      <w:proofErr w:type="spellStart"/>
      <w:r w:rsidRPr="002C6A72">
        <w:rPr>
          <w:rFonts w:ascii="Times New Roman" w:hAnsi="Times New Roman" w:cs="Times New Roman"/>
          <w:b/>
          <w:bCs/>
          <w:kern w:val="0"/>
          <w:sz w:val="24"/>
          <w:szCs w:val="24"/>
          <w:lang w:eastAsia="en-IN"/>
        </w:rPr>
        <w:t>SeSE</w:t>
      </w:r>
      <w:proofErr w:type="spellEnd"/>
      <w:r w:rsidRPr="002C6A72">
        <w:rPr>
          <w:rFonts w:ascii="Times New Roman" w:hAnsi="Times New Roman" w:cs="Times New Roman"/>
          <w:b/>
          <w:bCs/>
          <w:kern w:val="0"/>
          <w:sz w:val="24"/>
          <w:szCs w:val="24"/>
          <w:lang w:eastAsia="en-IN"/>
        </w:rPr>
        <w:t>-preserving evaluation framework</w:t>
      </w:r>
    </w:p>
    <w:p w14:paraId="72D58109"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evaluation layer deliberately preserves the original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implementation [1], including its structural-entropy computation rather than replacing the method with a generic entropy statistic. The independently developed experiment scripts import the original semantic-graph construction and structural-entropy routines from the reference implementation rather than substituting a generic Shannon entropy calculation. In particular, structural entropy is computed through the original </w:t>
      </w:r>
      <w:proofErr w:type="spellStart"/>
      <w:r w:rsidRPr="00EA42D9">
        <w:rPr>
          <w:rFonts w:ascii="Times New Roman" w:hAnsi="Times New Roman" w:cs="Times New Roman"/>
          <w:kern w:val="0"/>
          <w:sz w:val="24"/>
          <w:szCs w:val="24"/>
          <w:lang w:eastAsia="en-IN"/>
        </w:rPr>
        <w:t>compute_se</w:t>
      </w:r>
      <w:proofErr w:type="spellEnd"/>
      <w:r w:rsidRPr="00EA42D9">
        <w:rPr>
          <w:rFonts w:ascii="Times New Roman" w:hAnsi="Times New Roman" w:cs="Times New Roman"/>
          <w:kern w:val="0"/>
          <w:sz w:val="24"/>
          <w:szCs w:val="24"/>
          <w:lang w:eastAsia="en-IN"/>
        </w:rPr>
        <w:t xml:space="preserve"> routine. This design separates the object of study—the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method—from the experimental controls used to interrogate its behavior.</w:t>
      </w:r>
    </w:p>
    <w:p w14:paraId="03C41D9A"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3.2 Semantic-response graph construction</w:t>
      </w:r>
    </w:p>
    <w:p w14:paraId="15B03CA5"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For a question q, the evaluation begins with a response set R = {r1, ..., </w:t>
      </w:r>
      <w:proofErr w:type="spellStart"/>
      <w:r w:rsidRPr="00EA42D9">
        <w:rPr>
          <w:rFonts w:ascii="Times New Roman" w:hAnsi="Times New Roman" w:cs="Times New Roman"/>
          <w:kern w:val="0"/>
          <w:sz w:val="24"/>
          <w:szCs w:val="24"/>
          <w:lang w:eastAsia="en-IN"/>
        </w:rPr>
        <w:t>rn</w:t>
      </w:r>
      <w:proofErr w:type="spellEnd"/>
      <w:r w:rsidRPr="00EA42D9">
        <w:rPr>
          <w:rFonts w:ascii="Times New Roman" w:hAnsi="Times New Roman" w:cs="Times New Roman"/>
          <w:kern w:val="0"/>
          <w:sz w:val="24"/>
          <w:szCs w:val="24"/>
          <w:lang w:eastAsia="en-IN"/>
        </w:rPr>
        <w:t xml:space="preserve">}. Each response constitutes a graph node. Semantic processing groups responses into clusters, after which pairwise natural-language-inference relationships are used to assign weights to eligible response pairs, following the semantic-relationship construction used in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and related semantic-UQ work [1,2,10]. The resulting weighted adjacency matrix represents the semantic organization of the sampled response set [1]. If the graph is disconnected, the original construction applies a connectivity correction so that the final graph can be evaluated structurally [1].</w:t>
      </w:r>
    </w:p>
    <w:p w14:paraId="1F1EB1F9" w14:textId="77777777" w:rsidR="00726385" w:rsidRDefault="00D84FE7" w:rsidP="00726385">
      <w:pPr>
        <w:keepNext/>
        <w:jc w:val="both"/>
      </w:pPr>
      <w:r>
        <w:rPr>
          <w:rFonts w:ascii="Times New Roman" w:hAnsi="Times New Roman" w:cs="Times New Roman"/>
          <w:noProof/>
          <w:kern w:val="0"/>
          <w:sz w:val="24"/>
          <w:szCs w:val="24"/>
          <w:lang w:eastAsia="en-IN"/>
        </w:rPr>
        <w:drawing>
          <wp:inline distT="0" distB="0" distL="0" distR="0" wp14:anchorId="0FA4E4D6" wp14:editId="17F29884">
            <wp:extent cx="3098165" cy="4126865"/>
            <wp:effectExtent l="0" t="0" r="698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98165" cy="4126865"/>
                    </a:xfrm>
                    <a:prstGeom prst="rect">
                      <a:avLst/>
                    </a:prstGeom>
                  </pic:spPr>
                </pic:pic>
              </a:graphicData>
            </a:graphic>
          </wp:inline>
        </w:drawing>
      </w:r>
    </w:p>
    <w:p w14:paraId="0BDE15F4" w14:textId="5C99DCF4" w:rsidR="00D84FE7" w:rsidRPr="00D84FE7" w:rsidRDefault="00726385" w:rsidP="00726385">
      <w:pPr>
        <w:pStyle w:val="Caption"/>
        <w:jc w:val="both"/>
        <w:rPr>
          <w:rFonts w:ascii="Times New Roman" w:hAnsi="Times New Roman" w:cs="Times New Roman"/>
          <w:kern w:val="0"/>
          <w:sz w:val="24"/>
          <w:szCs w:val="24"/>
          <w:lang w:eastAsia="en-IN"/>
        </w:rPr>
      </w:pPr>
      <w:r>
        <w:t xml:space="preserve">Figure </w:t>
      </w:r>
      <w:fldSimple w:instr=" SEQ Figure \* ARABIC ">
        <w:r w:rsidR="00E00276">
          <w:rPr>
            <w:noProof/>
          </w:rPr>
          <w:t>1</w:t>
        </w:r>
      </w:fldSimple>
      <w:r>
        <w:t xml:space="preserve">: </w:t>
      </w:r>
      <w:r w:rsidRPr="00FC686E">
        <w:t xml:space="preserve">Overall experimental pipeline for evaluating </w:t>
      </w:r>
      <w:proofErr w:type="spellStart"/>
      <w:r w:rsidRPr="00FC686E">
        <w:t>SeSE</w:t>
      </w:r>
      <w:proofErr w:type="spellEnd"/>
      <w:r w:rsidRPr="00FC686E">
        <w:t>-based LLM uncertainty estimation. Correctness labels are used only for retrospective analysis.</w:t>
      </w:r>
    </w:p>
    <w:p w14:paraId="163EA0B1" w14:textId="77777777" w:rsidR="00D84FE7" w:rsidRPr="00726385" w:rsidRDefault="00D84FE7" w:rsidP="00044F06">
      <w:pPr>
        <w:jc w:val="both"/>
        <w:rPr>
          <w:rFonts w:ascii="Times New Roman" w:hAnsi="Times New Roman" w:cs="Times New Roman"/>
          <w:sz w:val="24"/>
          <w:szCs w:val="24"/>
        </w:rPr>
      </w:pPr>
      <w:r w:rsidRPr="00726385">
        <w:rPr>
          <w:rStyle w:val="Strong"/>
          <w:rFonts w:ascii="Times New Roman" w:hAnsi="Times New Roman" w:cs="Times New Roman"/>
          <w:b w:val="0"/>
          <w:bCs w:val="0"/>
          <w:sz w:val="24"/>
          <w:szCs w:val="24"/>
        </w:rPr>
        <w:t>Figure 1 summarizes the overall experimental pipeline used in this study.</w:t>
      </w:r>
      <w:r w:rsidRPr="00726385">
        <w:rPr>
          <w:rFonts w:ascii="Times New Roman" w:hAnsi="Times New Roman" w:cs="Times New Roman"/>
          <w:sz w:val="24"/>
          <w:szCs w:val="24"/>
        </w:rPr>
        <w:t xml:space="preserve"> The workflow begins with a question and a set of LLM responses, followed by semantic processing and construction of the </w:t>
      </w:r>
      <w:proofErr w:type="spellStart"/>
      <w:r w:rsidRPr="00726385">
        <w:rPr>
          <w:rFonts w:ascii="Times New Roman" w:hAnsi="Times New Roman" w:cs="Times New Roman"/>
          <w:sz w:val="24"/>
          <w:szCs w:val="24"/>
        </w:rPr>
        <w:t>SeSE</w:t>
      </w:r>
      <w:proofErr w:type="spellEnd"/>
      <w:r w:rsidRPr="00726385">
        <w:rPr>
          <w:rFonts w:ascii="Times New Roman" w:hAnsi="Times New Roman" w:cs="Times New Roman"/>
          <w:sz w:val="24"/>
          <w:szCs w:val="24"/>
        </w:rPr>
        <w:t xml:space="preserve"> response graph. Structural entropy is then computed using the original </w:t>
      </w:r>
      <w:proofErr w:type="spellStart"/>
      <w:r w:rsidRPr="00726385">
        <w:rPr>
          <w:rFonts w:ascii="Times New Roman" w:hAnsi="Times New Roman" w:cs="Times New Roman"/>
          <w:sz w:val="24"/>
          <w:szCs w:val="24"/>
        </w:rPr>
        <w:t>SeSE</w:t>
      </w:r>
      <w:proofErr w:type="spellEnd"/>
      <w:r w:rsidRPr="00726385">
        <w:rPr>
          <w:rFonts w:ascii="Times New Roman" w:hAnsi="Times New Roman" w:cs="Times New Roman"/>
          <w:sz w:val="24"/>
          <w:szCs w:val="24"/>
        </w:rPr>
        <w:t xml:space="preserve"> implementation. The resulting uncertainty signal is evaluated through complementary experiments targeting threshold sensitivity, semantic perturbation, repeated-score stability, semantic/reasoning complexity, and failure mechanisms, followed by scaled evaluation and cross-experiment synthesis. Correctness labels are maintained separately for retrospective error analysis and failure-mechanism diagnosis; they are </w:t>
      </w:r>
      <w:r w:rsidRPr="00726385">
        <w:rPr>
          <w:rStyle w:val="Strong"/>
          <w:rFonts w:ascii="Times New Roman" w:hAnsi="Times New Roman" w:cs="Times New Roman"/>
          <w:b w:val="0"/>
          <w:bCs w:val="0"/>
          <w:sz w:val="24"/>
          <w:szCs w:val="24"/>
        </w:rPr>
        <w:t>not provided to the semantic graph construction or structural-entropy computation</w:t>
      </w:r>
      <w:r w:rsidRPr="00726385">
        <w:rPr>
          <w:rFonts w:ascii="Times New Roman" w:hAnsi="Times New Roman" w:cs="Times New Roman"/>
          <w:b/>
          <w:bCs/>
          <w:sz w:val="24"/>
          <w:szCs w:val="24"/>
        </w:rPr>
        <w:t>.</w:t>
      </w:r>
    </w:p>
    <w:p w14:paraId="73C4782D"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3.3 Evaluation variables</w:t>
      </w:r>
    </w:p>
    <w:p w14:paraId="53435174"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experiments manipulate or observe five structural dimensions: clustering threshold, edge-weight perturbation, edge dropout, repeated evaluation, and response/task complexity. Case-level correctness is represented as binary response labels, enabling comparison between graph structure and error location. The scaled evaluation </w:t>
      </w:r>
      <w:r w:rsidRPr="00EA42D9">
        <w:rPr>
          <w:rFonts w:ascii="Times New Roman" w:hAnsi="Times New Roman" w:cs="Times New Roman"/>
          <w:kern w:val="0"/>
          <w:sz w:val="24"/>
          <w:szCs w:val="24"/>
          <w:lang w:eastAsia="en-IN"/>
        </w:rPr>
        <w:lastRenderedPageBreak/>
        <w:t>uses six deterministic responses per question, producing 42 responses across seven cases.</w:t>
      </w:r>
    </w:p>
    <w:p w14:paraId="5898B9C3"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4. Experimental Design</w:t>
      </w:r>
    </w:p>
    <w:p w14:paraId="761B59E2"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The evaluation contains six complementary protocols.</w:t>
      </w:r>
    </w:p>
    <w:tbl>
      <w:tblPr>
        <w:tblStyle w:val="TableGrid"/>
        <w:tblW w:w="5083" w:type="dxa"/>
        <w:tblLook w:val="04A0" w:firstRow="1" w:lastRow="0" w:firstColumn="1" w:lastColumn="0" w:noHBand="0" w:noVBand="1"/>
      </w:tblPr>
      <w:tblGrid>
        <w:gridCol w:w="1239"/>
        <w:gridCol w:w="1262"/>
        <w:gridCol w:w="1320"/>
        <w:gridCol w:w="1262"/>
      </w:tblGrid>
      <w:tr w:rsidR="00D84FE7" w:rsidRPr="00D84FE7" w14:paraId="5FE2EB8F" w14:textId="77777777" w:rsidTr="00EA1100">
        <w:trPr>
          <w:trHeight w:val="693"/>
        </w:trPr>
        <w:tc>
          <w:tcPr>
            <w:tcW w:w="0" w:type="auto"/>
            <w:hideMark/>
          </w:tcPr>
          <w:p w14:paraId="12543076"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Experiment</w:t>
            </w:r>
          </w:p>
        </w:tc>
        <w:tc>
          <w:tcPr>
            <w:tcW w:w="1262" w:type="dxa"/>
            <w:hideMark/>
          </w:tcPr>
          <w:p w14:paraId="42D3CDFF"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Purpose</w:t>
            </w:r>
          </w:p>
        </w:tc>
        <w:tc>
          <w:tcPr>
            <w:tcW w:w="1320" w:type="dxa"/>
            <w:hideMark/>
          </w:tcPr>
          <w:p w14:paraId="52929324"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Primary measurement</w:t>
            </w:r>
          </w:p>
        </w:tc>
        <w:tc>
          <w:tcPr>
            <w:tcW w:w="1262" w:type="dxa"/>
            <w:hideMark/>
          </w:tcPr>
          <w:p w14:paraId="4D1133F1" w14:textId="77777777" w:rsid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Cases/</w:t>
            </w:r>
          </w:p>
          <w:p w14:paraId="5C23AE4F" w14:textId="29BCDA58"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observations</w:t>
            </w:r>
          </w:p>
        </w:tc>
      </w:tr>
      <w:tr w:rsidR="00D84FE7" w:rsidRPr="00D84FE7" w14:paraId="72483D7E" w14:textId="77777777" w:rsidTr="00EA1100">
        <w:trPr>
          <w:trHeight w:val="936"/>
        </w:trPr>
        <w:tc>
          <w:tcPr>
            <w:tcW w:w="0" w:type="auto"/>
            <w:hideMark/>
          </w:tcPr>
          <w:p w14:paraId="1F73A524"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Scaled evaluation</w:t>
            </w:r>
          </w:p>
        </w:tc>
        <w:tc>
          <w:tcPr>
            <w:tcW w:w="1262" w:type="dxa"/>
            <w:hideMark/>
          </w:tcPr>
          <w:p w14:paraId="329327E7"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Characterize case-level structure</w:t>
            </w:r>
          </w:p>
        </w:tc>
        <w:tc>
          <w:tcPr>
            <w:tcW w:w="1320" w:type="dxa"/>
            <w:hideMark/>
          </w:tcPr>
          <w:p w14:paraId="526E89E1"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Entropy, clusters, error location</w:t>
            </w:r>
          </w:p>
        </w:tc>
        <w:tc>
          <w:tcPr>
            <w:tcW w:w="1262" w:type="dxa"/>
            <w:hideMark/>
          </w:tcPr>
          <w:p w14:paraId="75AC6915"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7 cases</w:t>
            </w:r>
          </w:p>
        </w:tc>
      </w:tr>
      <w:tr w:rsidR="00D84FE7" w:rsidRPr="00D84FE7" w14:paraId="65D64A6B" w14:textId="77777777" w:rsidTr="00EA1100">
        <w:trPr>
          <w:trHeight w:val="693"/>
        </w:trPr>
        <w:tc>
          <w:tcPr>
            <w:tcW w:w="0" w:type="auto"/>
            <w:hideMark/>
          </w:tcPr>
          <w:p w14:paraId="586BF625"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Threshold sensitivity</w:t>
            </w:r>
          </w:p>
        </w:tc>
        <w:tc>
          <w:tcPr>
            <w:tcW w:w="1262" w:type="dxa"/>
            <w:hideMark/>
          </w:tcPr>
          <w:p w14:paraId="40CECE85"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Test clustering robustness</w:t>
            </w:r>
          </w:p>
        </w:tc>
        <w:tc>
          <w:tcPr>
            <w:tcW w:w="1320" w:type="dxa"/>
            <w:hideMark/>
          </w:tcPr>
          <w:p w14:paraId="58D59F6E"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Entropy range</w:t>
            </w:r>
          </w:p>
        </w:tc>
        <w:tc>
          <w:tcPr>
            <w:tcW w:w="1262" w:type="dxa"/>
            <w:hideMark/>
          </w:tcPr>
          <w:p w14:paraId="16521402"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5 thresholds</w:t>
            </w:r>
          </w:p>
        </w:tc>
      </w:tr>
      <w:tr w:rsidR="00D84FE7" w:rsidRPr="00D84FE7" w14:paraId="074EFA89" w14:textId="77777777" w:rsidTr="00EA1100">
        <w:trPr>
          <w:trHeight w:val="693"/>
        </w:trPr>
        <w:tc>
          <w:tcPr>
            <w:tcW w:w="0" w:type="auto"/>
            <w:hideMark/>
          </w:tcPr>
          <w:p w14:paraId="68F1E5D4"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Perturbation</w:t>
            </w:r>
          </w:p>
        </w:tc>
        <w:tc>
          <w:tcPr>
            <w:tcW w:w="1262" w:type="dxa"/>
            <w:hideMark/>
          </w:tcPr>
          <w:p w14:paraId="230AD2A1"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Test graph sensitivity</w:t>
            </w:r>
          </w:p>
        </w:tc>
        <w:tc>
          <w:tcPr>
            <w:tcW w:w="1320" w:type="dxa"/>
            <w:hideMark/>
          </w:tcPr>
          <w:p w14:paraId="713F3171"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Relative entropy change</w:t>
            </w:r>
          </w:p>
        </w:tc>
        <w:tc>
          <w:tcPr>
            <w:tcW w:w="1262" w:type="dxa"/>
            <w:hideMark/>
          </w:tcPr>
          <w:p w14:paraId="2058BCC8"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24 observations</w:t>
            </w:r>
          </w:p>
        </w:tc>
      </w:tr>
      <w:tr w:rsidR="00D84FE7" w:rsidRPr="00D84FE7" w14:paraId="63DE4B3F" w14:textId="77777777" w:rsidTr="00EA1100">
        <w:trPr>
          <w:trHeight w:val="705"/>
        </w:trPr>
        <w:tc>
          <w:tcPr>
            <w:tcW w:w="0" w:type="auto"/>
            <w:hideMark/>
          </w:tcPr>
          <w:p w14:paraId="7BEDFDE2"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Score stability</w:t>
            </w:r>
          </w:p>
        </w:tc>
        <w:tc>
          <w:tcPr>
            <w:tcW w:w="1262" w:type="dxa"/>
            <w:hideMark/>
          </w:tcPr>
          <w:p w14:paraId="7431B611"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Test repeated variability</w:t>
            </w:r>
          </w:p>
        </w:tc>
        <w:tc>
          <w:tcPr>
            <w:tcW w:w="1320" w:type="dxa"/>
            <w:hideMark/>
          </w:tcPr>
          <w:p w14:paraId="3222AAD4"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SD and range</w:t>
            </w:r>
          </w:p>
        </w:tc>
        <w:tc>
          <w:tcPr>
            <w:tcW w:w="1262" w:type="dxa"/>
            <w:hideMark/>
          </w:tcPr>
          <w:p w14:paraId="77005C35"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11 repeats</w:t>
            </w:r>
          </w:p>
        </w:tc>
      </w:tr>
      <w:tr w:rsidR="00D84FE7" w:rsidRPr="00D84FE7" w14:paraId="204EE40F" w14:textId="77777777" w:rsidTr="00EA1100">
        <w:trPr>
          <w:trHeight w:val="693"/>
        </w:trPr>
        <w:tc>
          <w:tcPr>
            <w:tcW w:w="0" w:type="auto"/>
            <w:hideMark/>
          </w:tcPr>
          <w:p w14:paraId="61F9A29A"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Complexity</w:t>
            </w:r>
          </w:p>
        </w:tc>
        <w:tc>
          <w:tcPr>
            <w:tcW w:w="1262" w:type="dxa"/>
            <w:hideMark/>
          </w:tcPr>
          <w:p w14:paraId="40DFCB4E"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Examine complexity dependence</w:t>
            </w:r>
          </w:p>
        </w:tc>
        <w:tc>
          <w:tcPr>
            <w:tcW w:w="1320" w:type="dxa"/>
            <w:hideMark/>
          </w:tcPr>
          <w:p w14:paraId="6487559C"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Entropy range</w:t>
            </w:r>
          </w:p>
        </w:tc>
        <w:tc>
          <w:tcPr>
            <w:tcW w:w="1262" w:type="dxa"/>
            <w:hideMark/>
          </w:tcPr>
          <w:p w14:paraId="36EC3F8D"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5 conditions</w:t>
            </w:r>
          </w:p>
        </w:tc>
      </w:tr>
      <w:tr w:rsidR="00D84FE7" w:rsidRPr="00D84FE7" w14:paraId="50483255" w14:textId="77777777" w:rsidTr="00EA1100">
        <w:trPr>
          <w:trHeight w:val="924"/>
        </w:trPr>
        <w:tc>
          <w:tcPr>
            <w:tcW w:w="0" w:type="auto"/>
            <w:hideMark/>
          </w:tcPr>
          <w:p w14:paraId="0D8FD324"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Failure mechanisms</w:t>
            </w:r>
          </w:p>
        </w:tc>
        <w:tc>
          <w:tcPr>
            <w:tcW w:w="1262" w:type="dxa"/>
            <w:hideMark/>
          </w:tcPr>
          <w:p w14:paraId="61A3CEB0"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Examine incorrect-response structure</w:t>
            </w:r>
          </w:p>
        </w:tc>
        <w:tc>
          <w:tcPr>
            <w:tcW w:w="1320" w:type="dxa"/>
            <w:hideMark/>
          </w:tcPr>
          <w:p w14:paraId="643D2222"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Cluster/error statistics</w:t>
            </w:r>
          </w:p>
        </w:tc>
        <w:tc>
          <w:tcPr>
            <w:tcW w:w="1262" w:type="dxa"/>
            <w:hideMark/>
          </w:tcPr>
          <w:p w14:paraId="18535748" w14:textId="77777777" w:rsidR="00EA42D9" w:rsidRPr="00D84FE7" w:rsidRDefault="00EA42D9" w:rsidP="00EA1100">
            <w:pPr>
              <w:rPr>
                <w:rFonts w:ascii="Times New Roman" w:hAnsi="Times New Roman" w:cs="Times New Roman"/>
                <w:kern w:val="0"/>
                <w:sz w:val="20"/>
                <w:szCs w:val="20"/>
                <w:lang w:eastAsia="en-IN"/>
              </w:rPr>
            </w:pPr>
            <w:r w:rsidRPr="00D84FE7">
              <w:rPr>
                <w:rFonts w:ascii="Times New Roman" w:hAnsi="Times New Roman" w:cs="Times New Roman"/>
                <w:kern w:val="0"/>
                <w:sz w:val="20"/>
                <w:szCs w:val="20"/>
                <w:lang w:eastAsia="en-IN"/>
              </w:rPr>
              <w:t>3 cases</w:t>
            </w:r>
          </w:p>
        </w:tc>
      </w:tr>
    </w:tbl>
    <w:p w14:paraId="7CBFC429"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This design intentionally distinguishes robustness to an intermediate parameter from robustness to graph changes and from variability across repeated evaluation.</w:t>
      </w:r>
    </w:p>
    <w:p w14:paraId="63D55E91"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 Results</w:t>
      </w:r>
    </w:p>
    <w:p w14:paraId="0B99BC51"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5.0 Primary quantitative results</w:t>
      </w:r>
    </w:p>
    <w:tbl>
      <w:tblPr>
        <w:tblStyle w:val="TableGrid"/>
        <w:tblW w:w="5013" w:type="dxa"/>
        <w:tblLook w:val="04A0" w:firstRow="1" w:lastRow="0" w:firstColumn="1" w:lastColumn="0" w:noHBand="0" w:noVBand="1"/>
      </w:tblPr>
      <w:tblGrid>
        <w:gridCol w:w="1356"/>
        <w:gridCol w:w="1730"/>
        <w:gridCol w:w="1927"/>
      </w:tblGrid>
      <w:tr w:rsidR="00EA1100" w:rsidRPr="00EA1100" w14:paraId="0474E153" w14:textId="77777777" w:rsidTr="00EA1100">
        <w:trPr>
          <w:trHeight w:val="32"/>
        </w:trPr>
        <w:tc>
          <w:tcPr>
            <w:tcW w:w="0" w:type="auto"/>
            <w:hideMark/>
          </w:tcPr>
          <w:p w14:paraId="23DA2886"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Dimension</w:t>
            </w:r>
          </w:p>
        </w:tc>
        <w:tc>
          <w:tcPr>
            <w:tcW w:w="0" w:type="auto"/>
            <w:hideMark/>
          </w:tcPr>
          <w:p w14:paraId="03515FE5"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Tested scope</w:t>
            </w:r>
          </w:p>
        </w:tc>
        <w:tc>
          <w:tcPr>
            <w:tcW w:w="0" w:type="auto"/>
            <w:hideMark/>
          </w:tcPr>
          <w:p w14:paraId="63D8850B"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Key result</w:t>
            </w:r>
          </w:p>
        </w:tc>
      </w:tr>
      <w:tr w:rsidR="00EA1100" w:rsidRPr="00EA1100" w14:paraId="00362AD7" w14:textId="77777777" w:rsidTr="00EA1100">
        <w:trPr>
          <w:trHeight w:val="64"/>
        </w:trPr>
        <w:tc>
          <w:tcPr>
            <w:tcW w:w="0" w:type="auto"/>
            <w:hideMark/>
          </w:tcPr>
          <w:p w14:paraId="12F4EDF8"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Threshold sensitivity</w:t>
            </w:r>
          </w:p>
        </w:tc>
        <w:tc>
          <w:tcPr>
            <w:tcW w:w="0" w:type="auto"/>
            <w:hideMark/>
          </w:tcPr>
          <w:p w14:paraId="5959FB24"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5 thresholds</w:t>
            </w:r>
          </w:p>
        </w:tc>
        <w:tc>
          <w:tcPr>
            <w:tcW w:w="0" w:type="auto"/>
            <w:hideMark/>
          </w:tcPr>
          <w:p w14:paraId="6C0468D2"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Entropy range = 0.000198</w:t>
            </w:r>
          </w:p>
        </w:tc>
      </w:tr>
      <w:tr w:rsidR="00EA1100" w:rsidRPr="00EA1100" w14:paraId="4C7F0D80" w14:textId="77777777" w:rsidTr="00EA1100">
        <w:trPr>
          <w:trHeight w:val="96"/>
        </w:trPr>
        <w:tc>
          <w:tcPr>
            <w:tcW w:w="0" w:type="auto"/>
            <w:hideMark/>
          </w:tcPr>
          <w:p w14:paraId="391638F9"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Edge-weight noise</w:t>
            </w:r>
          </w:p>
        </w:tc>
        <w:tc>
          <w:tcPr>
            <w:tcW w:w="0" w:type="auto"/>
            <w:hideMark/>
          </w:tcPr>
          <w:p w14:paraId="24946B26"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12 observations within perturbation study</w:t>
            </w:r>
          </w:p>
        </w:tc>
        <w:tc>
          <w:tcPr>
            <w:tcW w:w="0" w:type="auto"/>
            <w:hideMark/>
          </w:tcPr>
          <w:p w14:paraId="6CDF45A0"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Max relative entropy change = 0.320876</w:t>
            </w:r>
          </w:p>
        </w:tc>
      </w:tr>
      <w:tr w:rsidR="00EA1100" w:rsidRPr="00EA1100" w14:paraId="6653BFFA" w14:textId="77777777" w:rsidTr="00EA1100">
        <w:trPr>
          <w:trHeight w:val="97"/>
        </w:trPr>
        <w:tc>
          <w:tcPr>
            <w:tcW w:w="0" w:type="auto"/>
            <w:hideMark/>
          </w:tcPr>
          <w:p w14:paraId="4135C370"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Edge dropout</w:t>
            </w:r>
          </w:p>
        </w:tc>
        <w:tc>
          <w:tcPr>
            <w:tcW w:w="0" w:type="auto"/>
            <w:hideMark/>
          </w:tcPr>
          <w:p w14:paraId="469774A8"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12 observations within perturbation study</w:t>
            </w:r>
          </w:p>
        </w:tc>
        <w:tc>
          <w:tcPr>
            <w:tcW w:w="0" w:type="auto"/>
            <w:hideMark/>
          </w:tcPr>
          <w:p w14:paraId="3B632A1F"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Max relative entropy change = 0.144263</w:t>
            </w:r>
          </w:p>
        </w:tc>
      </w:tr>
      <w:tr w:rsidR="00EA1100" w:rsidRPr="00EA1100" w14:paraId="1A39CC64" w14:textId="77777777" w:rsidTr="00EA1100">
        <w:trPr>
          <w:trHeight w:val="64"/>
        </w:trPr>
        <w:tc>
          <w:tcPr>
            <w:tcW w:w="0" w:type="auto"/>
            <w:hideMark/>
          </w:tcPr>
          <w:p w14:paraId="35F8B60F"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Score stability</w:t>
            </w:r>
          </w:p>
        </w:tc>
        <w:tc>
          <w:tcPr>
            <w:tcW w:w="0" w:type="auto"/>
            <w:hideMark/>
          </w:tcPr>
          <w:p w14:paraId="216D27EE"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11 repeats</w:t>
            </w:r>
          </w:p>
        </w:tc>
        <w:tc>
          <w:tcPr>
            <w:tcW w:w="0" w:type="auto"/>
            <w:hideMark/>
          </w:tcPr>
          <w:p w14:paraId="73A19E10"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SD = 0.849235; range = 2.260093</w:t>
            </w:r>
          </w:p>
        </w:tc>
      </w:tr>
      <w:tr w:rsidR="00EA1100" w:rsidRPr="00EA1100" w14:paraId="4E3DAECF" w14:textId="77777777" w:rsidTr="00EA1100">
        <w:trPr>
          <w:trHeight w:val="64"/>
        </w:trPr>
        <w:tc>
          <w:tcPr>
            <w:tcW w:w="0" w:type="auto"/>
            <w:hideMark/>
          </w:tcPr>
          <w:p w14:paraId="3662E67B"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Complexity</w:t>
            </w:r>
          </w:p>
        </w:tc>
        <w:tc>
          <w:tcPr>
            <w:tcW w:w="0" w:type="auto"/>
            <w:hideMark/>
          </w:tcPr>
          <w:p w14:paraId="0B30C179"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5 conditions</w:t>
            </w:r>
          </w:p>
        </w:tc>
        <w:tc>
          <w:tcPr>
            <w:tcW w:w="0" w:type="auto"/>
            <w:hideMark/>
          </w:tcPr>
          <w:p w14:paraId="687AE8B1"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Entropy range = 0.422950</w:t>
            </w:r>
          </w:p>
        </w:tc>
      </w:tr>
      <w:tr w:rsidR="00EA1100" w:rsidRPr="00EA1100" w14:paraId="13BBEFEF" w14:textId="77777777" w:rsidTr="00EA1100">
        <w:trPr>
          <w:trHeight w:val="162"/>
        </w:trPr>
        <w:tc>
          <w:tcPr>
            <w:tcW w:w="0" w:type="auto"/>
            <w:hideMark/>
          </w:tcPr>
          <w:p w14:paraId="2F68133E"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Scaled evaluation</w:t>
            </w:r>
          </w:p>
        </w:tc>
        <w:tc>
          <w:tcPr>
            <w:tcW w:w="0" w:type="auto"/>
            <w:hideMark/>
          </w:tcPr>
          <w:p w14:paraId="46B6F569"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7 cases / 42 responses</w:t>
            </w:r>
          </w:p>
        </w:tc>
        <w:tc>
          <w:tcPr>
            <w:tcW w:w="0" w:type="auto"/>
            <w:hideMark/>
          </w:tcPr>
          <w:p w14:paraId="73F18659"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Mean incorrect fraction = 0.166667; 5 confident-failure cases</w:t>
            </w:r>
          </w:p>
        </w:tc>
      </w:tr>
      <w:tr w:rsidR="00EA1100" w:rsidRPr="00EA1100" w14:paraId="717FC712" w14:textId="77777777" w:rsidTr="00EA1100">
        <w:trPr>
          <w:trHeight w:val="128"/>
        </w:trPr>
        <w:tc>
          <w:tcPr>
            <w:tcW w:w="0" w:type="auto"/>
            <w:hideMark/>
          </w:tcPr>
          <w:p w14:paraId="2BF05102" w14:textId="77777777" w:rsidR="00EA42D9" w:rsidRPr="00EA1100" w:rsidRDefault="00EA42D9" w:rsidP="00044F06">
            <w:pPr>
              <w:jc w:val="both"/>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Failure mechanisms</w:t>
            </w:r>
          </w:p>
        </w:tc>
        <w:tc>
          <w:tcPr>
            <w:tcW w:w="0" w:type="auto"/>
            <w:hideMark/>
          </w:tcPr>
          <w:p w14:paraId="3D608182" w14:textId="77777777" w:rsidR="00EA42D9" w:rsidRPr="00EA1100" w:rsidRDefault="00EA42D9" w:rsidP="00044F06">
            <w:pPr>
              <w:jc w:val="both"/>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3 cases</w:t>
            </w:r>
          </w:p>
        </w:tc>
        <w:tc>
          <w:tcPr>
            <w:tcW w:w="0" w:type="auto"/>
            <w:hideMark/>
          </w:tcPr>
          <w:p w14:paraId="3A553284" w14:textId="77777777" w:rsidR="00EA42D9" w:rsidRPr="00EA1100" w:rsidRDefault="00EA42D9" w:rsidP="00EA1100">
            <w:pPr>
              <w:rPr>
                <w:rFonts w:ascii="Times New Roman" w:hAnsi="Times New Roman" w:cs="Times New Roman"/>
                <w:kern w:val="0"/>
                <w:sz w:val="20"/>
                <w:szCs w:val="20"/>
                <w:lang w:eastAsia="en-IN"/>
              </w:rPr>
            </w:pPr>
            <w:r w:rsidRPr="00EA1100">
              <w:rPr>
                <w:rFonts w:ascii="Times New Roman" w:hAnsi="Times New Roman" w:cs="Times New Roman"/>
                <w:kern w:val="0"/>
                <w:sz w:val="20"/>
                <w:szCs w:val="20"/>
                <w:lang w:eastAsia="en-IN"/>
              </w:rPr>
              <w:t>2 confident-failure cases; mean cluster imbalance = 2.666667</w:t>
            </w:r>
          </w:p>
        </w:tc>
      </w:tr>
    </w:tbl>
    <w:p w14:paraId="49968892" w14:textId="77777777" w:rsidR="00EA1100" w:rsidRDefault="00EA1100" w:rsidP="00044F06">
      <w:pPr>
        <w:jc w:val="both"/>
        <w:rPr>
          <w:rFonts w:ascii="Times New Roman" w:hAnsi="Times New Roman" w:cs="Times New Roman"/>
          <w:kern w:val="0"/>
          <w:sz w:val="24"/>
          <w:szCs w:val="24"/>
          <w:lang w:eastAsia="en-IN"/>
        </w:rPr>
      </w:pPr>
    </w:p>
    <w:p w14:paraId="5BFDC033" w14:textId="77777777" w:rsidR="00EA1100" w:rsidRDefault="00EA1100" w:rsidP="00044F06">
      <w:pPr>
        <w:jc w:val="both"/>
        <w:rPr>
          <w:rFonts w:ascii="Times New Roman" w:hAnsi="Times New Roman" w:cs="Times New Roman"/>
          <w:kern w:val="0"/>
          <w:sz w:val="24"/>
          <w:szCs w:val="24"/>
          <w:lang w:eastAsia="en-IN"/>
        </w:rPr>
      </w:pPr>
    </w:p>
    <w:p w14:paraId="4E04E491" w14:textId="207FA586"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5.1 Threshold robustness</w:t>
      </w:r>
    </w:p>
    <w:p w14:paraId="63962E07" w14:textId="77777777" w:rsidR="00726385"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Across the five tested clustering thresholds, structural entropy varied by only 0.000198. </w:t>
      </w:r>
    </w:p>
    <w:p w14:paraId="69B18CFA" w14:textId="77777777" w:rsidR="001452E5" w:rsidRDefault="001452E5" w:rsidP="001452E5">
      <w:pPr>
        <w:keepNext/>
        <w:jc w:val="both"/>
      </w:pPr>
      <w:r>
        <w:rPr>
          <w:noProof/>
        </w:rPr>
        <w:drawing>
          <wp:inline distT="0" distB="0" distL="0" distR="0" wp14:anchorId="3DB0E250" wp14:editId="5CF5D09C">
            <wp:extent cx="3098165" cy="196596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98165" cy="1965960"/>
                    </a:xfrm>
                    <a:prstGeom prst="rect">
                      <a:avLst/>
                    </a:prstGeom>
                    <a:noFill/>
                    <a:ln>
                      <a:noFill/>
                    </a:ln>
                  </pic:spPr>
                </pic:pic>
              </a:graphicData>
            </a:graphic>
          </wp:inline>
        </w:drawing>
      </w:r>
    </w:p>
    <w:p w14:paraId="0F219F8B" w14:textId="0D9B9C56" w:rsidR="001452E5" w:rsidRDefault="001452E5" w:rsidP="001452E5">
      <w:pPr>
        <w:pStyle w:val="Caption"/>
        <w:jc w:val="both"/>
        <w:rPr>
          <w:rFonts w:ascii="Times New Roman" w:hAnsi="Times New Roman" w:cs="Times New Roman"/>
          <w:kern w:val="0"/>
          <w:sz w:val="24"/>
          <w:szCs w:val="24"/>
          <w:lang w:eastAsia="en-IN"/>
        </w:rPr>
      </w:pPr>
      <w:r>
        <w:t xml:space="preserve">Figure </w:t>
      </w:r>
      <w:fldSimple w:instr=" SEQ Figure \* ARABIC ">
        <w:r w:rsidR="00E00276">
          <w:rPr>
            <w:noProof/>
          </w:rPr>
          <w:t>2</w:t>
        </w:r>
      </w:fldSimple>
      <w:r>
        <w:t xml:space="preserve">: </w:t>
      </w:r>
      <w:r w:rsidRPr="00500380">
        <w:t>Structural-entropy sensitivity to clustering threshold.</w:t>
      </w:r>
    </w:p>
    <w:p w14:paraId="2CC15F3A" w14:textId="1370A693"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Figure 2 shows the corresponding near-flat entropy trajectory. The key observation is that the final uncertainty quantity changed very little even though cluster assignments can change within the tested threshold range. Thus, for this evaluation regime, the structural entropy score was comparatively insensitive to the threshold used to organize semantic responses. This result should not be generalized beyond the tested thresholds or interpreted as evidence that clustering itself is invariant.</w:t>
      </w:r>
    </w:p>
    <w:p w14:paraId="116EF1AA"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5.2 Response to semantic-graph perturbations</w:t>
      </w:r>
    </w:p>
    <w:p w14:paraId="31E46A85" w14:textId="77777777" w:rsidR="00EA1100" w:rsidRDefault="009005F3" w:rsidP="00EA1100">
      <w:pPr>
        <w:jc w:val="both"/>
        <w:rPr>
          <w:rFonts w:ascii="Times New Roman" w:hAnsi="Times New Roman" w:cs="Times New Roman"/>
          <w:sz w:val="24"/>
          <w:szCs w:val="24"/>
        </w:rPr>
      </w:pPr>
      <w:r w:rsidRPr="009005F3">
        <w:rPr>
          <w:rFonts w:ascii="Times New Roman" w:hAnsi="Times New Roman" w:cs="Times New Roman"/>
          <w:sz w:val="24"/>
          <w:szCs w:val="24"/>
        </w:rPr>
        <w:t xml:space="preserve">The perturbation experiment revealed a substantially different response profile. At the strongest tested perturbation condition, edge-weight noise produced a maximum relative entropy change of </w:t>
      </w:r>
      <w:r w:rsidRPr="009005F3">
        <w:rPr>
          <w:rStyle w:val="Strong"/>
          <w:rFonts w:ascii="Times New Roman" w:hAnsi="Times New Roman" w:cs="Times New Roman"/>
          <w:b w:val="0"/>
          <w:bCs w:val="0"/>
          <w:sz w:val="24"/>
          <w:szCs w:val="24"/>
        </w:rPr>
        <w:t>0.320876</w:t>
      </w:r>
      <w:r w:rsidRPr="009005F3">
        <w:rPr>
          <w:rFonts w:ascii="Times New Roman" w:hAnsi="Times New Roman" w:cs="Times New Roman"/>
          <w:sz w:val="24"/>
          <w:szCs w:val="24"/>
        </w:rPr>
        <w:t xml:space="preserve">, compared with </w:t>
      </w:r>
      <w:r w:rsidRPr="009005F3">
        <w:rPr>
          <w:rStyle w:val="Strong"/>
          <w:rFonts w:ascii="Times New Roman" w:hAnsi="Times New Roman" w:cs="Times New Roman"/>
          <w:b w:val="0"/>
          <w:bCs w:val="0"/>
          <w:sz w:val="24"/>
          <w:szCs w:val="24"/>
        </w:rPr>
        <w:t>0.144263</w:t>
      </w:r>
      <w:r w:rsidRPr="009005F3">
        <w:rPr>
          <w:rFonts w:ascii="Times New Roman" w:hAnsi="Times New Roman" w:cs="Times New Roman"/>
          <w:sz w:val="24"/>
          <w:szCs w:val="24"/>
        </w:rPr>
        <w:t xml:space="preserve"> under edge dropout. The corresponding relative graph-change measures at these maximum tested conditions were </w:t>
      </w:r>
      <w:r w:rsidRPr="009005F3">
        <w:rPr>
          <w:rStyle w:val="Strong"/>
          <w:rFonts w:ascii="Times New Roman" w:hAnsi="Times New Roman" w:cs="Times New Roman"/>
          <w:b w:val="0"/>
          <w:bCs w:val="0"/>
          <w:sz w:val="24"/>
          <w:szCs w:val="24"/>
        </w:rPr>
        <w:t>0.244347</w:t>
      </w:r>
      <w:r w:rsidRPr="009005F3">
        <w:rPr>
          <w:rFonts w:ascii="Times New Roman" w:hAnsi="Times New Roman" w:cs="Times New Roman"/>
          <w:sz w:val="24"/>
          <w:szCs w:val="24"/>
        </w:rPr>
        <w:t xml:space="preserve"> for noise and </w:t>
      </w:r>
      <w:r w:rsidRPr="009005F3">
        <w:rPr>
          <w:rStyle w:val="Strong"/>
          <w:rFonts w:ascii="Times New Roman" w:hAnsi="Times New Roman" w:cs="Times New Roman"/>
          <w:b w:val="0"/>
          <w:bCs w:val="0"/>
          <w:sz w:val="24"/>
          <w:szCs w:val="24"/>
        </w:rPr>
        <w:t>0.000406</w:t>
      </w:r>
      <w:r w:rsidRPr="009005F3">
        <w:rPr>
          <w:rFonts w:ascii="Times New Roman" w:hAnsi="Times New Roman" w:cs="Times New Roman"/>
          <w:sz w:val="24"/>
          <w:szCs w:val="24"/>
        </w:rPr>
        <w:t xml:space="preserve"> for dropout.</w:t>
      </w:r>
    </w:p>
    <w:p w14:paraId="499027E2" w14:textId="209FEA18" w:rsidR="009005F3" w:rsidRPr="00EA1100" w:rsidRDefault="009005F3" w:rsidP="00EA1100">
      <w:pPr>
        <w:jc w:val="both"/>
        <w:rPr>
          <w:rFonts w:ascii="Times New Roman" w:hAnsi="Times New Roman" w:cs="Times New Roman"/>
          <w:sz w:val="24"/>
          <w:szCs w:val="24"/>
        </w:rPr>
      </w:pPr>
      <w:r>
        <w:rPr>
          <w:noProof/>
        </w:rPr>
        <w:lastRenderedPageBreak/>
        <w:drawing>
          <wp:inline distT="0" distB="0" distL="0" distR="0" wp14:anchorId="600187E4" wp14:editId="6203255C">
            <wp:extent cx="3021965" cy="29718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29914" cy="2979617"/>
                    </a:xfrm>
                    <a:prstGeom prst="rect">
                      <a:avLst/>
                    </a:prstGeom>
                    <a:noFill/>
                    <a:ln>
                      <a:noFill/>
                    </a:ln>
                  </pic:spPr>
                </pic:pic>
              </a:graphicData>
            </a:graphic>
          </wp:inline>
        </w:drawing>
      </w:r>
    </w:p>
    <w:p w14:paraId="21239EC5" w14:textId="7F164944" w:rsidR="001452E5" w:rsidRPr="001452E5" w:rsidRDefault="009005F3" w:rsidP="009005F3">
      <w:pPr>
        <w:pStyle w:val="Caption"/>
        <w:jc w:val="both"/>
        <w:rPr>
          <w:rFonts w:ascii="Times New Roman" w:hAnsi="Times New Roman" w:cs="Times New Roman"/>
          <w:kern w:val="0"/>
          <w:sz w:val="24"/>
          <w:szCs w:val="24"/>
          <w:lang w:eastAsia="en-IN"/>
        </w:rPr>
      </w:pPr>
      <w:r>
        <w:t xml:space="preserve">Figure </w:t>
      </w:r>
      <w:fldSimple w:instr=" SEQ Figure \* ARABIC ">
        <w:r w:rsidR="00E00276">
          <w:rPr>
            <w:noProof/>
          </w:rPr>
          <w:t>3</w:t>
        </w:r>
      </w:fldSimple>
      <w:r>
        <w:t xml:space="preserve">: </w:t>
      </w:r>
      <w:r w:rsidRPr="00284C87">
        <w:t>Semantic-graph perturbation response.</w:t>
      </w:r>
    </w:p>
    <w:p w14:paraId="6839C612" w14:textId="1BBEC778"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Figure 3 makes the asymmetry explicit: the entropy signal responded more strongly to perturbation of edge weights than to the tested dropout operation. The maximum relative entropy response under noise was approximately 2.23 times that under dropout. These values indicate measurable sensitivity to semantic edge-weight structure, while also showing that not all graph perturbations have comparable effects.</w:t>
      </w:r>
    </w:p>
    <w:p w14:paraId="0B708D0A"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5.3 Repeated-score stability</w:t>
      </w:r>
    </w:p>
    <w:p w14:paraId="3D69206B" w14:textId="77777777" w:rsidR="009005F3"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The repeated-evaluation experiment produced 11 observations, with a structural-entropy standard deviation of 0.849235 and an observed range of 2.260093.</w:t>
      </w:r>
    </w:p>
    <w:p w14:paraId="2C789238" w14:textId="77777777" w:rsidR="009005F3" w:rsidRDefault="009005F3" w:rsidP="009005F3">
      <w:pPr>
        <w:keepNext/>
        <w:jc w:val="both"/>
      </w:pPr>
      <w:r>
        <w:rPr>
          <w:noProof/>
        </w:rPr>
        <w:drawing>
          <wp:inline distT="0" distB="0" distL="0" distR="0" wp14:anchorId="02775C21" wp14:editId="5326CF9C">
            <wp:extent cx="3098165" cy="2051050"/>
            <wp:effectExtent l="0" t="0" r="698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8165" cy="2051050"/>
                    </a:xfrm>
                    <a:prstGeom prst="rect">
                      <a:avLst/>
                    </a:prstGeom>
                    <a:noFill/>
                    <a:ln>
                      <a:noFill/>
                    </a:ln>
                  </pic:spPr>
                </pic:pic>
              </a:graphicData>
            </a:graphic>
          </wp:inline>
        </w:drawing>
      </w:r>
    </w:p>
    <w:p w14:paraId="3CDCEEA4" w14:textId="78A94C16" w:rsidR="009005F3" w:rsidRDefault="009005F3" w:rsidP="009005F3">
      <w:pPr>
        <w:pStyle w:val="Caption"/>
        <w:jc w:val="both"/>
        <w:rPr>
          <w:rFonts w:ascii="Times New Roman" w:hAnsi="Times New Roman" w:cs="Times New Roman"/>
          <w:kern w:val="0"/>
          <w:sz w:val="24"/>
          <w:szCs w:val="24"/>
          <w:lang w:eastAsia="en-IN"/>
        </w:rPr>
      </w:pPr>
      <w:r>
        <w:t xml:space="preserve">Figure </w:t>
      </w:r>
      <w:fldSimple w:instr=" SEQ Figure \* ARABIC ">
        <w:r w:rsidR="00E00276">
          <w:rPr>
            <w:noProof/>
          </w:rPr>
          <w:t>4</w:t>
        </w:r>
      </w:fldSimple>
      <w:r>
        <w:t>:</w:t>
      </w:r>
      <w:r w:rsidRPr="00A62601">
        <w:t>Repeated-score stability.</w:t>
      </w:r>
    </w:p>
    <w:p w14:paraId="77DF6CB4" w14:textId="12F76340"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Figure 4 plots the individual scores rather than only an aggregate statistic, making the dispersion directly visible. This result qualifies the threshold-sensitivity finding: the score can be comparatively stable to the tested clustering threshold while </w:t>
      </w:r>
      <w:r w:rsidRPr="00EA42D9">
        <w:rPr>
          <w:rFonts w:ascii="Times New Roman" w:hAnsi="Times New Roman" w:cs="Times New Roman"/>
          <w:kern w:val="0"/>
          <w:sz w:val="24"/>
          <w:szCs w:val="24"/>
          <w:lang w:eastAsia="en-IN"/>
        </w:rPr>
        <w:t>exhibiting much larger variation across repeated evaluations. Because the two experiments manipulate different sources of variation and are not statistically matched, the magnitude difference should be interpreted as a descriptive contrast rather than a causal decomposition of variance.</w:t>
      </w:r>
    </w:p>
    <w:p w14:paraId="515A3ECF"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5.4 Complexity and scaled case structure</w:t>
      </w:r>
    </w:p>
    <w:p w14:paraId="22848F03" w14:textId="77777777" w:rsidR="00E00276" w:rsidRPr="00E00276" w:rsidRDefault="00E00276" w:rsidP="00EA110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00276">
        <w:rPr>
          <w:rFonts w:ascii="Times New Roman" w:eastAsia="Times New Roman" w:hAnsi="Times New Roman" w:cs="Times New Roman"/>
          <w:kern w:val="0"/>
          <w:sz w:val="24"/>
          <w:szCs w:val="24"/>
          <w:lang w:eastAsia="en-IN"/>
          <w14:ligatures w14:val="none"/>
        </w:rPr>
        <w:t>Across five tested complexity conditions, structural entropy varied over a range of 0.422950. This establishes variation across the tested conditions but does not establish that complexity causes higher or lower uncertainty; the sample is too small for such an inference.</w:t>
      </w:r>
    </w:p>
    <w:p w14:paraId="48601E7E" w14:textId="78BEC3FF" w:rsidR="009005F3" w:rsidRPr="00E00276" w:rsidRDefault="00E00276" w:rsidP="00EA1100">
      <w:pPr>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E00276">
        <w:rPr>
          <w:rFonts w:ascii="Times New Roman" w:eastAsia="Times New Roman" w:hAnsi="Times New Roman" w:cs="Times New Roman"/>
          <w:kern w:val="0"/>
          <w:sz w:val="24"/>
          <w:szCs w:val="24"/>
          <w:lang w:eastAsia="en-IN"/>
          <w14:ligatures w14:val="none"/>
        </w:rPr>
        <w:t>The seven-case scaled evaluation provides more interpretable case-level structural evidence. All five factual cases produced six responses partitioned into [5,1] clusters. In every factual case, the single incorrect response was the singleton cluster, yielding an incorrect-response fraction of 0.166667 and a confident-failure flag of True. The two reasoning cases instead produced [3,2,1] and [4,1,1] cluster structures, respectively. Each contained one incorrect response, but neither was classified as a confident failure.</w:t>
      </w:r>
    </w:p>
    <w:p w14:paraId="6E69DBBD" w14:textId="77777777" w:rsidR="00E00276" w:rsidRDefault="00E00276" w:rsidP="00E00276">
      <w:pPr>
        <w:keepNext/>
        <w:spacing w:before="100" w:beforeAutospacing="1" w:after="100" w:afterAutospacing="1" w:line="240" w:lineRule="auto"/>
      </w:pPr>
      <w:r w:rsidRPr="00E00276">
        <w:rPr>
          <w:rFonts w:ascii="Times New Roman" w:eastAsia="Times New Roman" w:hAnsi="Times New Roman" w:cs="Times New Roman"/>
          <w:noProof/>
          <w:kern w:val="0"/>
          <w:sz w:val="24"/>
          <w:szCs w:val="24"/>
          <w:lang w:eastAsia="en-IN"/>
          <w14:ligatures w14:val="none"/>
        </w:rPr>
        <w:drawing>
          <wp:inline distT="0" distB="0" distL="0" distR="0" wp14:anchorId="5EB35567" wp14:editId="1F44BAB4">
            <wp:extent cx="3098165" cy="213423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8165" cy="2134235"/>
                    </a:xfrm>
                    <a:prstGeom prst="rect">
                      <a:avLst/>
                    </a:prstGeom>
                    <a:noFill/>
                    <a:ln>
                      <a:noFill/>
                    </a:ln>
                  </pic:spPr>
                </pic:pic>
              </a:graphicData>
            </a:graphic>
          </wp:inline>
        </w:drawing>
      </w:r>
    </w:p>
    <w:p w14:paraId="20E03400" w14:textId="7DBB85DF" w:rsidR="00E00276" w:rsidRPr="00E00276" w:rsidRDefault="00E00276" w:rsidP="00E00276">
      <w:pPr>
        <w:pStyle w:val="Caption"/>
        <w:rPr>
          <w:rFonts w:ascii="Times New Roman" w:eastAsia="Times New Roman" w:hAnsi="Times New Roman" w:cs="Times New Roman"/>
          <w:kern w:val="0"/>
          <w:sz w:val="24"/>
          <w:szCs w:val="24"/>
          <w:lang w:eastAsia="en-IN"/>
          <w14:ligatures w14:val="none"/>
        </w:rPr>
      </w:pPr>
      <w:r>
        <w:t xml:space="preserve">Figure </w:t>
      </w:r>
      <w:fldSimple w:instr=" SEQ Figure \* ARABIC ">
        <w:r>
          <w:rPr>
            <w:noProof/>
          </w:rPr>
          <w:t>5</w:t>
        </w:r>
      </w:fldSimple>
      <w:r>
        <w:t xml:space="preserve">: </w:t>
      </w:r>
      <w:r w:rsidRPr="001D4CE6">
        <w:t>Case-level cluster and error structure across the scaled evaluation.</w:t>
      </w:r>
    </w:p>
    <w:p w14:paraId="1DDC530C" w14:textId="77777777" w:rsidR="00E00276" w:rsidRPr="00E00276" w:rsidRDefault="00E00276" w:rsidP="00E00276">
      <w:pPr>
        <w:jc w:val="both"/>
        <w:rPr>
          <w:rFonts w:ascii="Times New Roman" w:hAnsi="Times New Roman" w:cs="Times New Roman"/>
          <w:sz w:val="24"/>
          <w:szCs w:val="24"/>
        </w:rPr>
      </w:pPr>
      <w:r w:rsidRPr="00E00276">
        <w:rPr>
          <w:rFonts w:ascii="Times New Roman" w:hAnsi="Times New Roman" w:cs="Times New Roman"/>
          <w:sz w:val="24"/>
          <w:szCs w:val="24"/>
        </w:rPr>
        <w:t xml:space="preserve">Figure 5 makes this contrast explicit. The five factual cases consistently exhibit a dominant five-response semantic cluster alongside a single-response singleton cluster, with the incorrect response occupying that singleton in every case. The reasoning cases are more fragmented, with responses distributed across three clusters rather than the two-cluster [5,1] structure observed for the factual cases. The pattern is consistent across the tested cases, but the seven-case evaluation remains </w:t>
      </w:r>
      <w:r w:rsidRPr="00E00276">
        <w:rPr>
          <w:rFonts w:ascii="Times New Roman" w:hAnsi="Times New Roman" w:cs="Times New Roman"/>
          <w:sz w:val="24"/>
          <w:szCs w:val="24"/>
        </w:rPr>
        <w:lastRenderedPageBreak/>
        <w:t>too small to support broader claims about generalization across question types.</w:t>
      </w:r>
    </w:p>
    <w:p w14:paraId="254E644B" w14:textId="77777777" w:rsidR="00EA42D9" w:rsidRPr="002C6A72" w:rsidRDefault="00EA42D9" w:rsidP="00E0027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5.5 Cross-experiment synthesis</w:t>
      </w:r>
    </w:p>
    <w:p w14:paraId="22F65B28" w14:textId="77777777" w:rsidR="00E00276" w:rsidRPr="00E00276" w:rsidRDefault="00E00276" w:rsidP="00E00276">
      <w:pPr>
        <w:jc w:val="both"/>
        <w:rPr>
          <w:rFonts w:ascii="Times New Roman" w:hAnsi="Times New Roman" w:cs="Times New Roman"/>
          <w:kern w:val="0"/>
          <w:sz w:val="24"/>
          <w:szCs w:val="24"/>
          <w:lang w:eastAsia="en-IN"/>
        </w:rPr>
      </w:pPr>
      <w:r w:rsidRPr="00E00276">
        <w:rPr>
          <w:rFonts w:ascii="Times New Roman" w:hAnsi="Times New Roman" w:cs="Times New Roman"/>
          <w:sz w:val="24"/>
          <w:szCs w:val="24"/>
        </w:rPr>
        <w:t xml:space="preserve">The combined evidence indicates a </w:t>
      </w:r>
      <w:r w:rsidRPr="00E00276">
        <w:rPr>
          <w:rStyle w:val="Strong"/>
          <w:rFonts w:ascii="Times New Roman" w:hAnsi="Times New Roman" w:cs="Times New Roman"/>
          <w:b w:val="0"/>
          <w:bCs w:val="0"/>
          <w:sz w:val="24"/>
          <w:szCs w:val="24"/>
        </w:rPr>
        <w:t>selective robustness profile rather than uniform stability</w:t>
      </w:r>
      <w:r w:rsidRPr="00E00276">
        <w:rPr>
          <w:rFonts w:ascii="Times New Roman" w:hAnsi="Times New Roman" w:cs="Times New Roman"/>
          <w:b/>
          <w:bCs/>
          <w:sz w:val="24"/>
          <w:szCs w:val="24"/>
        </w:rPr>
        <w:t>.</w:t>
      </w:r>
      <w:r w:rsidRPr="00E00276">
        <w:rPr>
          <w:rFonts w:ascii="Times New Roman" w:hAnsi="Times New Roman" w:cs="Times New Roman"/>
          <w:sz w:val="24"/>
          <w:szCs w:val="24"/>
        </w:rPr>
        <w:t xml:space="preserve"> Threshold variation produced an entropy range of only </w:t>
      </w:r>
      <w:r w:rsidRPr="00E00276">
        <w:rPr>
          <w:rStyle w:val="Strong"/>
          <w:rFonts w:ascii="Times New Roman" w:hAnsi="Times New Roman" w:cs="Times New Roman"/>
          <w:b w:val="0"/>
          <w:bCs w:val="0"/>
          <w:sz w:val="24"/>
          <w:szCs w:val="24"/>
        </w:rPr>
        <w:t>0.000198</w:t>
      </w:r>
      <w:r w:rsidRPr="00E00276">
        <w:rPr>
          <w:rFonts w:ascii="Times New Roman" w:hAnsi="Times New Roman" w:cs="Times New Roman"/>
          <w:sz w:val="24"/>
          <w:szCs w:val="24"/>
        </w:rPr>
        <w:t xml:space="preserve">, whereas repeated evaluation produced an observed range of </w:t>
      </w:r>
      <w:r w:rsidRPr="00E00276">
        <w:rPr>
          <w:rStyle w:val="Strong"/>
          <w:rFonts w:ascii="Times New Roman" w:hAnsi="Times New Roman" w:cs="Times New Roman"/>
          <w:b w:val="0"/>
          <w:bCs w:val="0"/>
          <w:sz w:val="24"/>
          <w:szCs w:val="24"/>
        </w:rPr>
        <w:t>2.260093</w:t>
      </w:r>
      <w:r w:rsidRPr="00E00276">
        <w:rPr>
          <w:rFonts w:ascii="Times New Roman" w:hAnsi="Times New Roman" w:cs="Times New Roman"/>
          <w:sz w:val="24"/>
          <w:szCs w:val="24"/>
        </w:rPr>
        <w:t xml:space="preserve"> and semantic-graph perturbation produced relative entropy changes as high as </w:t>
      </w:r>
      <w:r w:rsidRPr="00E00276">
        <w:rPr>
          <w:rStyle w:val="Strong"/>
          <w:rFonts w:ascii="Times New Roman" w:hAnsi="Times New Roman" w:cs="Times New Roman"/>
          <w:b w:val="0"/>
          <w:bCs w:val="0"/>
          <w:sz w:val="24"/>
          <w:szCs w:val="24"/>
        </w:rPr>
        <w:t>0.320876</w:t>
      </w:r>
      <w:r w:rsidRPr="00E00276">
        <w:rPr>
          <w:rFonts w:ascii="Times New Roman" w:hAnsi="Times New Roman" w:cs="Times New Roman"/>
          <w:sz w:val="24"/>
          <w:szCs w:val="24"/>
        </w:rPr>
        <w:t>. At the case level, the five factual examples consistently isolated the incorrect response as a singleton semantic cluster, whereas the two reasoning examples exhibited more fragmented cluster configurations. Taken together, these results indicate that different sources of variation affect the structural signal differently: the score was highly stable across the tested threshold range but substantially more variable under repeated evaluation and graph perturbation.</w:t>
      </w:r>
      <w:r w:rsidRPr="00E00276">
        <w:rPr>
          <w:rFonts w:ascii="Times New Roman" w:hAnsi="Times New Roman" w:cs="Times New Roman"/>
          <w:kern w:val="0"/>
          <w:sz w:val="24"/>
          <w:szCs w:val="24"/>
          <w:lang w:eastAsia="en-IN"/>
        </w:rPr>
        <w:t xml:space="preserve"> </w:t>
      </w:r>
    </w:p>
    <w:p w14:paraId="48EF06F4"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6. Discussion</w:t>
      </w:r>
    </w:p>
    <w:p w14:paraId="14EA9CE7"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The threshold experiment suggests that, within the evaluated regime, the final structural-entropy quantity is less sensitive to clustering-threshold variation than the intermediate semantic partition. This is useful because clustering is a representational stage rather than the final uncertainty quantity. However, the perturbation experiment demonstrates that changing graph weights can materially alter the score. The contrast between noise and dropout is especially informative: weight perturbation produced a larger entropy response than the tested removal of edges, indicating that the magnitude of semantic relationships can matter even when the broad connectivity pattern remains recognizable.</w:t>
      </w:r>
    </w:p>
    <w:p w14:paraId="079210BB"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The stability experiment provides the strongest qualification to a simple robustness narrative. Eleven repeated evaluations produced a score range of 2.260093, much larger than the 0.000198 range observed across the threshold experiment. Although these quantities arise from different experimental manipulations and should not be treated as directly comparable variance estimates, their contrast indicates that upstream evaluation variability deserves at least as much attention as clustering-threshold choice.</w:t>
      </w:r>
    </w:p>
    <w:p w14:paraId="09987C00"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The case-level failure analysis provides a second form of evidence. In every factual example, the incorrect response formed a singleton against a five-response dominant cluster. This configuration is structurally intuitive: five responses occupy a shared semantic region while the erroneous response is separated from it. The reasoning cases were different, producing [3,2,1] and [4,1,1] partitions. These observations motivate a more systematic investigation of whether cluster imbalance, singleton formation, graph density, or edge-weight distributions can predict specific types of uncertainty failure.</w:t>
      </w:r>
    </w:p>
    <w:p w14:paraId="39D9C9F7"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 xml:space="preserve">The findings therefore support a restrained interpretation, consistent with the broader literature's emphasis on calibrated and benchmarked uncertainty rather than confidence claims alone [3,6,9]. Structural entropy captures meaningful changes in the semantic-response graph [1], and several graph configurations are visibly associated with response correctness in the evaluated cases. The present results establish an empirical robustness profile for the evaluated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implementation and cases; they do not establish that structural entropy is a calibrated uncertainty estimator, a superior hallucination detector, or a universally stable uncertainty measure. At the same time, the current experiments do not establish calibrated probabilities of correctness, causal failure mechanisms, broad statistical significance, or superiority over competing uncertainty estimators. Those questions require larger datasets, independent response sampling, predefined statistical tests, and direct baseline comparisons.</w:t>
      </w:r>
    </w:p>
    <w:p w14:paraId="7325EAE2" w14:textId="77777777"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7. Limitations and Conclusion</w:t>
      </w:r>
    </w:p>
    <w:p w14:paraId="10B0DE5C"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t>This study is intentionally a pilot-scale structural evaluation. The scaled evaluation contains seven cases and 42 responses; the other experiments also use small controlled samples. The scaled responses are deterministic and the current run encountered unavailable enhancement requests, triggering the original-response fallback. Accordingly, the scaled results characterize the fallback/original-response path rather than a fully enhancement-enabled evaluation. The experiments also do not provide cross-dataset generalization, calibrated uncertainty probabilities, causal identification, or a head-to-head predictive comparison against alternative uncertainty estimators.</w:t>
      </w:r>
    </w:p>
    <w:p w14:paraId="6C4F2571" w14:textId="77777777" w:rsidR="00EA42D9" w:rsidRPr="00EA42D9" w:rsidRDefault="00EA42D9" w:rsidP="00044F06">
      <w:pPr>
        <w:jc w:val="both"/>
        <w:rPr>
          <w:rFonts w:ascii="Times New Roman" w:hAnsi="Times New Roman" w:cs="Times New Roman"/>
          <w:kern w:val="0"/>
          <w:sz w:val="24"/>
          <w:szCs w:val="24"/>
          <w:lang w:eastAsia="en-IN"/>
        </w:rPr>
      </w:pPr>
      <w:r w:rsidRPr="00EA42D9">
        <w:rPr>
          <w:rFonts w:ascii="Times New Roman" w:hAnsi="Times New Roman" w:cs="Times New Roman"/>
          <w:kern w:val="0"/>
          <w:sz w:val="24"/>
          <w:szCs w:val="24"/>
          <w:lang w:eastAsia="en-IN"/>
        </w:rPr>
        <w:lastRenderedPageBreak/>
        <w:t xml:space="preserve">Within these boundaries, the study establishes a concrete empirical profile of </w:t>
      </w:r>
      <w:proofErr w:type="spellStart"/>
      <w:r w:rsidRPr="00EA42D9">
        <w:rPr>
          <w:rFonts w:ascii="Times New Roman" w:hAnsi="Times New Roman" w:cs="Times New Roman"/>
          <w:kern w:val="0"/>
          <w:sz w:val="24"/>
          <w:szCs w:val="24"/>
          <w:lang w:eastAsia="en-IN"/>
        </w:rPr>
        <w:t>SeSE</w:t>
      </w:r>
      <w:proofErr w:type="spellEnd"/>
      <w:r w:rsidRPr="00EA42D9">
        <w:rPr>
          <w:rFonts w:ascii="Times New Roman" w:hAnsi="Times New Roman" w:cs="Times New Roman"/>
          <w:kern w:val="0"/>
          <w:sz w:val="24"/>
          <w:szCs w:val="24"/>
          <w:lang w:eastAsia="en-IN"/>
        </w:rPr>
        <w:t xml:space="preserve"> behavior. Structural entropy was highly stable across the five tested clustering thresholds, yet materially more variable under repeated evaluation and edge-weight perturbation. The scaled cases additionally show a recurring structural pattern in which incorrect factual responses occupied singleton clusters, while reasoning cases produced more fragmented response organizations. The resulting contribution is therefore not a claim of universal robustness, but a reproducible characterization of where structural entropy appears stable, where it is sensitive, and where its graph structure exposes potentially informative failure patterns. Larger multi-domain evaluation with repeated sampling, statistical confidence intervals, and baseline comparisons is the necessary next step for determining whether these pilot-scale structural signatures generalize.</w:t>
      </w:r>
    </w:p>
    <w:p w14:paraId="335C5ED5" w14:textId="0BC5268D" w:rsidR="00EA42D9" w:rsidRPr="002C6A72" w:rsidRDefault="00EA42D9" w:rsidP="00044F06">
      <w:pPr>
        <w:jc w:val="both"/>
        <w:rPr>
          <w:rFonts w:ascii="Times New Roman" w:hAnsi="Times New Roman" w:cs="Times New Roman"/>
          <w:b/>
          <w:bCs/>
          <w:kern w:val="0"/>
          <w:sz w:val="24"/>
          <w:szCs w:val="24"/>
          <w:lang w:eastAsia="en-IN"/>
        </w:rPr>
      </w:pPr>
      <w:r w:rsidRPr="002C6A72">
        <w:rPr>
          <w:rFonts w:ascii="Times New Roman" w:hAnsi="Times New Roman" w:cs="Times New Roman"/>
          <w:b/>
          <w:bCs/>
          <w:kern w:val="0"/>
          <w:sz w:val="24"/>
          <w:szCs w:val="24"/>
          <w:lang w:eastAsia="en-IN"/>
        </w:rPr>
        <w:t>References</w:t>
      </w:r>
    </w:p>
    <w:p w14:paraId="414F8D45"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[1] X. Zhao, H. Peng, D. </w:t>
      </w:r>
      <w:proofErr w:type="spellStart"/>
      <w:r w:rsidRPr="00EA1100">
        <w:rPr>
          <w:rFonts w:ascii="Times New Roman" w:hAnsi="Times New Roman" w:cs="Times New Roman"/>
          <w:sz w:val="24"/>
          <w:szCs w:val="24"/>
        </w:rPr>
        <w:t>Su</w:t>
      </w:r>
      <w:proofErr w:type="spellEnd"/>
      <w:r w:rsidRPr="00EA1100">
        <w:rPr>
          <w:rFonts w:ascii="Times New Roman" w:hAnsi="Times New Roman" w:cs="Times New Roman"/>
          <w:sz w:val="24"/>
          <w:szCs w:val="24"/>
        </w:rPr>
        <w:t>, X. Zeng, C. Liu, J. Liao, and P. S. Yu, “</w:t>
      </w:r>
      <w:proofErr w:type="spellStart"/>
      <w:r w:rsidRPr="00EA1100">
        <w:rPr>
          <w:rFonts w:ascii="Times New Roman" w:hAnsi="Times New Roman" w:cs="Times New Roman"/>
          <w:sz w:val="24"/>
          <w:szCs w:val="24"/>
        </w:rPr>
        <w:t>SeSE</w:t>
      </w:r>
      <w:proofErr w:type="spellEnd"/>
      <w:r w:rsidRPr="00EA1100">
        <w:rPr>
          <w:rFonts w:ascii="Times New Roman" w:hAnsi="Times New Roman" w:cs="Times New Roman"/>
          <w:sz w:val="24"/>
          <w:szCs w:val="24"/>
        </w:rPr>
        <w:t xml:space="preserve">: Black-box uncertainty quantification for large language models based on structural information theory,” in </w:t>
      </w:r>
      <w:r w:rsidRPr="00EA1100">
        <w:rPr>
          <w:rStyle w:val="Emphasis"/>
          <w:rFonts w:ascii="Times New Roman" w:hAnsi="Times New Roman" w:cs="Times New Roman"/>
          <w:sz w:val="24"/>
          <w:szCs w:val="24"/>
        </w:rPr>
        <w:t xml:space="preserve">Proc. 42nd Conf. Uncertainty </w:t>
      </w:r>
      <w:proofErr w:type="spellStart"/>
      <w:r w:rsidRPr="00EA1100">
        <w:rPr>
          <w:rStyle w:val="Emphasis"/>
          <w:rFonts w:ascii="Times New Roman" w:hAnsi="Times New Roman" w:cs="Times New Roman"/>
          <w:sz w:val="24"/>
          <w:szCs w:val="24"/>
        </w:rPr>
        <w:t>Artif</w:t>
      </w:r>
      <w:proofErr w:type="spellEnd"/>
      <w:r w:rsidRPr="00EA1100">
        <w:rPr>
          <w:rStyle w:val="Emphasis"/>
          <w:rFonts w:ascii="Times New Roman" w:hAnsi="Times New Roman" w:cs="Times New Roman"/>
          <w:sz w:val="24"/>
          <w:szCs w:val="24"/>
        </w:rPr>
        <w:t xml:space="preserve">. </w:t>
      </w:r>
      <w:proofErr w:type="spellStart"/>
      <w:r w:rsidRPr="00EA1100">
        <w:rPr>
          <w:rStyle w:val="Emphasis"/>
          <w:rFonts w:ascii="Times New Roman" w:hAnsi="Times New Roman" w:cs="Times New Roman"/>
          <w:sz w:val="24"/>
          <w:szCs w:val="24"/>
        </w:rPr>
        <w:t>Intell</w:t>
      </w:r>
      <w:proofErr w:type="spellEnd"/>
      <w:r w:rsidRPr="00EA1100">
        <w:rPr>
          <w:rStyle w:val="Emphasis"/>
          <w:rFonts w:ascii="Times New Roman" w:hAnsi="Times New Roman" w:cs="Times New Roman"/>
          <w:sz w:val="24"/>
          <w:szCs w:val="24"/>
        </w:rPr>
        <w:t>.</w:t>
      </w:r>
      <w:r w:rsidRPr="00EA1100">
        <w:rPr>
          <w:rFonts w:ascii="Times New Roman" w:hAnsi="Times New Roman" w:cs="Times New Roman"/>
          <w:sz w:val="24"/>
          <w:szCs w:val="24"/>
        </w:rPr>
        <w:t xml:space="preserve">, vol. 337, pp. 8209–8237, 2026. </w:t>
      </w:r>
    </w:p>
    <w:p w14:paraId="23EB7333"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[2] S. Farquhar, J. </w:t>
      </w:r>
      <w:proofErr w:type="spellStart"/>
      <w:r w:rsidRPr="00EA1100">
        <w:rPr>
          <w:rFonts w:ascii="Times New Roman" w:hAnsi="Times New Roman" w:cs="Times New Roman"/>
          <w:sz w:val="24"/>
          <w:szCs w:val="24"/>
        </w:rPr>
        <w:t>Kossen</w:t>
      </w:r>
      <w:proofErr w:type="spellEnd"/>
      <w:r w:rsidRPr="00EA1100">
        <w:rPr>
          <w:rFonts w:ascii="Times New Roman" w:hAnsi="Times New Roman" w:cs="Times New Roman"/>
          <w:sz w:val="24"/>
          <w:szCs w:val="24"/>
        </w:rPr>
        <w:t xml:space="preserve">, L. Kuhn, and Y. Gal, “Detecting hallucinations in large language models using semantic entropy,” </w:t>
      </w:r>
      <w:r w:rsidRPr="00EA1100">
        <w:rPr>
          <w:rStyle w:val="Emphasis"/>
          <w:rFonts w:ascii="Times New Roman" w:hAnsi="Times New Roman" w:cs="Times New Roman"/>
          <w:sz w:val="24"/>
          <w:szCs w:val="24"/>
        </w:rPr>
        <w:t>Nature</w:t>
      </w:r>
      <w:r w:rsidRPr="00EA1100">
        <w:rPr>
          <w:rFonts w:ascii="Times New Roman" w:hAnsi="Times New Roman" w:cs="Times New Roman"/>
          <w:sz w:val="24"/>
          <w:szCs w:val="24"/>
        </w:rPr>
        <w:t xml:space="preserve">, vol. 630, pp. 625–630, 2024,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10.1038/s41586-024-07421-0. </w:t>
      </w:r>
    </w:p>
    <w:p w14:paraId="1AAF2AEB"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[3] O. </w:t>
      </w:r>
      <w:proofErr w:type="spellStart"/>
      <w:r w:rsidRPr="00EA1100">
        <w:rPr>
          <w:rFonts w:ascii="Times New Roman" w:hAnsi="Times New Roman" w:cs="Times New Roman"/>
          <w:sz w:val="24"/>
          <w:szCs w:val="24"/>
        </w:rPr>
        <w:t>Shorinwa</w:t>
      </w:r>
      <w:proofErr w:type="spellEnd"/>
      <w:r w:rsidRPr="00EA1100">
        <w:rPr>
          <w:rFonts w:ascii="Times New Roman" w:hAnsi="Times New Roman" w:cs="Times New Roman"/>
          <w:sz w:val="24"/>
          <w:szCs w:val="24"/>
        </w:rPr>
        <w:t xml:space="preserve">, Z. Mei, J. </w:t>
      </w:r>
      <w:proofErr w:type="spellStart"/>
      <w:r w:rsidRPr="00EA1100">
        <w:rPr>
          <w:rFonts w:ascii="Times New Roman" w:hAnsi="Times New Roman" w:cs="Times New Roman"/>
          <w:sz w:val="24"/>
          <w:szCs w:val="24"/>
        </w:rPr>
        <w:t>Lidard</w:t>
      </w:r>
      <w:proofErr w:type="spellEnd"/>
      <w:r w:rsidRPr="00EA1100">
        <w:rPr>
          <w:rFonts w:ascii="Times New Roman" w:hAnsi="Times New Roman" w:cs="Times New Roman"/>
          <w:sz w:val="24"/>
          <w:szCs w:val="24"/>
        </w:rPr>
        <w:t xml:space="preserve">, A. Z. Ren, and A. Majumdar, “A survey on uncertainty quantification of large language models: Taxonomy, open research challenges, and future directions,” </w:t>
      </w:r>
      <w:r w:rsidRPr="00EA1100">
        <w:rPr>
          <w:rStyle w:val="Emphasis"/>
          <w:rFonts w:ascii="Times New Roman" w:hAnsi="Times New Roman" w:cs="Times New Roman"/>
          <w:sz w:val="24"/>
          <w:szCs w:val="24"/>
        </w:rPr>
        <w:t xml:space="preserve">ACM </w:t>
      </w:r>
      <w:proofErr w:type="spellStart"/>
      <w:r w:rsidRPr="00EA1100">
        <w:rPr>
          <w:rStyle w:val="Emphasis"/>
          <w:rFonts w:ascii="Times New Roman" w:hAnsi="Times New Roman" w:cs="Times New Roman"/>
          <w:sz w:val="24"/>
          <w:szCs w:val="24"/>
        </w:rPr>
        <w:t>Comput</w:t>
      </w:r>
      <w:proofErr w:type="spellEnd"/>
      <w:r w:rsidRPr="00EA1100">
        <w:rPr>
          <w:rStyle w:val="Emphasis"/>
          <w:rFonts w:ascii="Times New Roman" w:hAnsi="Times New Roman" w:cs="Times New Roman"/>
          <w:sz w:val="24"/>
          <w:szCs w:val="24"/>
        </w:rPr>
        <w:t xml:space="preserve">. </w:t>
      </w:r>
      <w:proofErr w:type="spellStart"/>
      <w:r w:rsidRPr="00EA1100">
        <w:rPr>
          <w:rStyle w:val="Emphasis"/>
          <w:rFonts w:ascii="Times New Roman" w:hAnsi="Times New Roman" w:cs="Times New Roman"/>
          <w:sz w:val="24"/>
          <w:szCs w:val="24"/>
        </w:rPr>
        <w:t>Surv</w:t>
      </w:r>
      <w:proofErr w:type="spellEnd"/>
      <w:r w:rsidRPr="00EA1100">
        <w:rPr>
          <w:rStyle w:val="Emphasis"/>
          <w:rFonts w:ascii="Times New Roman" w:hAnsi="Times New Roman" w:cs="Times New Roman"/>
          <w:sz w:val="24"/>
          <w:szCs w:val="24"/>
        </w:rPr>
        <w:t>.</w:t>
      </w:r>
      <w:r w:rsidRPr="00EA1100">
        <w:rPr>
          <w:rFonts w:ascii="Times New Roman" w:hAnsi="Times New Roman" w:cs="Times New Roman"/>
          <w:sz w:val="24"/>
          <w:szCs w:val="24"/>
        </w:rPr>
        <w:t xml:space="preserve">, vol. 58, no. 3, Art. no. 63, pp. 1–38, 2025,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10.1145/3744238. </w:t>
      </w:r>
    </w:p>
    <w:p w14:paraId="4D0E4679"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[4] L. Huang, W. Yu, W. Ma, W. Zhong, Z. Feng, H. Wang, Q. Chen, W. Peng, X. Feng, B. Qin, and T. Liu, “A survey on hallucination in large language models: Principles, taxonomy, challenges, and open questions,” </w:t>
      </w:r>
      <w:r w:rsidRPr="00EA1100">
        <w:rPr>
          <w:rStyle w:val="Emphasis"/>
          <w:rFonts w:ascii="Times New Roman" w:hAnsi="Times New Roman" w:cs="Times New Roman"/>
          <w:sz w:val="24"/>
          <w:szCs w:val="24"/>
        </w:rPr>
        <w:t>ACM Trans. Inf. Syst.</w:t>
      </w:r>
      <w:r w:rsidRPr="00EA1100">
        <w:rPr>
          <w:rFonts w:ascii="Times New Roman" w:hAnsi="Times New Roman" w:cs="Times New Roman"/>
          <w:sz w:val="24"/>
          <w:szCs w:val="24"/>
        </w:rPr>
        <w:t xml:space="preserve">, vol. 43, no. 2, Art. no. 42, pp. 1–55, 2025,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10.1145/3703155. </w:t>
      </w:r>
    </w:p>
    <w:p w14:paraId="37B26646"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[5] Z. Lin, S. Guan, W. Zhang, H. Zhang, Y. Li, and H. Zhang, “Towards trustworthy LLMs: A review on debiasing and </w:t>
      </w:r>
      <w:proofErr w:type="spellStart"/>
      <w:r w:rsidRPr="00EA1100">
        <w:rPr>
          <w:rFonts w:ascii="Times New Roman" w:hAnsi="Times New Roman" w:cs="Times New Roman"/>
          <w:sz w:val="24"/>
          <w:szCs w:val="24"/>
        </w:rPr>
        <w:t>dehallucinating</w:t>
      </w:r>
      <w:proofErr w:type="spellEnd"/>
      <w:r w:rsidRPr="00EA1100">
        <w:rPr>
          <w:rFonts w:ascii="Times New Roman" w:hAnsi="Times New Roman" w:cs="Times New Roman"/>
          <w:sz w:val="24"/>
          <w:szCs w:val="24"/>
        </w:rPr>
        <w:t xml:space="preserve"> in large language </w:t>
      </w:r>
      <w:r w:rsidRPr="00EA1100">
        <w:rPr>
          <w:rFonts w:ascii="Times New Roman" w:hAnsi="Times New Roman" w:cs="Times New Roman"/>
          <w:sz w:val="24"/>
          <w:szCs w:val="24"/>
        </w:rPr>
        <w:t xml:space="preserve">models,” </w:t>
      </w:r>
      <w:proofErr w:type="spellStart"/>
      <w:r w:rsidRPr="00EA1100">
        <w:rPr>
          <w:rStyle w:val="Emphasis"/>
          <w:rFonts w:ascii="Times New Roman" w:hAnsi="Times New Roman" w:cs="Times New Roman"/>
          <w:sz w:val="24"/>
          <w:szCs w:val="24"/>
        </w:rPr>
        <w:t>Artif</w:t>
      </w:r>
      <w:proofErr w:type="spellEnd"/>
      <w:r w:rsidRPr="00EA1100">
        <w:rPr>
          <w:rStyle w:val="Emphasis"/>
          <w:rFonts w:ascii="Times New Roman" w:hAnsi="Times New Roman" w:cs="Times New Roman"/>
          <w:sz w:val="24"/>
          <w:szCs w:val="24"/>
        </w:rPr>
        <w:t xml:space="preserve">. </w:t>
      </w:r>
      <w:proofErr w:type="spellStart"/>
      <w:r w:rsidRPr="00EA1100">
        <w:rPr>
          <w:rStyle w:val="Emphasis"/>
          <w:rFonts w:ascii="Times New Roman" w:hAnsi="Times New Roman" w:cs="Times New Roman"/>
          <w:sz w:val="24"/>
          <w:szCs w:val="24"/>
        </w:rPr>
        <w:t>Intell</w:t>
      </w:r>
      <w:proofErr w:type="spellEnd"/>
      <w:r w:rsidRPr="00EA1100">
        <w:rPr>
          <w:rStyle w:val="Emphasis"/>
          <w:rFonts w:ascii="Times New Roman" w:hAnsi="Times New Roman" w:cs="Times New Roman"/>
          <w:sz w:val="24"/>
          <w:szCs w:val="24"/>
        </w:rPr>
        <w:t>. Rev.</w:t>
      </w:r>
      <w:r w:rsidRPr="00EA1100">
        <w:rPr>
          <w:rFonts w:ascii="Times New Roman" w:hAnsi="Times New Roman" w:cs="Times New Roman"/>
          <w:sz w:val="24"/>
          <w:szCs w:val="24"/>
        </w:rPr>
        <w:t xml:space="preserve">, vol. 57, Art. no. 243, 2024,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10.1007/s10462-024-10896-y. </w:t>
      </w:r>
    </w:p>
    <w:p w14:paraId="520A6EDC"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[6] R. </w:t>
      </w:r>
      <w:proofErr w:type="spellStart"/>
      <w:r w:rsidRPr="00EA1100">
        <w:rPr>
          <w:rFonts w:ascii="Times New Roman" w:hAnsi="Times New Roman" w:cs="Times New Roman"/>
          <w:sz w:val="24"/>
          <w:szCs w:val="24"/>
        </w:rPr>
        <w:t>Vashurin</w:t>
      </w:r>
      <w:proofErr w:type="spellEnd"/>
      <w:r w:rsidRPr="00EA1100">
        <w:rPr>
          <w:rFonts w:ascii="Times New Roman" w:hAnsi="Times New Roman" w:cs="Times New Roman"/>
          <w:sz w:val="24"/>
          <w:szCs w:val="24"/>
        </w:rPr>
        <w:t xml:space="preserve">, E. </w:t>
      </w:r>
      <w:proofErr w:type="spellStart"/>
      <w:r w:rsidRPr="00EA1100">
        <w:rPr>
          <w:rFonts w:ascii="Times New Roman" w:hAnsi="Times New Roman" w:cs="Times New Roman"/>
          <w:sz w:val="24"/>
          <w:szCs w:val="24"/>
        </w:rPr>
        <w:t>Fadeeva</w:t>
      </w:r>
      <w:proofErr w:type="spellEnd"/>
      <w:r w:rsidRPr="00EA1100">
        <w:rPr>
          <w:rFonts w:ascii="Times New Roman" w:hAnsi="Times New Roman" w:cs="Times New Roman"/>
          <w:sz w:val="24"/>
          <w:szCs w:val="24"/>
        </w:rPr>
        <w:t xml:space="preserve">, A. </w:t>
      </w:r>
      <w:proofErr w:type="spellStart"/>
      <w:r w:rsidRPr="00EA1100">
        <w:rPr>
          <w:rFonts w:ascii="Times New Roman" w:hAnsi="Times New Roman" w:cs="Times New Roman"/>
          <w:sz w:val="24"/>
          <w:szCs w:val="24"/>
        </w:rPr>
        <w:t>Vazhentsev</w:t>
      </w:r>
      <w:proofErr w:type="spellEnd"/>
      <w:r w:rsidRPr="00EA1100">
        <w:rPr>
          <w:rFonts w:ascii="Times New Roman" w:hAnsi="Times New Roman" w:cs="Times New Roman"/>
          <w:sz w:val="24"/>
          <w:szCs w:val="24"/>
        </w:rPr>
        <w:t xml:space="preserve">, L. </w:t>
      </w:r>
      <w:proofErr w:type="spellStart"/>
      <w:r w:rsidRPr="00EA1100">
        <w:rPr>
          <w:rFonts w:ascii="Times New Roman" w:hAnsi="Times New Roman" w:cs="Times New Roman"/>
          <w:sz w:val="24"/>
          <w:szCs w:val="24"/>
        </w:rPr>
        <w:t>Rvanova</w:t>
      </w:r>
      <w:proofErr w:type="spellEnd"/>
      <w:r w:rsidRPr="00EA1100">
        <w:rPr>
          <w:rFonts w:ascii="Times New Roman" w:hAnsi="Times New Roman" w:cs="Times New Roman"/>
          <w:sz w:val="24"/>
          <w:szCs w:val="24"/>
        </w:rPr>
        <w:t xml:space="preserve">, D. </w:t>
      </w:r>
      <w:proofErr w:type="spellStart"/>
      <w:r w:rsidRPr="00EA1100">
        <w:rPr>
          <w:rFonts w:ascii="Times New Roman" w:hAnsi="Times New Roman" w:cs="Times New Roman"/>
          <w:sz w:val="24"/>
          <w:szCs w:val="24"/>
        </w:rPr>
        <w:t>Vasilev</w:t>
      </w:r>
      <w:proofErr w:type="spellEnd"/>
      <w:r w:rsidRPr="00EA1100">
        <w:rPr>
          <w:rFonts w:ascii="Times New Roman" w:hAnsi="Times New Roman" w:cs="Times New Roman"/>
          <w:sz w:val="24"/>
          <w:szCs w:val="24"/>
        </w:rPr>
        <w:t xml:space="preserve">, A. </w:t>
      </w:r>
      <w:proofErr w:type="spellStart"/>
      <w:r w:rsidRPr="00EA1100">
        <w:rPr>
          <w:rFonts w:ascii="Times New Roman" w:hAnsi="Times New Roman" w:cs="Times New Roman"/>
          <w:sz w:val="24"/>
          <w:szCs w:val="24"/>
        </w:rPr>
        <w:t>Tsvigun</w:t>
      </w:r>
      <w:proofErr w:type="spellEnd"/>
      <w:r w:rsidRPr="00EA1100">
        <w:rPr>
          <w:rFonts w:ascii="Times New Roman" w:hAnsi="Times New Roman" w:cs="Times New Roman"/>
          <w:sz w:val="24"/>
          <w:szCs w:val="24"/>
        </w:rPr>
        <w:t xml:space="preserve">, S. </w:t>
      </w:r>
      <w:proofErr w:type="spellStart"/>
      <w:r w:rsidRPr="00EA1100">
        <w:rPr>
          <w:rFonts w:ascii="Times New Roman" w:hAnsi="Times New Roman" w:cs="Times New Roman"/>
          <w:sz w:val="24"/>
          <w:szCs w:val="24"/>
        </w:rPr>
        <w:t>Petrakov</w:t>
      </w:r>
      <w:proofErr w:type="spellEnd"/>
      <w:r w:rsidRPr="00EA1100">
        <w:rPr>
          <w:rFonts w:ascii="Times New Roman" w:hAnsi="Times New Roman" w:cs="Times New Roman"/>
          <w:sz w:val="24"/>
          <w:szCs w:val="24"/>
        </w:rPr>
        <w:t xml:space="preserve">, R. Xing, A. </w:t>
      </w:r>
      <w:proofErr w:type="spellStart"/>
      <w:r w:rsidRPr="00EA1100">
        <w:rPr>
          <w:rFonts w:ascii="Times New Roman" w:hAnsi="Times New Roman" w:cs="Times New Roman"/>
          <w:sz w:val="24"/>
          <w:szCs w:val="24"/>
        </w:rPr>
        <w:t>Sadallah</w:t>
      </w:r>
      <w:proofErr w:type="spellEnd"/>
      <w:r w:rsidRPr="00EA1100">
        <w:rPr>
          <w:rFonts w:ascii="Times New Roman" w:hAnsi="Times New Roman" w:cs="Times New Roman"/>
          <w:sz w:val="24"/>
          <w:szCs w:val="24"/>
        </w:rPr>
        <w:t xml:space="preserve">, K. </w:t>
      </w:r>
      <w:proofErr w:type="spellStart"/>
      <w:r w:rsidRPr="00EA1100">
        <w:rPr>
          <w:rFonts w:ascii="Times New Roman" w:hAnsi="Times New Roman" w:cs="Times New Roman"/>
          <w:sz w:val="24"/>
          <w:szCs w:val="24"/>
        </w:rPr>
        <w:t>Grishchenkov</w:t>
      </w:r>
      <w:proofErr w:type="spellEnd"/>
      <w:r w:rsidRPr="00EA1100">
        <w:rPr>
          <w:rFonts w:ascii="Times New Roman" w:hAnsi="Times New Roman" w:cs="Times New Roman"/>
          <w:sz w:val="24"/>
          <w:szCs w:val="24"/>
        </w:rPr>
        <w:t xml:space="preserve">, A. </w:t>
      </w:r>
      <w:proofErr w:type="spellStart"/>
      <w:r w:rsidRPr="00EA1100">
        <w:rPr>
          <w:rFonts w:ascii="Times New Roman" w:hAnsi="Times New Roman" w:cs="Times New Roman"/>
          <w:sz w:val="24"/>
          <w:szCs w:val="24"/>
        </w:rPr>
        <w:t>Panchenko</w:t>
      </w:r>
      <w:proofErr w:type="spellEnd"/>
      <w:r w:rsidRPr="00EA1100">
        <w:rPr>
          <w:rFonts w:ascii="Times New Roman" w:hAnsi="Times New Roman" w:cs="Times New Roman"/>
          <w:sz w:val="24"/>
          <w:szCs w:val="24"/>
        </w:rPr>
        <w:t xml:space="preserve">, T. Baldwin, P. </w:t>
      </w:r>
      <w:proofErr w:type="spellStart"/>
      <w:r w:rsidRPr="00EA1100">
        <w:rPr>
          <w:rFonts w:ascii="Times New Roman" w:hAnsi="Times New Roman" w:cs="Times New Roman"/>
          <w:sz w:val="24"/>
          <w:szCs w:val="24"/>
        </w:rPr>
        <w:t>Nakov</w:t>
      </w:r>
      <w:proofErr w:type="spellEnd"/>
      <w:r w:rsidRPr="00EA1100">
        <w:rPr>
          <w:rFonts w:ascii="Times New Roman" w:hAnsi="Times New Roman" w:cs="Times New Roman"/>
          <w:sz w:val="24"/>
          <w:szCs w:val="24"/>
        </w:rPr>
        <w:t xml:space="preserve">, M. </w:t>
      </w:r>
      <w:proofErr w:type="spellStart"/>
      <w:r w:rsidRPr="00EA1100">
        <w:rPr>
          <w:rFonts w:ascii="Times New Roman" w:hAnsi="Times New Roman" w:cs="Times New Roman"/>
          <w:sz w:val="24"/>
          <w:szCs w:val="24"/>
        </w:rPr>
        <w:t>Panov</w:t>
      </w:r>
      <w:proofErr w:type="spellEnd"/>
      <w:r w:rsidRPr="00EA1100">
        <w:rPr>
          <w:rFonts w:ascii="Times New Roman" w:hAnsi="Times New Roman" w:cs="Times New Roman"/>
          <w:sz w:val="24"/>
          <w:szCs w:val="24"/>
        </w:rPr>
        <w:t xml:space="preserve">, and A. </w:t>
      </w:r>
      <w:proofErr w:type="spellStart"/>
      <w:r w:rsidRPr="00EA1100">
        <w:rPr>
          <w:rFonts w:ascii="Times New Roman" w:hAnsi="Times New Roman" w:cs="Times New Roman"/>
          <w:sz w:val="24"/>
          <w:szCs w:val="24"/>
        </w:rPr>
        <w:t>Shelmanov</w:t>
      </w:r>
      <w:proofErr w:type="spellEnd"/>
      <w:r w:rsidRPr="00EA1100">
        <w:rPr>
          <w:rFonts w:ascii="Times New Roman" w:hAnsi="Times New Roman" w:cs="Times New Roman"/>
          <w:sz w:val="24"/>
          <w:szCs w:val="24"/>
        </w:rPr>
        <w:t xml:space="preserve">, “Benchmarking uncertainty quantification methods for large language models with LM-Polygraph,” </w:t>
      </w:r>
      <w:r w:rsidRPr="00EA1100">
        <w:rPr>
          <w:rStyle w:val="Emphasis"/>
          <w:rFonts w:ascii="Times New Roman" w:hAnsi="Times New Roman" w:cs="Times New Roman"/>
          <w:sz w:val="24"/>
          <w:szCs w:val="24"/>
        </w:rPr>
        <w:t xml:space="preserve">Trans. Assoc. </w:t>
      </w:r>
      <w:proofErr w:type="spellStart"/>
      <w:r w:rsidRPr="00EA1100">
        <w:rPr>
          <w:rStyle w:val="Emphasis"/>
          <w:rFonts w:ascii="Times New Roman" w:hAnsi="Times New Roman" w:cs="Times New Roman"/>
          <w:sz w:val="24"/>
          <w:szCs w:val="24"/>
        </w:rPr>
        <w:t>Comput</w:t>
      </w:r>
      <w:proofErr w:type="spellEnd"/>
      <w:r w:rsidRPr="00EA1100">
        <w:rPr>
          <w:rStyle w:val="Emphasis"/>
          <w:rFonts w:ascii="Times New Roman" w:hAnsi="Times New Roman" w:cs="Times New Roman"/>
          <w:sz w:val="24"/>
          <w:szCs w:val="24"/>
        </w:rPr>
        <w:t>. Linguist.</w:t>
      </w:r>
      <w:r w:rsidRPr="00EA1100">
        <w:rPr>
          <w:rFonts w:ascii="Times New Roman" w:hAnsi="Times New Roman" w:cs="Times New Roman"/>
          <w:sz w:val="24"/>
          <w:szCs w:val="24"/>
        </w:rPr>
        <w:t xml:space="preserve">, vol. 13, pp. 220–248, 2025,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10.1162/tacl_a_00737. </w:t>
      </w:r>
    </w:p>
    <w:p w14:paraId="754BC92E"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[7] P. </w:t>
      </w:r>
      <w:proofErr w:type="spellStart"/>
      <w:r w:rsidRPr="00EA1100">
        <w:rPr>
          <w:rFonts w:ascii="Times New Roman" w:hAnsi="Times New Roman" w:cs="Times New Roman"/>
          <w:sz w:val="24"/>
          <w:szCs w:val="24"/>
        </w:rPr>
        <w:t>Manakul</w:t>
      </w:r>
      <w:proofErr w:type="spellEnd"/>
      <w:r w:rsidRPr="00EA1100">
        <w:rPr>
          <w:rFonts w:ascii="Times New Roman" w:hAnsi="Times New Roman" w:cs="Times New Roman"/>
          <w:sz w:val="24"/>
          <w:szCs w:val="24"/>
        </w:rPr>
        <w:t xml:space="preserve">, A. </w:t>
      </w:r>
      <w:proofErr w:type="spellStart"/>
      <w:r w:rsidRPr="00EA1100">
        <w:rPr>
          <w:rFonts w:ascii="Times New Roman" w:hAnsi="Times New Roman" w:cs="Times New Roman"/>
          <w:sz w:val="24"/>
          <w:szCs w:val="24"/>
        </w:rPr>
        <w:t>Liusie</w:t>
      </w:r>
      <w:proofErr w:type="spellEnd"/>
      <w:r w:rsidRPr="00EA1100">
        <w:rPr>
          <w:rFonts w:ascii="Times New Roman" w:hAnsi="Times New Roman" w:cs="Times New Roman"/>
          <w:sz w:val="24"/>
          <w:szCs w:val="24"/>
        </w:rPr>
        <w:t>, and M. J. F. Gales, “</w:t>
      </w:r>
      <w:proofErr w:type="spellStart"/>
      <w:r w:rsidRPr="00EA1100">
        <w:rPr>
          <w:rFonts w:ascii="Times New Roman" w:hAnsi="Times New Roman" w:cs="Times New Roman"/>
          <w:sz w:val="24"/>
          <w:szCs w:val="24"/>
        </w:rPr>
        <w:t>SelfCheckGPT</w:t>
      </w:r>
      <w:proofErr w:type="spellEnd"/>
      <w:r w:rsidRPr="00EA1100">
        <w:rPr>
          <w:rFonts w:ascii="Times New Roman" w:hAnsi="Times New Roman" w:cs="Times New Roman"/>
          <w:sz w:val="24"/>
          <w:szCs w:val="24"/>
        </w:rPr>
        <w:t xml:space="preserve">: Zero-resource black-box hallucination detection for generative large language models,” in </w:t>
      </w:r>
      <w:r w:rsidRPr="00EA1100">
        <w:rPr>
          <w:rStyle w:val="Emphasis"/>
          <w:rFonts w:ascii="Times New Roman" w:hAnsi="Times New Roman" w:cs="Times New Roman"/>
          <w:sz w:val="24"/>
          <w:szCs w:val="24"/>
        </w:rPr>
        <w:t>Proc. 2023 Conf. Empirical Methods Natural Language Process.</w:t>
      </w:r>
      <w:r w:rsidRPr="00EA1100">
        <w:rPr>
          <w:rFonts w:ascii="Times New Roman" w:hAnsi="Times New Roman" w:cs="Times New Roman"/>
          <w:sz w:val="24"/>
          <w:szCs w:val="24"/>
        </w:rPr>
        <w:t xml:space="preserve">, pp. 9004–9017, 2023, </w:t>
      </w:r>
      <w:proofErr w:type="spellStart"/>
      <w:r w:rsidRPr="00EA1100">
        <w:rPr>
          <w:rFonts w:ascii="Times New Roman" w:hAnsi="Times New Roman" w:cs="Times New Roman"/>
          <w:sz w:val="24"/>
          <w:szCs w:val="24"/>
        </w:rPr>
        <w:t>doi</w:t>
      </w:r>
      <w:proofErr w:type="spellEnd"/>
      <w:r w:rsidRPr="00EA1100">
        <w:rPr>
          <w:rFonts w:ascii="Times New Roman" w:hAnsi="Times New Roman" w:cs="Times New Roman"/>
          <w:sz w:val="24"/>
          <w:szCs w:val="24"/>
        </w:rPr>
        <w:t xml:space="preserve">: 10.18653/v1/2023.emnlp-main.557. </w:t>
      </w:r>
    </w:p>
    <w:p w14:paraId="7771F30D"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[8] X. Wang, J. Wei, D. Schuurmans, Q. V. Le, E. H. Chi, S. Narang, A. </w:t>
      </w:r>
      <w:proofErr w:type="spellStart"/>
      <w:r w:rsidRPr="00EA1100">
        <w:rPr>
          <w:rFonts w:ascii="Times New Roman" w:hAnsi="Times New Roman" w:cs="Times New Roman"/>
          <w:sz w:val="24"/>
          <w:szCs w:val="24"/>
        </w:rPr>
        <w:t>Chowdhery</w:t>
      </w:r>
      <w:proofErr w:type="spellEnd"/>
      <w:r w:rsidRPr="00EA1100">
        <w:rPr>
          <w:rFonts w:ascii="Times New Roman" w:hAnsi="Times New Roman" w:cs="Times New Roman"/>
          <w:sz w:val="24"/>
          <w:szCs w:val="24"/>
        </w:rPr>
        <w:t xml:space="preserve">, and D. Zhou, “Self-consistency improves chain of thought reasoning in language models,” in </w:t>
      </w:r>
      <w:r w:rsidRPr="00EA1100">
        <w:rPr>
          <w:rStyle w:val="Emphasis"/>
          <w:rFonts w:ascii="Times New Roman" w:hAnsi="Times New Roman" w:cs="Times New Roman"/>
          <w:sz w:val="24"/>
          <w:szCs w:val="24"/>
        </w:rPr>
        <w:t>Proc. Int. Conf. Learn. Representations (ICLR)</w:t>
      </w:r>
      <w:r w:rsidRPr="00EA1100">
        <w:rPr>
          <w:rFonts w:ascii="Times New Roman" w:hAnsi="Times New Roman" w:cs="Times New Roman"/>
          <w:sz w:val="24"/>
          <w:szCs w:val="24"/>
        </w:rPr>
        <w:t xml:space="preserve">, 2023. </w:t>
      </w:r>
    </w:p>
    <w:p w14:paraId="698637FA" w14:textId="77777777" w:rsidR="00AF0C0D" w:rsidRPr="00EA1100" w:rsidRDefault="00AF0C0D" w:rsidP="00EA1100">
      <w:pPr>
        <w:jc w:val="both"/>
        <w:rPr>
          <w:rFonts w:ascii="Times New Roman" w:hAnsi="Times New Roman" w:cs="Times New Roman"/>
          <w:sz w:val="24"/>
          <w:szCs w:val="24"/>
        </w:rPr>
      </w:pPr>
      <w:r w:rsidRPr="00EA1100">
        <w:rPr>
          <w:rFonts w:ascii="Times New Roman" w:hAnsi="Times New Roman" w:cs="Times New Roman"/>
          <w:sz w:val="24"/>
          <w:szCs w:val="24"/>
        </w:rPr>
        <w:t xml:space="preserve">[9] G. </w:t>
      </w:r>
      <w:proofErr w:type="spellStart"/>
      <w:r w:rsidRPr="00EA1100">
        <w:rPr>
          <w:rFonts w:ascii="Times New Roman" w:hAnsi="Times New Roman" w:cs="Times New Roman"/>
          <w:sz w:val="24"/>
          <w:szCs w:val="24"/>
        </w:rPr>
        <w:t>Ahdritz</w:t>
      </w:r>
      <w:proofErr w:type="spellEnd"/>
      <w:r w:rsidRPr="00EA1100">
        <w:rPr>
          <w:rFonts w:ascii="Times New Roman" w:hAnsi="Times New Roman" w:cs="Times New Roman"/>
          <w:sz w:val="24"/>
          <w:szCs w:val="24"/>
        </w:rPr>
        <w:t xml:space="preserve">, T. Qin, N. Vyas, B. Barak, and B. L. Edelman, “Distinguishing the knowable from the unknowable with language models,” in </w:t>
      </w:r>
      <w:r w:rsidRPr="00EA1100">
        <w:rPr>
          <w:rStyle w:val="Emphasis"/>
          <w:rFonts w:ascii="Times New Roman" w:hAnsi="Times New Roman" w:cs="Times New Roman"/>
          <w:sz w:val="24"/>
          <w:szCs w:val="24"/>
        </w:rPr>
        <w:t>Proc. 41st Int. Conf. Mach. Learn.</w:t>
      </w:r>
      <w:r w:rsidRPr="00EA1100">
        <w:rPr>
          <w:rFonts w:ascii="Times New Roman" w:hAnsi="Times New Roman" w:cs="Times New Roman"/>
          <w:sz w:val="24"/>
          <w:szCs w:val="24"/>
        </w:rPr>
        <w:t xml:space="preserve">, vol. 235, pp. 503–549, 2024. </w:t>
      </w:r>
    </w:p>
    <w:p w14:paraId="68D5C538" w14:textId="3AFB5806" w:rsidR="00EA42D9" w:rsidRPr="00EA1100" w:rsidRDefault="00AF0C0D" w:rsidP="00EA1100">
      <w:pPr>
        <w:jc w:val="both"/>
        <w:rPr>
          <w:rFonts w:ascii="Times New Roman" w:hAnsi="Times New Roman" w:cs="Times New Roman"/>
          <w:kern w:val="0"/>
          <w:sz w:val="24"/>
          <w:szCs w:val="24"/>
          <w:lang w:eastAsia="en-IN"/>
        </w:rPr>
      </w:pPr>
      <w:r w:rsidRPr="00EA1100">
        <w:rPr>
          <w:rFonts w:ascii="Times New Roman" w:hAnsi="Times New Roman" w:cs="Times New Roman"/>
          <w:sz w:val="24"/>
          <w:szCs w:val="24"/>
        </w:rPr>
        <w:t xml:space="preserve">[10] S. </w:t>
      </w:r>
      <w:proofErr w:type="spellStart"/>
      <w:r w:rsidRPr="00EA1100">
        <w:rPr>
          <w:rFonts w:ascii="Times New Roman" w:hAnsi="Times New Roman" w:cs="Times New Roman"/>
          <w:sz w:val="24"/>
          <w:szCs w:val="24"/>
        </w:rPr>
        <w:t>Ao</w:t>
      </w:r>
      <w:proofErr w:type="spellEnd"/>
      <w:r w:rsidRPr="00EA1100">
        <w:rPr>
          <w:rFonts w:ascii="Times New Roman" w:hAnsi="Times New Roman" w:cs="Times New Roman"/>
          <w:sz w:val="24"/>
          <w:szCs w:val="24"/>
        </w:rPr>
        <w:t xml:space="preserve">, S. </w:t>
      </w:r>
      <w:proofErr w:type="spellStart"/>
      <w:r w:rsidRPr="00EA1100">
        <w:rPr>
          <w:rFonts w:ascii="Times New Roman" w:hAnsi="Times New Roman" w:cs="Times New Roman"/>
          <w:sz w:val="24"/>
          <w:szCs w:val="24"/>
        </w:rPr>
        <w:t>Rueger</w:t>
      </w:r>
      <w:proofErr w:type="spellEnd"/>
      <w:r w:rsidRPr="00EA1100">
        <w:rPr>
          <w:rFonts w:ascii="Times New Roman" w:hAnsi="Times New Roman" w:cs="Times New Roman"/>
          <w:sz w:val="24"/>
          <w:szCs w:val="24"/>
        </w:rPr>
        <w:t xml:space="preserve">, and A. </w:t>
      </w:r>
      <w:proofErr w:type="spellStart"/>
      <w:r w:rsidRPr="00EA1100">
        <w:rPr>
          <w:rFonts w:ascii="Times New Roman" w:hAnsi="Times New Roman" w:cs="Times New Roman"/>
          <w:sz w:val="24"/>
          <w:szCs w:val="24"/>
        </w:rPr>
        <w:t>Siddharthan</w:t>
      </w:r>
      <w:proofErr w:type="spellEnd"/>
      <w:r w:rsidRPr="00EA1100">
        <w:rPr>
          <w:rFonts w:ascii="Times New Roman" w:hAnsi="Times New Roman" w:cs="Times New Roman"/>
          <w:sz w:val="24"/>
          <w:szCs w:val="24"/>
        </w:rPr>
        <w:t xml:space="preserve">, “CSS: Contrastive semantic similarities for uncertainty quantification of LLMs,” in </w:t>
      </w:r>
      <w:r w:rsidRPr="00EA1100">
        <w:rPr>
          <w:rStyle w:val="Emphasis"/>
          <w:rFonts w:ascii="Times New Roman" w:hAnsi="Times New Roman" w:cs="Times New Roman"/>
          <w:sz w:val="24"/>
          <w:szCs w:val="24"/>
        </w:rPr>
        <w:t xml:space="preserve">Proc. 40th Conf. Uncertainty </w:t>
      </w:r>
      <w:proofErr w:type="spellStart"/>
      <w:r w:rsidRPr="00EA1100">
        <w:rPr>
          <w:rStyle w:val="Emphasis"/>
          <w:rFonts w:ascii="Times New Roman" w:hAnsi="Times New Roman" w:cs="Times New Roman"/>
          <w:sz w:val="24"/>
          <w:szCs w:val="24"/>
        </w:rPr>
        <w:t>Artif</w:t>
      </w:r>
      <w:proofErr w:type="spellEnd"/>
      <w:r w:rsidRPr="00EA1100">
        <w:rPr>
          <w:rStyle w:val="Emphasis"/>
          <w:rFonts w:ascii="Times New Roman" w:hAnsi="Times New Roman" w:cs="Times New Roman"/>
          <w:sz w:val="24"/>
          <w:szCs w:val="24"/>
        </w:rPr>
        <w:t xml:space="preserve">. </w:t>
      </w:r>
      <w:proofErr w:type="spellStart"/>
      <w:r w:rsidRPr="00EA1100">
        <w:rPr>
          <w:rStyle w:val="Emphasis"/>
          <w:rFonts w:ascii="Times New Roman" w:hAnsi="Times New Roman" w:cs="Times New Roman"/>
          <w:sz w:val="24"/>
          <w:szCs w:val="24"/>
        </w:rPr>
        <w:t>Intell</w:t>
      </w:r>
      <w:proofErr w:type="spellEnd"/>
      <w:r w:rsidRPr="00EA1100">
        <w:rPr>
          <w:rStyle w:val="Emphasis"/>
          <w:rFonts w:ascii="Times New Roman" w:hAnsi="Times New Roman" w:cs="Times New Roman"/>
          <w:sz w:val="24"/>
          <w:szCs w:val="24"/>
        </w:rPr>
        <w:t>.</w:t>
      </w:r>
      <w:r w:rsidRPr="00EA1100">
        <w:rPr>
          <w:rFonts w:ascii="Times New Roman" w:hAnsi="Times New Roman" w:cs="Times New Roman"/>
          <w:sz w:val="24"/>
          <w:szCs w:val="24"/>
        </w:rPr>
        <w:t xml:space="preserve">, vol. 244, pp. 77–87, 2024. </w:t>
      </w:r>
    </w:p>
    <w:p w14:paraId="14FEB16A" w14:textId="77777777" w:rsidR="006801E4" w:rsidRPr="00EA42D9" w:rsidRDefault="006801E4" w:rsidP="00044F06">
      <w:pPr>
        <w:jc w:val="both"/>
        <w:rPr>
          <w:rFonts w:ascii="Times New Roman" w:hAnsi="Times New Roman" w:cs="Times New Roman"/>
          <w:sz w:val="24"/>
          <w:szCs w:val="24"/>
        </w:rPr>
      </w:pPr>
    </w:p>
    <w:sectPr w:rsidR="006801E4" w:rsidRPr="00EA42D9" w:rsidSect="00EA42D9">
      <w:pgSz w:w="11906" w:h="16838"/>
      <w:pgMar w:top="720" w:right="720" w:bottom="720" w:left="72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782B00"/>
    <w:multiLevelType w:val="multilevel"/>
    <w:tmpl w:val="C26C2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rQ0MTY3NjYxNLawMLBU0lEKTi0uzszPAykwrAUADF1K+SwAAAA="/>
  </w:docVars>
  <w:rsids>
    <w:rsidRoot w:val="00EA42D9"/>
    <w:rsid w:val="00044F06"/>
    <w:rsid w:val="001452E5"/>
    <w:rsid w:val="001A526F"/>
    <w:rsid w:val="002C6A72"/>
    <w:rsid w:val="006801E4"/>
    <w:rsid w:val="00726385"/>
    <w:rsid w:val="00750C7E"/>
    <w:rsid w:val="00840C57"/>
    <w:rsid w:val="009005F3"/>
    <w:rsid w:val="00AF0C0D"/>
    <w:rsid w:val="00CA0E99"/>
    <w:rsid w:val="00D84FE7"/>
    <w:rsid w:val="00DF51D3"/>
    <w:rsid w:val="00E00276"/>
    <w:rsid w:val="00EA1100"/>
    <w:rsid w:val="00EA42D9"/>
    <w:rsid w:val="00F40638"/>
    <w:rsid w:val="00FA5A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1085D"/>
  <w15:chartTrackingRefBased/>
  <w15:docId w15:val="{DF8B8C90-A9B9-4A60-9120-100B01E72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A42D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14:ligatures w14:val="none"/>
    </w:rPr>
  </w:style>
  <w:style w:type="paragraph" w:styleId="Heading2">
    <w:name w:val="heading 2"/>
    <w:basedOn w:val="Normal"/>
    <w:link w:val="Heading2Char"/>
    <w:uiPriority w:val="9"/>
    <w:qFormat/>
    <w:rsid w:val="00EA42D9"/>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link w:val="Heading3Char"/>
    <w:uiPriority w:val="9"/>
    <w:qFormat/>
    <w:rsid w:val="00EA42D9"/>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2D9"/>
    <w:rPr>
      <w:rFonts w:ascii="Times New Roman" w:eastAsia="Times New Roman" w:hAnsi="Times New Roman" w:cs="Times New Roman"/>
      <w:b/>
      <w:bCs/>
      <w:kern w:val="36"/>
      <w:sz w:val="48"/>
      <w:szCs w:val="48"/>
      <w:lang w:eastAsia="en-IN"/>
      <w14:ligatures w14:val="none"/>
    </w:rPr>
  </w:style>
  <w:style w:type="character" w:customStyle="1" w:styleId="Heading2Char">
    <w:name w:val="Heading 2 Char"/>
    <w:basedOn w:val="DefaultParagraphFont"/>
    <w:link w:val="Heading2"/>
    <w:uiPriority w:val="9"/>
    <w:rsid w:val="00EA42D9"/>
    <w:rPr>
      <w:rFonts w:ascii="Times New Roman" w:eastAsia="Times New Roman" w:hAnsi="Times New Roman" w:cs="Times New Roman"/>
      <w:b/>
      <w:bCs/>
      <w:kern w:val="0"/>
      <w:sz w:val="36"/>
      <w:szCs w:val="36"/>
      <w:lang w:eastAsia="en-IN"/>
      <w14:ligatures w14:val="none"/>
    </w:rPr>
  </w:style>
  <w:style w:type="character" w:customStyle="1" w:styleId="Heading3Char">
    <w:name w:val="Heading 3 Char"/>
    <w:basedOn w:val="DefaultParagraphFont"/>
    <w:link w:val="Heading3"/>
    <w:uiPriority w:val="9"/>
    <w:rsid w:val="00EA42D9"/>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unhideWhenUsed/>
    <w:rsid w:val="00EA42D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A42D9"/>
    <w:rPr>
      <w:b/>
      <w:bCs/>
    </w:rPr>
  </w:style>
  <w:style w:type="character" w:styleId="HTMLCode">
    <w:name w:val="HTML Code"/>
    <w:basedOn w:val="DefaultParagraphFont"/>
    <w:uiPriority w:val="99"/>
    <w:semiHidden/>
    <w:unhideWhenUsed/>
    <w:rsid w:val="00EA42D9"/>
    <w:rPr>
      <w:rFonts w:ascii="Courier New" w:eastAsia="Times New Roman" w:hAnsi="Courier New" w:cs="Courier New"/>
      <w:sz w:val="20"/>
      <w:szCs w:val="20"/>
    </w:rPr>
  </w:style>
  <w:style w:type="character" w:styleId="Emphasis">
    <w:name w:val="Emphasis"/>
    <w:basedOn w:val="DefaultParagraphFont"/>
    <w:uiPriority w:val="20"/>
    <w:qFormat/>
    <w:rsid w:val="00EA42D9"/>
    <w:rPr>
      <w:i/>
      <w:iCs/>
    </w:rPr>
  </w:style>
  <w:style w:type="table" w:styleId="TableGrid">
    <w:name w:val="Table Grid"/>
    <w:basedOn w:val="TableNormal"/>
    <w:uiPriority w:val="39"/>
    <w:rsid w:val="00044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26385"/>
    <w:pPr>
      <w:spacing w:after="200" w:line="240" w:lineRule="auto"/>
    </w:pPr>
    <w:rPr>
      <w:i/>
      <w:iCs/>
      <w:color w:val="44546A" w:themeColor="text2"/>
      <w:sz w:val="18"/>
      <w:szCs w:val="18"/>
    </w:rPr>
  </w:style>
  <w:style w:type="paragraph" w:customStyle="1" w:styleId="pdq2pgselectionanchorcontainer">
    <w:name w:val="pdq2pg_selectionanchorcontainer"/>
    <w:basedOn w:val="Normal"/>
    <w:rsid w:val="00E0027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336587">
      <w:bodyDiv w:val="1"/>
      <w:marLeft w:val="0"/>
      <w:marRight w:val="0"/>
      <w:marTop w:val="0"/>
      <w:marBottom w:val="0"/>
      <w:divBdr>
        <w:top w:val="none" w:sz="0" w:space="0" w:color="auto"/>
        <w:left w:val="none" w:sz="0" w:space="0" w:color="auto"/>
        <w:bottom w:val="none" w:sz="0" w:space="0" w:color="auto"/>
        <w:right w:val="none" w:sz="0" w:space="0" w:color="auto"/>
      </w:divBdr>
    </w:div>
    <w:div w:id="1026634627">
      <w:bodyDiv w:val="1"/>
      <w:marLeft w:val="0"/>
      <w:marRight w:val="0"/>
      <w:marTop w:val="0"/>
      <w:marBottom w:val="0"/>
      <w:divBdr>
        <w:top w:val="none" w:sz="0" w:space="0" w:color="auto"/>
        <w:left w:val="none" w:sz="0" w:space="0" w:color="auto"/>
        <w:bottom w:val="none" w:sz="0" w:space="0" w:color="auto"/>
        <w:right w:val="none" w:sz="0" w:space="0" w:color="auto"/>
      </w:divBdr>
    </w:div>
    <w:div w:id="1209536645">
      <w:bodyDiv w:val="1"/>
      <w:marLeft w:val="0"/>
      <w:marRight w:val="0"/>
      <w:marTop w:val="0"/>
      <w:marBottom w:val="0"/>
      <w:divBdr>
        <w:top w:val="none" w:sz="0" w:space="0" w:color="auto"/>
        <w:left w:val="none" w:sz="0" w:space="0" w:color="auto"/>
        <w:bottom w:val="none" w:sz="0" w:space="0" w:color="auto"/>
        <w:right w:val="none" w:sz="0" w:space="0" w:color="auto"/>
      </w:divBdr>
    </w:div>
    <w:div w:id="1780953578">
      <w:bodyDiv w:val="1"/>
      <w:marLeft w:val="0"/>
      <w:marRight w:val="0"/>
      <w:marTop w:val="0"/>
      <w:marBottom w:val="0"/>
      <w:divBdr>
        <w:top w:val="none" w:sz="0" w:space="0" w:color="auto"/>
        <w:left w:val="none" w:sz="0" w:space="0" w:color="auto"/>
        <w:bottom w:val="none" w:sz="0" w:space="0" w:color="auto"/>
        <w:right w:val="none" w:sz="0" w:space="0" w:color="auto"/>
      </w:divBdr>
    </w:div>
    <w:div w:id="210202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7</Pages>
  <Words>3700</Words>
  <Characters>21094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rutuja</dc:creator>
  <cp:keywords/>
  <dc:description/>
  <cp:lastModifiedBy>rutuja</cp:lastModifiedBy>
  <cp:revision>2</cp:revision>
  <dcterms:created xsi:type="dcterms:W3CDTF">2026-08-23T07:28:00Z</dcterms:created>
  <dcterms:modified xsi:type="dcterms:W3CDTF">2026-08-23T10:51:00Z</dcterms:modified>
</cp:coreProperties>
</file>