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5lu03svd0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Controlling Ownership Type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identifies the nature of controlling ownership (&gt;50% ownership or equivalent control), to support accurate tracing of ultimate ownership and influence.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5z2k41ay0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Individual(s)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by one individual or a small number of named individuals who together own more than 50% of the shares or voting rights, or otherwise exercise majority control.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Shareholding records show one or more individuals holding a combined stake &gt;50%.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Confirmation via PSC filings showing majority individual control.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Little to no evidence of corporate or institutional entities between the individuals and the company.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Directorship and shareholder registers reflect personal control without nominee layers.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Always verify whether named individuals act independently or jointly.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Investigate any power-sharing agreements or joint control mechanisms.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Be cautious of informal arrangements where legal control may not match de facto control.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xu5i47h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Family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by individuals who are members of the same family. Control may be held directly by family members or indirectly via a Family Investment Company (FIC) or family trust.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Individuals with &gt;50% combined ownership are clearly related (e.g. spouses, siblings, parent–child).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Repetition of surnames in shareholder and director registers.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PSC register shows multiple individuals with the same surname or connected addresses.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Presence of a company whose name includes family identifiers (e.g. “Smith Holdings Ltd”).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Use of FICs or family trusts as intermediate holding vehicles.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Confirm relationships using Companies House records, LinkedIn, obituaries, or press articles.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Trace any FICs or family trusts up to their controllers and note the family structure.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Control may be spread across generations, requiring attention to voting structures or class shares.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Don’t assume same surname = family; verify with corroborating evidence.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hffynmwgm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Private Equity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majority-owned or controlled by a private equity (PE) firm or PE-backed structure, either directly or through one or more layers of holding companies. The control is financial in nature, typically focused on value creation, restructuring, or eventual exit.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ultimate controlling party is a PE firm or fund (e.g., named LLP, GP/LP structure, or investment vehicle).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Ownership chain includes a holding company with a PE-backed structure (e.g. “XYZ Capital Holdings Ltd”).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 company group structure often follows a multi-entity hierarchy, typically including: HoldCo → MidCo → BidCo → OpCo.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company was recently acquired, demerged, or recapitalised — consistent with PE buyout patterns.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Evidence of financial restructuring, debt layering, or leveraged acquisition.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Presence of institutional nominee directors, investment managers, or fund administrators.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Follow the full corporate chain to identify the General Partner (GP) or managing entity of the fund.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Be alert to naming conventions such as TopCo, HoldCo, BidCo, MidCo, NewCo, FinCo, LuxCo, etc.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Review offshore records (e.g., Luxembourg, Jersey, Cayman) if the chain leads outside the UK.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Use PE firm portfolio listings, investment announcements, and regulatory filings to support attribution.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ln1yqdsl0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Listed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itself is publicly listed on a recognised stock exchange (e.g. LSE, AIM, NYSE, NASDAQ, etc.) and has no majority owner. Control is typically dispersed among institutional and retail shareholders, though significant shareholders may exist.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company has “PLC” in its name (for UK companies), or equivalent suffixes like “Inc.”, “AG”, “SA”.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Public filings confirm the company is listed — via Companies House, the exchange website, or financial news sources.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No single shareholder or entity holds &gt;50% of voting rights.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PSC register typically lists “no person with significant control” or names the company itself.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Investor relations pages and financial disclosures are publicly available.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Use exchange databases to confirm listing status (e.g., LSE for UK, EDGAR for US).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Shareholder analysis may still be valuable to understand major stakeholders (e.g., BlackRock, Vanguard).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Board structure and voting dynamics can still reveal de facto control by large investors or founders.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oxcjln42q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Listed Parent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privately held, but majority-controlled by a parent company that is publicly listed on a stock exchange. Control is exerted through the corporate group structure.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ownership path leads to a listed company, confirmed via public disclosures or filings.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immediate parent may be a private entity, but ultimately reports to a listed entity.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controlling parent may be domestic or international (e.g., “XYZ Holdings Inc.” listed in the US).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Group structure diagrams or PSC registers typically point to the listed parent or its subsidiaries.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Trace all intermediate entities up to the listed parent — look for “TopCo” or “Group Holdings” entities.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Search for the parent’s group structure in its annual reports or investor relations material.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Use financial statements and subsidiary listings to confirm control relationships.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This setup is common in multinational groups, where UK subsidiaries are wholly owned by global listed parents.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4fj4du10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Diverse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has a broad and fragmented ownership base, typically a mix of individuals, angel investors, and institutional or corporate shareholders. No single entity or individual holds &gt;50% of control.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Share registers or Companies House filings reveal dozens to hundreds of shareholders.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Ownership includes a mix of individuals and entities (e.g., founders, employees, angel investors, VC funds).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No single shareholder or connected group holds a majority stake (&gt;50%).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PSC register may list multiple individuals and corporate entities, each with &lt;50% control.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Company has undergone documented fundraising rounds, typically indicated by: new share issuances, Series designations, or capital increases in accounts.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Check equity dilution over time to confirm fragmentation — cap table analysis is key where available.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Investors may include funds, accelerators, or family offices with &lt;25% stakes.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Companies with this structure often use nominee services for administrative simplicity (e.g., Seedrs Nominees Ltd, Crowdcube Nominees Ltd).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De facto control may still exist via board influence, shareholder agreements, or super-voting rights — investigate further if needed.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hvrsdsklt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Employee Owned / EOT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by its employees, either directly or via an Employee Ownership Trust (EOT). The EOT typically holds more than 50% of the company’s shares on behalf of all employees collectively.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PSC register lists an Employee Ownership Trust as the controlling party, or lists individuals acting as EOT trustees.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Shareholding records show &gt;50% of shares held by an entity named something like “XYZ Employee Trust Ltd”.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company’s website or public communications describe it as employee-owned.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Articles of association and governance documents may reference employee representation and trust arrangements.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Founders or previous owners may retain minority stakes or sit on the board post-transition.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Confirm whether the trust is discretionary or fixed — this impacts how beneficiaries (employees) are treated.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Trustees often act as legal owners; actual control is exercised according to the trust deed for the benefit of employees.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UK EOTs benefit from specific tax incentives — may be registered as such with HMRC.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For operational control analysis, assess how the board and management are structured in relation to the trust.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tyjerz0ii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LLP (Limited Liability Partnership)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by an LLP, either directly or as part of a layered structure. LLPs are often used as flexible ownership vehicles where control is exercised collectively by members (partners), rather than shareholders.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PSC register lists a UK LLP as the controlling entity (e.g., “XYZ Capital LLP”).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Shareholding or ownership chain terminates in an LLP, often acting as a corporate member or holding vehicle.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LLP members are disclosed via the LLP’s own Companies House filings — control may be distributed across named individuals or corporate entities.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LLP often has a designated member structure and may not publish share capital data, unlike LTDs.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Common in private equity (GP entities), property structures, and professional services groups.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Review the LLP members register to determine who ultimately controls the partnership.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An LLP may act as a General Partner in a fund structure — look for fund-related terms or asset management roles.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Control may be shared among several members or concentrated in one.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In some cases, foreign LLP equivalents may appear in cross-border structures.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ajradq89d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Overseas Parent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by a foreign (non-UK) corporate parent, which holds &gt;50% of the shares or voting rights either directly or via intermediary holding companies.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PSC register names a non-UK corporate entity as the controlling person, or lists the UK company as being subject to foreign control.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Shareholding chain terminates in a foreign-incorporated company (e.g., “XYZ Holdings GmbH”, “ABC S.A.”).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UK filings may include a confirmation statement or accounts that reference being part of a group headed by an overseas company.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overseas parent may itself be listed or privately held.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Use international company registries, databases (e.g., OpenCorporates, EDGAR, SEDAR), or the parent’s own website to verify ownership and structure.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Ownership chains may pass through offshore jurisdictions before reaching the controlling overseas entity.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Parent company annual reports and global structure charts are often useful in identifying the control relationship.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Some filings may note the overseas parent explicitly as the “ultimate controlling party.”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pmzz9ws47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Overseas Investment / PE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by a non-UK investment firm or private equity vehicle, often through one or more intermediary holding companies.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PSC register or ownership chain includes a foreign investment firm, PE fund, or special purpose vehicle.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Controlling entity is incorporated in offshore or international jurisdictions (e.g., Cayman Islands, Luxembourg, Jersey, Delaware).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The immediate parent may be a holding company ultimately owned or controlled by an overseas GP/LP structure or investment fund.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Evidence of fund-style structuring with control clearly exercised from abroad.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Foreign PE firm may be named in press releases, transaction announcements, or investor materials.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Trace the corporate chain through intermediate jurisdictions to reach the ultimate fund manager or GP.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Cross-reference with public fund disclosures, offshore registries, or investor relations content.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Ownership is often layered, with control sitting at the fund or GP level.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Review transaction press releases and global deal databases for confirmation.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93np4wtki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Other / Special Structures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The company is controlled through non-standard or hybrid ownership models that don’t fit cleanly into the main categories. These structures may involve governments, charitable foundations, mutuals, cooperatives, or joint ventures.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Criteria: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Ownership or control is exercised by: Government bodies or sovereign wealth funds, Nonprofit foundations or trusts, Member-based cooperatives or mutuals, Joint ventures, or Special-purpose legal forms.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PSC register may show unusual entries (e.g., “This company is controlled by the Crown” or no PSC due to mutuality).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Articles of association or governance documents outline atypical control rights.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Tracing: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Pay close attention to the purpose, governance, and legal form of the controlling entity.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For joint ventures, check for control provisions in published contracts or announcements.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State-backed entities often have public registers or investment disclosures.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- Foundation ownership is often rooted in mission continuity or legacy protection, not profit extraction.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