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F172A"/>
          <w:sz w:val="26"/>
        </w:rPr>
        <w:t>D. Y. PATIL COLLEGE OF ENGINEERING AND TECHNOLOGY, KOLHAPUR</w:t>
        <w:br/>
      </w:r>
      <w:r>
        <w:rPr>
          <w:b/>
          <w:color w:val="475569"/>
          <w:sz w:val="20"/>
        </w:rPr>
        <w:t>(An Autonomous Institute)</w:t>
        <w:br/>
      </w:r>
      <w:r>
        <w:rPr>
          <w:b/>
          <w:color w:val="1E293B"/>
          <w:sz w:val="22"/>
        </w:rPr>
        <w:t>DEPARTMENT OF COMPUTER SCIENCE AND ENGINEERING</w:t>
      </w:r>
    </w:p>
    <w:p>
      <w:pPr>
        <w:spacing w:after="120"/>
        <w:jc w:val="center"/>
      </w:pPr>
      <w:r>
        <w:drawing>
          <wp:inline xmlns:a="http://schemas.openxmlformats.org/drawingml/2006/main" xmlns:pic="http://schemas.openxmlformats.org/drawingml/2006/picture">
            <wp:extent cx="1051560" cy="989930"/>
            <wp:docPr id="1" name="Picture 1"/>
            <wp:cNvGraphicFramePr>
              <a:graphicFrameLocks noChangeAspect="1"/>
            </wp:cNvGraphicFramePr>
            <a:graphic>
              <a:graphicData uri="http://schemas.openxmlformats.org/drawingml/2006/picture">
                <pic:pic>
                  <pic:nvPicPr>
                    <pic:cNvPr id="0" name="college_logo.jpg"/>
                    <pic:cNvPicPr/>
                  </pic:nvPicPr>
                  <pic:blipFill>
                    <a:blip r:embed="rId9"/>
                    <a:stretch>
                      <a:fillRect/>
                    </a:stretch>
                  </pic:blipFill>
                  <pic:spPr>
                    <a:xfrm>
                      <a:off x="0" y="0"/>
                      <a:ext cx="1051560" cy="989930"/>
                    </a:xfrm>
                    <a:prstGeom prst="rect"/>
                  </pic:spPr>
                </pic:pic>
              </a:graphicData>
            </a:graphic>
          </wp:inline>
        </w:drawing>
      </w:r>
    </w:p>
    <w:p>
      <w:pPr>
        <w:spacing w:after="120"/>
        <w:jc w:val="center"/>
      </w:pPr>
      <w:r>
        <w:rPr>
          <w:b/>
          <w:color w:val="64748B"/>
          <w:sz w:val="21"/>
        </w:rPr>
        <w:t>A MINI-PROJECT REPORT ON</w:t>
        <w:br/>
      </w:r>
      <w:r>
        <w:rPr>
          <w:b/>
          <w:color w:val="1E293B"/>
          <w:sz w:val="24"/>
        </w:rPr>
        <w:t>CLOUD COMPUTING</w:t>
        <w:br/>
      </w:r>
      <w:r>
        <w:rPr>
          <w:b/>
          <w:color w:val="1E3A8A"/>
          <w:sz w:val="30"/>
        </w:rPr>
        <w:t>CLOUD-BASED CYBERSECURITY</w:t>
        <w:br/>
        <w:t>RAG ASSISTANT</w:t>
      </w:r>
    </w:p>
    <w:p>
      <w:pPr>
        <w:spacing w:after="60"/>
        <w:jc w:val="center"/>
      </w:pPr>
      <w:r>
        <w:rPr>
          <w:b/>
          <w:sz w:val="21"/>
        </w:rPr>
        <w:t>Submitted by</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F1F5F9"/>
            <w:tcMar>
              <w:top w:w="40" w:type="dxa"/>
              <w:bottom w:w="4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sz w:val="18"/>
              </w:rPr>
              <w:t>Sr.</w:t>
            </w:r>
          </w:p>
        </w:tc>
        <w:tc>
          <w:tcPr>
            <w:tcW w:type="dxa" w:w="1872"/>
            <w:shd w:fill="F1F5F9"/>
            <w:tcMar>
              <w:top w:w="40" w:type="dxa"/>
              <w:bottom w:w="4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sz w:val="18"/>
              </w:rPr>
              <w:t>Roll No.</w:t>
            </w:r>
          </w:p>
        </w:tc>
        <w:tc>
          <w:tcPr>
            <w:tcW w:type="dxa" w:w="6048"/>
            <w:shd w:fill="F1F5F9"/>
            <w:tcMar>
              <w:top w:w="40" w:type="dxa"/>
              <w:bottom w:w="4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b/>
                <w:sz w:val="18"/>
              </w:rPr>
              <w:t>Student Name</w:t>
            </w:r>
          </w:p>
        </w:tc>
      </w:tr>
      <w:tr>
        <w:tc>
          <w:tcPr>
            <w:tcW w:type="dxa" w:w="115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1</w:t>
            </w:r>
          </w:p>
        </w:tc>
        <w:tc>
          <w:tcPr>
            <w:tcW w:type="dxa" w:w="187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107</w:t>
            </w:r>
          </w:p>
        </w:tc>
        <w:tc>
          <w:tcPr>
            <w:tcW w:type="dxa" w:w="6048"/>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sz w:val="18"/>
              </w:rPr>
              <w:t>Anaya Krishnat Jadhav</w:t>
            </w:r>
          </w:p>
        </w:tc>
      </w:tr>
      <w:tr>
        <w:tc>
          <w:tcPr>
            <w:tcW w:type="dxa" w:w="115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2</w:t>
            </w:r>
          </w:p>
        </w:tc>
        <w:tc>
          <w:tcPr>
            <w:tcW w:type="dxa" w:w="187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118</w:t>
            </w:r>
          </w:p>
        </w:tc>
        <w:tc>
          <w:tcPr>
            <w:tcW w:type="dxa" w:w="6048"/>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sz w:val="18"/>
              </w:rPr>
              <w:t>Rutuja Dhananjay Surywanshi</w:t>
            </w:r>
          </w:p>
        </w:tc>
      </w:tr>
      <w:tr>
        <w:tc>
          <w:tcPr>
            <w:tcW w:type="dxa" w:w="115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3</w:t>
            </w:r>
          </w:p>
        </w:tc>
        <w:tc>
          <w:tcPr>
            <w:tcW w:type="dxa" w:w="187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122</w:t>
            </w:r>
          </w:p>
        </w:tc>
        <w:tc>
          <w:tcPr>
            <w:tcW w:type="dxa" w:w="6048"/>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sz w:val="18"/>
              </w:rPr>
              <w:t>Faisal Arshad Attar</w:t>
            </w:r>
          </w:p>
        </w:tc>
      </w:tr>
      <w:tr>
        <w:tc>
          <w:tcPr>
            <w:tcW w:type="dxa" w:w="115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4</w:t>
            </w:r>
          </w:p>
        </w:tc>
        <w:tc>
          <w:tcPr>
            <w:tcW w:type="dxa" w:w="187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125</w:t>
            </w:r>
          </w:p>
        </w:tc>
        <w:tc>
          <w:tcPr>
            <w:tcW w:type="dxa" w:w="6048"/>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sz w:val="18"/>
              </w:rPr>
              <w:t>Sanket Sunil Patil</w:t>
            </w:r>
          </w:p>
        </w:tc>
      </w:tr>
    </w:tbl>
    <w:p>
      <w:pPr>
        <w:spacing w:after="60"/>
      </w:pPr>
    </w:p>
    <w:p>
      <w:pPr>
        <w:spacing w:after="100"/>
        <w:jc w:val="center"/>
      </w:pPr>
      <w:r>
        <w:rPr>
          <w:b/>
          <w:sz w:val="20"/>
        </w:rPr>
        <w:t>T.Y(CSE) Div : C</w:t>
      </w:r>
    </w:p>
    <w:p>
      <w:pPr>
        <w:spacing w:after="40"/>
        <w:jc w:val="center"/>
      </w:pPr>
      <w:r>
        <w:rPr>
          <w:sz w:val="19"/>
        </w:rPr>
        <w:t>Under the guidance of</w:t>
        <w:br/>
      </w:r>
      <w:r>
        <w:rPr>
          <w:b/>
          <w:sz w:val="22"/>
        </w:rPr>
        <w:t>Mrs. Aditee A Salokhe</w:t>
        <w:br/>
      </w:r>
      <w:r>
        <w:rPr>
          <w:b/>
          <w:sz w:val="20"/>
        </w:rPr>
        <w:t>Department of Computer Science and Engineering</w:t>
      </w:r>
    </w:p>
    <w:p>
      <w:pPr>
        <w:spacing w:before="120"/>
        <w:jc w:val="center"/>
      </w:pPr>
      <w:r>
        <w:rPr>
          <w:b/>
          <w:sz w:val="20"/>
        </w:rPr>
        <w:t>Academic Year: 2026-27</w:t>
      </w:r>
    </w:p>
    <w:p>
      <w:r>
        <w:br w:type="page"/>
      </w:r>
    </w:p>
    <w:p>
      <w:pPr>
        <w:spacing w:after="120"/>
        <w:jc w:val="center"/>
      </w:pPr>
      <w:r>
        <w:rPr>
          <w:b/>
          <w:sz w:val="26"/>
        </w:rPr>
        <w:t>D. Y. PATIL COLLEGE OF ENGINEERING AND TECHNOLOGY, KOLHAPUR</w:t>
        <w:br/>
      </w:r>
      <w:r>
        <w:rPr>
          <w:b/>
          <w:sz w:val="22"/>
        </w:rPr>
        <w:t>Department of Computer Science and Engineering</w:t>
        <w:br/>
      </w:r>
    </w:p>
    <w:p>
      <w:pPr>
        <w:spacing w:after="120"/>
        <w:jc w:val="center"/>
      </w:pPr>
      <w:r>
        <w:drawing>
          <wp:inline xmlns:a="http://schemas.openxmlformats.org/drawingml/2006/main" xmlns:pic="http://schemas.openxmlformats.org/drawingml/2006/picture">
            <wp:extent cx="1005840" cy="946890"/>
            <wp:docPr id="2" name="Picture 2"/>
            <wp:cNvGraphicFramePr>
              <a:graphicFrameLocks noChangeAspect="1"/>
            </wp:cNvGraphicFramePr>
            <a:graphic>
              <a:graphicData uri="http://schemas.openxmlformats.org/drawingml/2006/picture">
                <pic:pic>
                  <pic:nvPicPr>
                    <pic:cNvPr id="0" name="college_logo.jpg"/>
                    <pic:cNvPicPr/>
                  </pic:nvPicPr>
                  <pic:blipFill>
                    <a:blip r:embed="rId9"/>
                    <a:stretch>
                      <a:fillRect/>
                    </a:stretch>
                  </pic:blipFill>
                  <pic:spPr>
                    <a:xfrm>
                      <a:off x="0" y="0"/>
                      <a:ext cx="1005840" cy="946890"/>
                    </a:xfrm>
                    <a:prstGeom prst="rect"/>
                  </pic:spPr>
                </pic:pic>
              </a:graphicData>
            </a:graphic>
          </wp:inline>
        </w:drawing>
      </w:r>
    </w:p>
    <w:p>
      <w:pPr>
        <w:spacing w:after="120"/>
        <w:jc w:val="center"/>
      </w:pPr>
      <w:r>
        <w:rPr>
          <w:b/>
          <w:color w:val="0F172A"/>
          <w:sz w:val="28"/>
        </w:rPr>
        <w:t>CERTIFICATE</w:t>
      </w:r>
    </w:p>
    <w:p>
      <w:pPr>
        <w:spacing w:line="276" w:lineRule="auto" w:after="120"/>
      </w:pPr>
      <w:r>
        <w:t xml:space="preserve">This is to certify that the mini-project work entitled </w:t>
      </w:r>
      <w:r>
        <w:rPr>
          <w:b/>
        </w:rPr>
        <w:t>"CLOUD-BASED CYBERSECURITY RAG ASSISTANT"</w:t>
      </w:r>
      <w:r>
        <w:t xml:space="preserve"> has been successfully carried out by the following students of the Department of Computer Science and Engineering, D. Y. Patil College of Engineering and Technology, Kolhapur, during the academic year </w:t>
      </w:r>
      <w:r>
        <w:rPr>
          <w:b/>
        </w:rPr>
        <w:t>2026 – 2027:</w:t>
        <w:br/>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F1F5F9"/>
            <w:tcMar>
              <w:top w:w="45" w:type="dxa"/>
              <w:bottom w:w="45"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sz w:val="18"/>
              </w:rPr>
              <w:t>Sr.</w:t>
            </w:r>
          </w:p>
        </w:tc>
        <w:tc>
          <w:tcPr>
            <w:tcW w:type="dxa" w:w="1872"/>
            <w:shd w:fill="F1F5F9"/>
            <w:tcMar>
              <w:top w:w="45" w:type="dxa"/>
              <w:bottom w:w="45"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sz w:val="18"/>
              </w:rPr>
              <w:t>Roll No.</w:t>
            </w:r>
          </w:p>
        </w:tc>
        <w:tc>
          <w:tcPr>
            <w:tcW w:type="dxa" w:w="6048"/>
            <w:shd w:fill="F1F5F9"/>
            <w:tcMar>
              <w:top w:w="45" w:type="dxa"/>
              <w:bottom w:w="45"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b/>
                <w:sz w:val="18"/>
              </w:rPr>
              <w:t>Student Name</w:t>
            </w:r>
          </w:p>
        </w:tc>
      </w:tr>
      <w:tr>
        <w:tc>
          <w:tcPr>
            <w:tcW w:type="dxa" w:w="115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1</w:t>
            </w:r>
          </w:p>
        </w:tc>
        <w:tc>
          <w:tcPr>
            <w:tcW w:type="dxa" w:w="187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107</w:t>
            </w:r>
          </w:p>
        </w:tc>
        <w:tc>
          <w:tcPr>
            <w:tcW w:type="dxa" w:w="6048"/>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sz w:val="18"/>
              </w:rPr>
              <w:t>Anaya Krishnat Jadhav</w:t>
            </w:r>
          </w:p>
        </w:tc>
      </w:tr>
      <w:tr>
        <w:tc>
          <w:tcPr>
            <w:tcW w:type="dxa" w:w="115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2</w:t>
            </w:r>
          </w:p>
        </w:tc>
        <w:tc>
          <w:tcPr>
            <w:tcW w:type="dxa" w:w="187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118</w:t>
            </w:r>
          </w:p>
        </w:tc>
        <w:tc>
          <w:tcPr>
            <w:tcW w:type="dxa" w:w="6048"/>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sz w:val="18"/>
              </w:rPr>
              <w:t>Rutuja Dhananjay Surywanshi</w:t>
            </w:r>
          </w:p>
        </w:tc>
      </w:tr>
      <w:tr>
        <w:tc>
          <w:tcPr>
            <w:tcW w:type="dxa" w:w="115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3</w:t>
            </w:r>
          </w:p>
        </w:tc>
        <w:tc>
          <w:tcPr>
            <w:tcW w:type="dxa" w:w="187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122</w:t>
            </w:r>
          </w:p>
        </w:tc>
        <w:tc>
          <w:tcPr>
            <w:tcW w:type="dxa" w:w="6048"/>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sz w:val="18"/>
              </w:rPr>
              <w:t>Faisal Arshad Attar</w:t>
            </w:r>
          </w:p>
        </w:tc>
      </w:tr>
      <w:tr>
        <w:tc>
          <w:tcPr>
            <w:tcW w:type="dxa" w:w="115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4</w:t>
            </w:r>
          </w:p>
        </w:tc>
        <w:tc>
          <w:tcPr>
            <w:tcW w:type="dxa" w:w="1872"/>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125</w:t>
            </w:r>
          </w:p>
        </w:tc>
        <w:tc>
          <w:tcPr>
            <w:tcW w:type="dxa" w:w="6048"/>
            <w:tcMar>
              <w:top w:w="35" w:type="dxa"/>
              <w:bottom w:w="35"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sz w:val="18"/>
              </w:rPr>
              <w:t>Sanket Sunil Patil</w:t>
            </w:r>
          </w:p>
        </w:tc>
      </w:tr>
    </w:tbl>
    <w:p>
      <w:pPr>
        <w:spacing w:after="60"/>
      </w:pPr>
    </w:p>
    <w:p>
      <w:pPr>
        <w:spacing w:line="276" w:lineRule="auto" w:after="280"/>
      </w:pPr>
      <w:r>
        <w:t>The mini-project report is submitted in partial fulfilment of the requirements for the Cloud Computing course and has been reviewed and approved for internal assessment.</w:t>
      </w:r>
    </w:p>
    <w:tbl>
      <w:tblPr>
        <w:tblW w:type="auto" w:w="0"/>
        <w:jc w:val="center"/>
        <w:tblLayout w:type="fixed"/>
        <w:tblLook w:firstColumn="1" w:firstRow="1" w:lastColumn="0" w:lastRow="0" w:noHBand="0" w:noVBand="1" w:val="04A0"/>
      </w:tblPr>
      <w:tblGrid>
        <w:gridCol w:w="3120"/>
        <w:gridCol w:w="3120"/>
        <w:gridCol w:w="3120"/>
      </w:tblGrid>
      <w:tr>
        <w:tc>
          <w:tcPr>
            <w:tcW w:type="dxa" w:w="3096"/>
            <w:tcBorders>
              <w:top w:val="single" w:sz="4" w:space="0" w:color="FFFFFF"/>
              <w:left w:val="single" w:sz="4" w:space="0" w:color="FFFFFF"/>
              <w:bottom w:val="single" w:sz="4" w:space="0" w:color="FFFFFF"/>
              <w:right w:val="single" w:sz="4" w:space="0" w:color="FFFFFF"/>
            </w:tcBorders>
          </w:tcPr>
          <w:p>
            <w:pPr>
              <w:spacing w:line="276" w:lineRule="auto"/>
              <w:jc w:val="left"/>
            </w:pPr>
            <w:r>
              <w:rPr>
                <w:b/>
                <w:sz w:val="19"/>
              </w:rPr>
              <w:t>_________________________</w:t>
              <w:br/>
            </w:r>
            <w:r>
              <w:rPr>
                <w:b/>
                <w:sz w:val="19"/>
              </w:rPr>
              <w:t>Mrs. Aditee A. Salokhe</w:t>
              <w:br/>
            </w:r>
            <w:r>
              <w:rPr>
                <w:sz w:val="19"/>
              </w:rPr>
              <w:t>Course Coordinator / Guide</w:t>
              <w:br/>
              <w:t>Department of CSE</w:t>
            </w:r>
          </w:p>
        </w:tc>
        <w:tc>
          <w:tcPr>
            <w:tcW w:type="dxa" w:w="3096"/>
            <w:tcBorders>
              <w:top w:val="single" w:sz="4" w:space="0" w:color="FFFFFF"/>
              <w:left w:val="single" w:sz="4" w:space="0" w:color="FFFFFF"/>
              <w:bottom w:val="single" w:sz="4" w:space="0" w:color="FFFFFF"/>
              <w:right w:val="single" w:sz="4" w:space="0" w:color="FFFFFF"/>
            </w:tcBorders>
          </w:tcPr>
          <w:p>
            <w:pPr>
              <w:spacing w:line="276" w:lineRule="auto"/>
              <w:jc w:val="center"/>
            </w:pPr>
            <w:r>
              <w:rPr>
                <w:b/>
                <w:sz w:val="19"/>
              </w:rPr>
              <w:t>_________________________</w:t>
              <w:br/>
            </w:r>
            <w:r>
              <w:rPr>
                <w:b/>
                <w:sz w:val="19"/>
              </w:rPr>
              <w:t>Dr. R. J. Dhanal</w:t>
              <w:br/>
            </w:r>
            <w:r>
              <w:rPr>
                <w:sz w:val="19"/>
              </w:rPr>
              <w:t>Head of the Department</w:t>
              <w:br/>
              <w:t>Department of CSE</w:t>
            </w:r>
          </w:p>
        </w:tc>
        <w:tc>
          <w:tcPr>
            <w:tcW w:type="dxa" w:w="3168"/>
            <w:tcBorders>
              <w:top w:val="single" w:sz="4" w:space="0" w:color="FFFFFF"/>
              <w:left w:val="single" w:sz="4" w:space="0" w:color="FFFFFF"/>
              <w:bottom w:val="single" w:sz="4" w:space="0" w:color="FFFFFF"/>
              <w:right w:val="single" w:sz="4" w:space="0" w:color="FFFFFF"/>
            </w:tcBorders>
          </w:tcPr>
          <w:p>
            <w:pPr>
              <w:spacing w:line="276" w:lineRule="auto"/>
              <w:jc w:val="right"/>
            </w:pPr>
            <w:r>
              <w:rPr>
                <w:b/>
                <w:sz w:val="19"/>
              </w:rPr>
              <w:t>_________________________</w:t>
              <w:br/>
            </w:r>
            <w:r>
              <w:rPr>
                <w:b/>
                <w:sz w:val="19"/>
              </w:rPr>
              <w:t>Dr. Sanjay S. Pawar</w:t>
              <w:br/>
            </w:r>
            <w:r>
              <w:rPr>
                <w:sz w:val="19"/>
              </w:rPr>
              <w:t>Principal</w:t>
              <w:br/>
              <w:t>D. Y. Patil College of Engineering</w:t>
              <w:br/>
              <w:t>and Technology, Kolhapur</w:t>
            </w:r>
          </w:p>
        </w:tc>
      </w:tr>
      <w:tr>
        <w:tc>
          <w:tcPr>
            <w:tcW w:type="dxa" w:w="3096"/>
            <w:tcBorders>
              <w:top w:val="single" w:sz="4" w:space="0" w:color="FFFFFF"/>
              <w:left w:val="single" w:sz="4" w:space="0" w:color="FFFFFF"/>
              <w:bottom w:val="single" w:sz="4" w:space="0" w:color="FFFFFF"/>
              <w:right w:val="single" w:sz="4" w:space="0" w:color="FFFFFF"/>
            </w:tcBorders>
          </w:tcPr>
          <w:p>
            <w:pPr>
              <w:spacing w:line="276" w:lineRule="auto"/>
              <w:jc w:val="left"/>
            </w:pPr>
            <w:r>
              <w:rPr>
                <w:sz w:val="19"/>
              </w:rPr>
              <w:br/>
              <w:t>Date: ____________________</w:t>
              <w:br/>
              <w:t>Place: Kolhapur</w:t>
            </w:r>
          </w:p>
        </w:tc>
        <w:tc>
          <w:tcPr>
            <w:tcW w:type="dxa" w:w="3096"/>
            <w:tcBorders>
              <w:top w:val="single" w:sz="4" w:space="0" w:color="FFFFFF"/>
              <w:left w:val="single" w:sz="4" w:space="0" w:color="FFFFFF"/>
              <w:bottom w:val="single" w:sz="4" w:space="0" w:color="FFFFFF"/>
              <w:right w:val="single" w:sz="4" w:space="0" w:color="FFFFFF"/>
            </w:tcBorders>
          </w:tcPr>
          <w:p/>
        </w:tc>
        <w:tc>
          <w:tcPr>
            <w:tcW w:type="dxa" w:w="3168"/>
            <w:tcBorders>
              <w:top w:val="single" w:sz="4" w:space="0" w:color="FFFFFF"/>
              <w:left w:val="single" w:sz="4" w:space="0" w:color="FFFFFF"/>
              <w:bottom w:val="single" w:sz="4" w:space="0" w:color="FFFFFF"/>
              <w:right w:val="single" w:sz="4" w:space="0" w:color="FFFFFF"/>
            </w:tcBorders>
          </w:tcPr>
          <w:p/>
        </w:tc>
      </w:tr>
    </w:tbl>
    <w:p>
      <w:r>
        <w:br w:type="page"/>
      </w:r>
    </w:p>
    <w:p>
      <w:pPr>
        <w:sectPr>
          <w:pgSz w:w="12240" w:h="15840"/>
          <w:pgMar w:top="1152" w:right="1440" w:bottom="1152" w:left="1440" w:header="720" w:footer="720" w:gutter="0"/>
          <w:cols w:space="720"/>
          <w:docGrid w:linePitch="360"/>
        </w:sectPr>
      </w:pPr>
    </w:p>
    <w:p>
      <w:pPr>
        <w:spacing w:after="120"/>
        <w:jc w:val="center"/>
      </w:pPr>
      <w:r>
        <w:rPr>
          <w:b/>
          <w:color w:val="1E3A8A"/>
          <w:sz w:val="28"/>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E2E8F0"/>
            <w:tcMar>
              <w:top w:w="40" w:type="dxa"/>
              <w:bottom w:w="4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sz w:val="18"/>
              </w:rPr>
              <w:t>Chapter</w:t>
            </w:r>
          </w:p>
        </w:tc>
        <w:tc>
          <w:tcPr>
            <w:tcW w:type="dxa" w:w="6336"/>
            <w:shd w:fill="E2E8F0"/>
            <w:tcMar>
              <w:top w:w="40" w:type="dxa"/>
              <w:bottom w:w="4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sz w:val="18"/>
              </w:rPr>
              <w:t>Topic / Title</w:t>
            </w:r>
          </w:p>
        </w:tc>
        <w:tc>
          <w:tcPr>
            <w:tcW w:type="dxa" w:w="1584"/>
            <w:shd w:fill="E2E8F0"/>
            <w:tcMar>
              <w:top w:w="40" w:type="dxa"/>
              <w:bottom w:w="4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sz w:val="18"/>
              </w:rPr>
              <w:t>Page No.</w:t>
            </w:r>
          </w:p>
        </w:tc>
      </w:tr>
      <w:tr>
        <w:tc>
          <w:tcPr>
            <w:tcW w:type="dxa" w:w="1440"/>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1</w:t>
            </w:r>
          </w:p>
        </w:tc>
        <w:tc>
          <w:tcPr>
            <w:tcW w:type="dxa" w:w="6336"/>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b/>
                <w:sz w:val="18"/>
              </w:rPr>
              <w:t>Introduction &amp; Background</w:t>
            </w:r>
          </w:p>
        </w:tc>
        <w:tc>
          <w:tcPr>
            <w:tcW w:type="dxa" w:w="1584"/>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4</w:t>
            </w:r>
          </w:p>
        </w:tc>
      </w:tr>
      <w:tr>
        <w:tc>
          <w:tcPr>
            <w:tcW w:type="dxa" w:w="1440"/>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2</w:t>
            </w:r>
          </w:p>
        </w:tc>
        <w:tc>
          <w:tcPr>
            <w:tcW w:type="dxa" w:w="6336"/>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b/>
                <w:sz w:val="18"/>
              </w:rPr>
              <w:t>Problem Definition, Scope &amp; Objectives</w:t>
            </w:r>
          </w:p>
        </w:tc>
        <w:tc>
          <w:tcPr>
            <w:tcW w:type="dxa" w:w="1584"/>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5</w:t>
            </w:r>
          </w:p>
        </w:tc>
      </w:tr>
      <w:tr>
        <w:tc>
          <w:tcPr>
            <w:tcW w:type="dxa" w:w="1440"/>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3</w:t>
            </w:r>
          </w:p>
        </w:tc>
        <w:tc>
          <w:tcPr>
            <w:tcW w:type="dxa" w:w="6336"/>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b/>
                <w:sz w:val="18"/>
              </w:rPr>
              <w:t>Cloud-Based Design &amp; System Architecture</w:t>
            </w:r>
          </w:p>
        </w:tc>
        <w:tc>
          <w:tcPr>
            <w:tcW w:type="dxa" w:w="1584"/>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6</w:t>
            </w:r>
          </w:p>
        </w:tc>
      </w:tr>
      <w:tr>
        <w:tc>
          <w:tcPr>
            <w:tcW w:type="dxa" w:w="1440"/>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4</w:t>
            </w:r>
          </w:p>
        </w:tc>
        <w:tc>
          <w:tcPr>
            <w:tcW w:type="dxa" w:w="6336"/>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b/>
                <w:sz w:val="18"/>
              </w:rPr>
              <w:t>Implementation &amp; User Interface</w:t>
            </w:r>
          </w:p>
        </w:tc>
        <w:tc>
          <w:tcPr>
            <w:tcW w:type="dxa" w:w="1584"/>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7</w:t>
            </w:r>
          </w:p>
        </w:tc>
      </w:tr>
      <w:tr>
        <w:tc>
          <w:tcPr>
            <w:tcW w:type="dxa" w:w="1440"/>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5</w:t>
            </w:r>
          </w:p>
        </w:tc>
        <w:tc>
          <w:tcPr>
            <w:tcW w:type="dxa" w:w="6336"/>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b/>
                <w:sz w:val="18"/>
              </w:rPr>
              <w:t>Testing, Results &amp; Experimental Evaluation</w:t>
            </w:r>
          </w:p>
        </w:tc>
        <w:tc>
          <w:tcPr>
            <w:tcW w:type="dxa" w:w="1584"/>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8</w:t>
            </w:r>
          </w:p>
        </w:tc>
      </w:tr>
      <w:tr>
        <w:tc>
          <w:tcPr>
            <w:tcW w:type="dxa" w:w="1440"/>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6</w:t>
            </w:r>
          </w:p>
        </w:tc>
        <w:tc>
          <w:tcPr>
            <w:tcW w:type="dxa" w:w="6336"/>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b/>
                <w:sz w:val="18"/>
              </w:rPr>
              <w:t>Conclusion &amp; Future Scope</w:t>
            </w:r>
          </w:p>
        </w:tc>
        <w:tc>
          <w:tcPr>
            <w:tcW w:type="dxa" w:w="1584"/>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9</w:t>
            </w:r>
          </w:p>
        </w:tc>
      </w:tr>
      <w:tr>
        <w:tc>
          <w:tcPr>
            <w:tcW w:type="dxa" w:w="1440"/>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7</w:t>
            </w:r>
          </w:p>
        </w:tc>
        <w:tc>
          <w:tcPr>
            <w:tcW w:type="dxa" w:w="6336"/>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left"/>
            </w:pPr>
            <w:r>
              <w:rPr>
                <w:b/>
                <w:sz w:val="18"/>
              </w:rPr>
              <w:t>References &amp; Technical Appendix</w:t>
            </w:r>
          </w:p>
        </w:tc>
        <w:tc>
          <w:tcPr>
            <w:tcW w:type="dxa" w:w="1584"/>
            <w:tcMar>
              <w:top w:w="40" w:type="dxa"/>
              <w:bottom w:w="4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8"/>
              </w:rPr>
              <w:t>10</w:t>
            </w:r>
          </w:p>
        </w:tc>
      </w:tr>
    </w:tbl>
    <w:p>
      <w:pPr>
        <w:spacing w:before="240" w:after="80"/>
      </w:pPr>
      <w:r>
        <w:rPr>
          <w:b/>
          <w:sz w:val="21"/>
        </w:rPr>
        <w:t>LIST OF FIGURES AND TABLES</w:t>
      </w:r>
    </w:p>
    <w:p>
      <w:pPr>
        <w:spacing w:after="50"/>
      </w:pPr>
      <w:r>
        <w:rPr>
          <w:b/>
        </w:rPr>
        <w:t xml:space="preserve">• </w:t>
      </w:r>
      <w:r>
        <w:t>Figure 3.1: Cloud-Native Microservices Architecture &amp; RAG Investigation Pipeline (Page 6)</w:t>
      </w:r>
    </w:p>
    <w:p>
      <w:pPr>
        <w:spacing w:after="50"/>
      </w:pPr>
      <w:r>
        <w:rPr>
          <w:b/>
        </w:rPr>
        <w:t xml:space="preserve">• </w:t>
      </w:r>
      <w:r>
        <w:t>Table 3.1: Cloud Microservice Architecture &amp; Component Specifications (Page 6)</w:t>
      </w:r>
    </w:p>
    <w:p>
      <w:pPr>
        <w:spacing w:after="50"/>
      </w:pPr>
      <w:r>
        <w:rPr>
          <w:b/>
        </w:rPr>
        <w:t xml:space="preserve">• </w:t>
      </w:r>
      <w:r>
        <w:t>Figure 4.1: Live SOC Incident Radar &amp; Investigation Assistant with Grounded Citations (Page 7)</w:t>
      </w:r>
    </w:p>
    <w:p>
      <w:pPr>
        <w:spacing w:after="50"/>
      </w:pPr>
      <w:r>
        <w:rPr>
          <w:b/>
        </w:rPr>
        <w:t xml:space="preserve">• </w:t>
      </w:r>
      <w:r>
        <w:t>Figure 5.1: Empirical Evaluation Dashboard &amp; Grounding Benchmark Telemetry (Page 8)</w:t>
      </w:r>
    </w:p>
    <w:p>
      <w:pPr>
        <w:spacing w:after="50"/>
      </w:pPr>
      <w:r>
        <w:rPr>
          <w:b/>
        </w:rPr>
        <w:t xml:space="preserve">• </w:t>
      </w:r>
      <w:r>
        <w:t>Table 5.1: Empirical Detection &amp; RAG Retrieval Benchmark Evaluation Results (Page 8)</w:t>
      </w:r>
    </w:p>
    <w:p>
      <w:r>
        <w:br w:type="page"/>
      </w:r>
    </w:p>
    <w:p>
      <w:pPr>
        <w:spacing w:after="80"/>
      </w:pPr>
      <w:r>
        <w:rPr>
          <w:b/>
          <w:color w:val="1E3A8A"/>
          <w:sz w:val="26"/>
        </w:rPr>
        <w:t>1. INTRODUCTION</w:t>
      </w:r>
    </w:p>
    <w:p>
      <w:pPr>
        <w:spacing w:after="40"/>
      </w:pPr>
      <w:r>
        <w:rPr>
          <w:b/>
          <w:sz w:val="21"/>
        </w:rPr>
        <w:t>1.1 Background and Practical Need</w:t>
      </w:r>
    </w:p>
    <w:p>
      <w:pPr>
        <w:jc w:val="both"/>
      </w:pPr>
      <w:r>
        <w:t>Modern enterprise Security Operations Centers (SOCs) are overwhelmed with thousands of security telemetry alerts daily. Traditional Security Information and Event Management (SIEM) systems detect basic threshold anomalies (such as 50 failed SSH logins from a single external IP address within two minutes), but they stop short of performing comprehensive incident triage. Security analysts must manually sift through disparate system logs to ascertain critical breach context: Did any subsequent login attempt succeed? Did the adversary execute unauthorized commands or escalate privileges using sudo? Which NIST SP 800-61 incident response procedures apply, and what immediate firewall containment actions must be executed? This manual investigation bottleneck severely increases Mean Time to Detect (MTTD) and Mean Time to Respond (MTTR).</w:t>
      </w:r>
    </w:p>
    <w:p>
      <w:pPr>
        <w:spacing w:after="40"/>
      </w:pPr>
      <w:r>
        <w:rPr>
          <w:b/>
          <w:sz w:val="21"/>
        </w:rPr>
        <w:t>1.2 What is Retrieval-Augmented Generation (RAG) in Cybersecurity?</w:t>
      </w:r>
    </w:p>
    <w:p>
      <w:pPr>
        <w:jc w:val="both"/>
      </w:pPr>
      <w:r>
        <w:t>Standard Large Language Models (LLMs) suffer from severe hallucinations when answering security queries because they lack direct access to proprietary audit logs and cannot verify factual claims. In forensic environments, a fabricated IP address or non-existent event can lead to catastrophic misdiagnoses. Retrieval-Augmented Generation (RAG) bridges this fundamental gap by combining dense vector semantic search (using SentenceTransformers and ChromaDB) and sparse BM25 lexical search with LLM reasoning. Rather than generating responses from ungrounded parametric memory, the assistant dynamically retrieves verifiable log excerpts, MITRE ATT&amp;CK techniques, and NIST playbooks, injecting them as hard evidence boundaries into the reasoning context.</w:t>
      </w:r>
    </w:p>
    <w:p>
      <w:pPr>
        <w:spacing w:after="40"/>
      </w:pPr>
      <w:r>
        <w:rPr>
          <w:b/>
          <w:sz w:val="21"/>
        </w:rPr>
        <w:t>1.3 Traditional SIEM &amp; Generic Chatbots vs. Evidence-Grounded Cyber RAG</w:t>
      </w:r>
    </w:p>
    <w:p>
      <w:pPr>
        <w:jc w:val="both"/>
      </w:pPr>
      <w:r>
        <w:t>Traditional SIEM systems provide raw threshold notifications without actionable contextual synthesis. Conversely, generic chatbots generate persuasive but factually unfounded hypotheses. Our Cyber RAG architecture enforces strict evidence grounding: every forensic claim is tied directly to verified log chunks, timestamps, and line numbers. The assistant cross-references rule violations with retrieved logs to confirm whether multi-stage intrusions occurred (e.g., verifying if 50 failed attempts culminated in an Accepted password event), reducing LLM hallucinations by an empirical factor of 8.4x.</w:t>
      </w:r>
    </w:p>
    <w:p>
      <w:pPr>
        <w:spacing w:after="40"/>
      </w:pPr>
      <w:r>
        <w:rPr>
          <w:b/>
          <w:sz w:val="21"/>
        </w:rPr>
        <w:t>1.4 Real-World Benefits and Cloud Syllabus Mapping</w:t>
      </w:r>
    </w:p>
    <w:p>
      <w:pPr>
        <w:jc w:val="both"/>
      </w:pPr>
      <w:r>
        <w:t>This project operationalizes key Third-Year Cloud Computing syllabus units: Unit 1: Cloud Basics (decoupled client-server RESTful FastAPI backend and React frontend), Unit 2: Virtualization (OCI Docker containers isolating runtimes from persistent storage), Unit 3: Cloud-Native (production Kubernetes Deployment, Service, and Ingress manifests with rolling updates and readiness probes), Unit 4: Cloud Deployment (automated CI/CD with GitHub Actions), Unit 5: Cloud Security (OAuth2/JWT analyst/admin RBAC and automated regex PII masking), and Unit 6: Future of Cloud (AIOps, dense-sparse hybrid vector search, and evidence-grounded GenAI automation).</w:t>
      </w:r>
    </w:p>
    <w:p>
      <w:r>
        <w:br w:type="page"/>
      </w:r>
    </w:p>
    <w:p>
      <w:pPr>
        <w:spacing w:after="80"/>
      </w:pPr>
      <w:r>
        <w:rPr>
          <w:b/>
          <w:color w:val="1E3A8A"/>
          <w:sz w:val="26"/>
        </w:rPr>
        <w:t>2. PROBLEM DEFINITION &amp; OBJECTIVES</w:t>
      </w:r>
    </w:p>
    <w:p>
      <w:pPr>
        <w:spacing w:after="40"/>
      </w:pPr>
      <w:r>
        <w:rPr>
          <w:b/>
          <w:sz w:val="21"/>
        </w:rPr>
        <w:t>2.1 Problem Definition</w:t>
      </w:r>
    </w:p>
    <w:p>
      <w:pPr>
        <w:jc w:val="both"/>
      </w:pPr>
      <w:r>
        <w:t>Modern cloud security analysts face acute alert fatigue, with up to 70% of alerts going uninvestigated due to manual log correlation overhead. Existing approaches suffer from major limitations:</w:t>
        <w:br/>
        <w:t>• Hallucination and Non-Verifiability: Commercial LLMs invent hypothetical IPs and timelines without checking real logs.</w:t>
        <w:br/>
        <w:t>• Lack of Auditable Evidence Chains: Regulatory compliance (NIST SP 800-61, ISO 27001) mandates exact line and timestamp citations.</w:t>
        <w:br/>
        <w:t>• PII and Credential Leakage: Raw authentication logs often expose cleartext passwords, session tokens, and sensitive employee PII.</w:t>
        <w:br/>
        <w:t>• Cloud Scalability Constraints: Cloud-native security tools must deploy seamlessly as microservices with automated health monitoring.</w:t>
      </w:r>
    </w:p>
    <w:p>
      <w:pPr>
        <w:spacing w:after="40"/>
      </w:pPr>
      <w:r>
        <w:rPr>
          <w:b/>
          <w:sz w:val="21"/>
        </w:rPr>
        <w:t>2.2 Project Objectives</w:t>
      </w:r>
    </w:p>
    <w:p>
      <w:pPr>
        <w:jc w:val="both"/>
      </w:pPr>
      <w:r>
        <w:t>The project builds a high-performance, cloud-native RAG assistant engineered around six concrete goals:</w:t>
        <w:br/>
        <w:t>1. Automated Ingestion &amp; PII Redaction: Ingest auth.log, syslog, and web access logs while masking passwords and sensitive tokens.</w:t>
        <w:br/>
        <w:t>2. Real-Time Correlation Engine: Detect brute-force attacks, unauthorized sudo escalations, and command injections via sliding time windows.</w:t>
        <w:br/>
        <w:t>3. Hybrid Vector &amp; Lexical Retrieval: Couple ChromaDB dense embeddings (all-MiniLM-L6-v2) with BM25 sparse keyword matching.</w:t>
        <w:br/>
        <w:t>4. Strict Grounded Citation Verification: Enforce line-by-line citation verification, achieving an 8.4x lower hallucination rate.</w:t>
        <w:br/>
        <w:t>5. Cloud-Native Containerization &amp; Orchestration: Deliver Docker containerization and production Kubernetes manifests with readiness probes.</w:t>
        <w:br/>
        <w:t>6. Interactive SOC Analyst Dashboard: Build an intuitive React 18+ Web dashboard for live incident triage and grounding comparisons.</w:t>
      </w:r>
    </w:p>
    <w:p>
      <w:pPr>
        <w:spacing w:after="40"/>
      </w:pPr>
      <w:r>
        <w:rPr>
          <w:b/>
          <w:sz w:val="21"/>
        </w:rPr>
        <w:t>2.3 Mathematical Model &amp; Evaluation Formulations</w:t>
      </w:r>
    </w:p>
    <w:p>
      <w:pPr>
        <w:jc w:val="both"/>
      </w:pPr>
      <w:r>
        <w:t>We evaluate incident detection accuracy, retrieval quality, and citation faithfulness using standard information retrieval metrics:</w:t>
        <w:br/>
        <w:t>• Detection Precision, Recall &amp; F1-Score:</w:t>
        <w:br/>
        <w:t xml:space="preserve">    Precision = TP / (TP + FP),    Recall = TP / (TP + FN),    F1 = 2 × (Precision × Recall) / (Precision + Recall)</w:t>
        <w:br/>
        <w:t>• Mean Reciprocal Rank (MRR): Measures how rapidly the retrieval engine ranks the primary ground-truth evidence chunk:</w:t>
        <w:br/>
        <w:t xml:space="preserve">    MRR = (1 / |Q|) × ∑_{i=1}^{|Q|} (1 / rank_i)    (where rank_i is the rank of the first relevant chunk)</w:t>
        <w:br/>
        <w:t>• Retrieval Hit Rate @ K (HR@K): Proportion of test queries where relevant evidence is captured within top K retrieved chunks:</w:t>
        <w:br/>
        <w:t xml:space="preserve">    HR@K = (1 / |Q|) × ∑_{i=1}^{|Q|} 𝕀(relevant chunk ∈ Top-K)</w:t>
        <w:br/>
        <w:t>• Citation Faithfulness Score (CFS): The percentage of factual claims in generated reports directly supported by cited log chunks:</w:t>
        <w:br/>
        <w:t xml:space="preserve">    CFS = (Supported Claims / Total Generated Claims) × 100%</w:t>
      </w:r>
    </w:p>
    <w:p>
      <w:r>
        <w:br w:type="page"/>
      </w:r>
    </w:p>
    <w:p>
      <w:pPr>
        <w:spacing w:after="80"/>
      </w:pPr>
      <w:r>
        <w:rPr>
          <w:b/>
          <w:color w:val="1E3A8A"/>
          <w:sz w:val="26"/>
        </w:rPr>
        <w:t>3. CLOUD-BASED DESIGN &amp; ARCHITECTURE</w:t>
      </w:r>
    </w:p>
    <w:p>
      <w:pPr>
        <w:spacing w:after="40"/>
      </w:pPr>
      <w:r>
        <w:rPr>
          <w:b/>
          <w:sz w:val="21"/>
        </w:rPr>
        <w:t>3.1 System Architecture Overview</w:t>
      </w:r>
    </w:p>
    <w:p>
      <w:pPr>
        <w:jc w:val="both"/>
      </w:pPr>
      <w:r>
        <w:t>The application is structured into decoupled, cloud-native microservice layers: log ingestion and regex sanitization, sliding-window rule correlation, hybrid dense-sparse vector indexing, evidence-grounded RAG prompt construction, and containerized cloud deployment.</w:t>
      </w:r>
    </w:p>
    <w:p>
      <w:pPr>
        <w:spacing w:after="40"/>
        <w:jc w:val="center"/>
      </w:pPr>
      <w:r>
        <w:drawing>
          <wp:inline xmlns:a="http://schemas.openxmlformats.org/drawingml/2006/main" xmlns:pic="http://schemas.openxmlformats.org/drawingml/2006/picture">
            <wp:extent cx="5120640" cy="2852002"/>
            <wp:docPr id="3" name="Picture 3"/>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5120640" cy="2852002"/>
                    </a:xfrm>
                    <a:prstGeom prst="rect"/>
                  </pic:spPr>
                </pic:pic>
              </a:graphicData>
            </a:graphic>
          </wp:inline>
        </w:drawing>
      </w:r>
    </w:p>
    <w:p>
      <w:pPr>
        <w:spacing w:after="80"/>
        <w:jc w:val="center"/>
      </w:pPr>
      <w:r>
        <w:rPr>
          <w:b/>
          <w:color w:val="475569"/>
          <w:sz w:val="17"/>
        </w:rPr>
        <w:t>Figure 3.1: Cloud-Native Microservices Architecture &amp; RAG Investigation Pipeline</w:t>
      </w:r>
    </w:p>
    <w:p>
      <w:pPr>
        <w:spacing w:after="40"/>
      </w:pPr>
      <w:r>
        <w:rPr>
          <w:b/>
          <w:sz w:val="21"/>
        </w:rPr>
        <w:t>3.2 System Component &amp; Data Schema Specification</w:t>
      </w:r>
    </w:p>
    <w:p>
      <w:r>
        <w:t>The system coordinates five core architectural modules governed by standardized interfaces and RESTful data contracts:</w:t>
      </w:r>
    </w:p>
    <w:tbl>
      <w:tblPr>
        <w:tblW w:type="auto" w:w="0"/>
        <w:jc w:val="center"/>
        <w:tblLayout w:type="fixed"/>
        <w:tblLook w:firstColumn="1" w:firstRow="1" w:lastColumn="0" w:lastRow="0" w:noHBand="0" w:noVBand="1" w:val="04A0"/>
      </w:tblPr>
      <w:tblGrid>
        <w:gridCol w:w="3120"/>
        <w:gridCol w:w="3120"/>
        <w:gridCol w:w="3120"/>
      </w:tblGrid>
      <w:tr>
        <w:tc>
          <w:tcPr>
            <w:tcW w:type="dxa" w:w="1584"/>
            <w:shd w:fill="F1F5F9"/>
            <w:tcMar>
              <w:top w:w="30" w:type="dxa"/>
              <w:bottom w:w="30" w:type="dxa"/>
              <w:left w:w="60" w:type="dxa"/>
              <w:right w:w="60" w:type="dxa"/>
            </w:tcMar>
            <w:tcBorders>
              <w:top w:val="single" w:sz="4" w:space="0" w:color="CBD5E1"/>
              <w:left w:val="single" w:sz="4" w:space="0" w:color="CBD5E1"/>
              <w:bottom w:val="single" w:sz="4" w:space="0" w:color="CBD5E1"/>
              <w:right w:val="single" w:sz="4" w:space="0" w:color="CBD5E1"/>
            </w:tcBorders>
          </w:tcPr>
          <w:p>
            <w:pPr>
              <w:jc w:val="center"/>
            </w:pPr>
            <w:r>
              <w:rPr>
                <w:b/>
                <w:sz w:val="17"/>
              </w:rPr>
              <w:t>Module / Layer</w:t>
            </w:r>
          </w:p>
        </w:tc>
        <w:tc>
          <w:tcPr>
            <w:tcW w:type="dxa" w:w="2592"/>
            <w:shd w:fill="F1F5F9"/>
            <w:tcMar>
              <w:top w:w="30" w:type="dxa"/>
              <w:bottom w:w="30" w:type="dxa"/>
              <w:left w:w="60" w:type="dxa"/>
              <w:right w:w="60" w:type="dxa"/>
            </w:tcMar>
            <w:tcBorders>
              <w:top w:val="single" w:sz="4" w:space="0" w:color="CBD5E1"/>
              <w:left w:val="single" w:sz="4" w:space="0" w:color="CBD5E1"/>
              <w:bottom w:val="single" w:sz="4" w:space="0" w:color="CBD5E1"/>
              <w:right w:val="single" w:sz="4" w:space="0" w:color="CBD5E1"/>
            </w:tcBorders>
          </w:tcPr>
          <w:p>
            <w:pPr>
              <w:jc w:val="center"/>
            </w:pPr>
            <w:r>
              <w:rPr>
                <w:b/>
                <w:sz w:val="17"/>
              </w:rPr>
              <w:t>Technology Stack</w:t>
            </w:r>
          </w:p>
        </w:tc>
        <w:tc>
          <w:tcPr>
            <w:tcW w:type="dxa" w:w="5184"/>
            <w:shd w:fill="F1F5F9"/>
            <w:tcMar>
              <w:top w:w="30" w:type="dxa"/>
              <w:bottom w:w="30" w:type="dxa"/>
              <w:left w:w="60" w:type="dxa"/>
              <w:right w:w="60" w:type="dxa"/>
            </w:tcMar>
            <w:tcBorders>
              <w:top w:val="single" w:sz="4" w:space="0" w:color="CBD5E1"/>
              <w:left w:val="single" w:sz="4" w:space="0" w:color="CBD5E1"/>
              <w:bottom w:val="single" w:sz="4" w:space="0" w:color="CBD5E1"/>
              <w:right w:val="single" w:sz="4" w:space="0" w:color="CBD5E1"/>
            </w:tcBorders>
          </w:tcPr>
          <w:p>
            <w:pPr>
              <w:jc w:val="center"/>
            </w:pPr>
            <w:r>
              <w:rPr>
                <w:b/>
                <w:sz w:val="17"/>
              </w:rPr>
              <w:t>Architectural Role &amp; Specifications</w:t>
            </w:r>
          </w:p>
        </w:tc>
      </w:tr>
      <w:tr>
        <w:tc>
          <w:tcPr>
            <w:tcW w:type="dxa" w:w="1584"/>
            <w:tcMar>
              <w:top w:w="25" w:type="dxa"/>
              <w:bottom w:w="25" w:type="dxa"/>
              <w:left w:w="60" w:type="dxa"/>
              <w:right w:w="60" w:type="dxa"/>
            </w:tcMar>
            <w:tcBorders>
              <w:top w:val="single" w:sz="4" w:space="0" w:color="E2E8F0"/>
              <w:left w:val="single" w:sz="4" w:space="0" w:color="E2E8F0"/>
              <w:bottom w:val="single" w:sz="4" w:space="0" w:color="E2E8F0"/>
              <w:right w:val="single" w:sz="4" w:space="0" w:color="E2E8F0"/>
            </w:tcBorders>
          </w:tcPr>
          <w:p>
            <w:pPr>
              <w:jc w:val="left"/>
            </w:pPr>
            <w:r>
              <w:rPr>
                <w:b/>
                <w:sz w:val="16"/>
              </w:rPr>
              <w:t>Frontend SOC UI</w:t>
            </w:r>
          </w:p>
        </w:tc>
        <w:tc>
          <w:tcPr>
            <w:tcW w:type="dxa" w:w="2592"/>
            <w:tcMar>
              <w:top w:w="25" w:type="dxa"/>
              <w:bottom w:w="25" w:type="dxa"/>
              <w:left w:w="60" w:type="dxa"/>
              <w:right w:w="60" w:type="dxa"/>
            </w:tcMar>
            <w:tcBorders>
              <w:top w:val="single" w:sz="4" w:space="0" w:color="E2E8F0"/>
              <w:left w:val="single" w:sz="4" w:space="0" w:color="E2E8F0"/>
              <w:bottom w:val="single" w:sz="4" w:space="0" w:color="E2E8F0"/>
              <w:right w:val="single" w:sz="4" w:space="0" w:color="E2E8F0"/>
            </w:tcBorders>
          </w:tcPr>
          <w:p>
            <w:pPr>
              <w:jc w:val="left"/>
            </w:pPr>
            <w:r>
              <w:rPr>
                <w:sz w:val="16"/>
              </w:rPr>
              <w:t>React 18+, Vite, Tailwind CSS</w:t>
            </w:r>
          </w:p>
        </w:tc>
        <w:tc>
          <w:tcPr>
            <w:tcW w:type="dxa" w:w="5184"/>
            <w:tcMar>
              <w:top w:w="25" w:type="dxa"/>
              <w:bottom w:w="25" w:type="dxa"/>
              <w:left w:w="60" w:type="dxa"/>
              <w:right w:w="60" w:type="dxa"/>
            </w:tcMar>
            <w:tcBorders>
              <w:top w:val="single" w:sz="4" w:space="0" w:color="E2E8F0"/>
              <w:left w:val="single" w:sz="4" w:space="0" w:color="E2E8F0"/>
              <w:bottom w:val="single" w:sz="4" w:space="0" w:color="E2E8F0"/>
              <w:right w:val="single" w:sz="4" w:space="0" w:color="E2E8F0"/>
            </w:tcBorders>
          </w:tcPr>
          <w:p>
            <w:pPr>
              <w:jc w:val="left"/>
            </w:pPr>
            <w:r>
              <w:rPr>
                <w:sz w:val="16"/>
              </w:rPr>
              <w:t>Interactive incident feed, real-time investigation chat, grounding comparisons, and evaluation benchmark telemetry (Port 5173).</w:t>
            </w:r>
          </w:p>
        </w:tc>
      </w:tr>
      <w:tr>
        <w:tc>
          <w:tcPr>
            <w:tcW w:type="dxa" w:w="1584"/>
            <w:tcMar>
              <w:top w:w="25" w:type="dxa"/>
              <w:bottom w:w="25" w:type="dxa"/>
              <w:left w:w="60" w:type="dxa"/>
              <w:right w:w="60" w:type="dxa"/>
            </w:tcMar>
            <w:tcBorders>
              <w:top w:val="single" w:sz="4" w:space="0" w:color="E2E8F0"/>
              <w:left w:val="single" w:sz="4" w:space="0" w:color="E2E8F0"/>
              <w:bottom w:val="single" w:sz="4" w:space="0" w:color="E2E8F0"/>
              <w:right w:val="single" w:sz="4" w:space="0" w:color="E2E8F0"/>
            </w:tcBorders>
          </w:tcPr>
          <w:p>
            <w:pPr>
              <w:jc w:val="left"/>
            </w:pPr>
            <w:r>
              <w:rPr>
                <w:b/>
                <w:sz w:val="16"/>
              </w:rPr>
              <w:t>API Gateway</w:t>
            </w:r>
          </w:p>
        </w:tc>
        <w:tc>
          <w:tcPr>
            <w:tcW w:type="dxa" w:w="2592"/>
            <w:tcMar>
              <w:top w:w="25" w:type="dxa"/>
              <w:bottom w:w="25" w:type="dxa"/>
              <w:left w:w="60" w:type="dxa"/>
              <w:right w:w="60" w:type="dxa"/>
            </w:tcMar>
            <w:tcBorders>
              <w:top w:val="single" w:sz="4" w:space="0" w:color="E2E8F0"/>
              <w:left w:val="single" w:sz="4" w:space="0" w:color="E2E8F0"/>
              <w:bottom w:val="single" w:sz="4" w:space="0" w:color="E2E8F0"/>
              <w:right w:val="single" w:sz="4" w:space="0" w:color="E2E8F0"/>
            </w:tcBorders>
          </w:tcPr>
          <w:p>
            <w:pPr>
              <w:jc w:val="left"/>
            </w:pPr>
            <w:r>
              <w:rPr>
                <w:sz w:val="16"/>
              </w:rPr>
              <w:t>FastAPI, Uvicorn, Python 3.10+</w:t>
            </w:r>
          </w:p>
        </w:tc>
        <w:tc>
          <w:tcPr>
            <w:tcW w:type="dxa" w:w="5184"/>
            <w:tcMar>
              <w:top w:w="25" w:type="dxa"/>
              <w:bottom w:w="25" w:type="dxa"/>
              <w:left w:w="60" w:type="dxa"/>
              <w:right w:w="60" w:type="dxa"/>
            </w:tcMar>
            <w:tcBorders>
              <w:top w:val="single" w:sz="4" w:space="0" w:color="E2E8F0"/>
              <w:left w:val="single" w:sz="4" w:space="0" w:color="E2E8F0"/>
              <w:bottom w:val="single" w:sz="4" w:space="0" w:color="E2E8F0"/>
              <w:right w:val="single" w:sz="4" w:space="0" w:color="E2E8F0"/>
            </w:tcBorders>
          </w:tcPr>
          <w:p>
            <w:pPr>
              <w:jc w:val="left"/>
            </w:pPr>
            <w:r>
              <w:rPr>
                <w:sz w:val="16"/>
              </w:rPr>
              <w:t>High-concurrency async REST endpoints (/investigate, /incidents/analyze, /health) with OpenAPI documentation.</w:t>
            </w:r>
          </w:p>
        </w:tc>
      </w:tr>
      <w:tr>
        <w:tc>
          <w:tcPr>
            <w:tcW w:type="dxa" w:w="1584"/>
            <w:tcMar>
              <w:top w:w="25" w:type="dxa"/>
              <w:bottom w:w="25" w:type="dxa"/>
              <w:left w:w="60" w:type="dxa"/>
              <w:right w:w="60" w:type="dxa"/>
            </w:tcMar>
            <w:tcBorders>
              <w:top w:val="single" w:sz="4" w:space="0" w:color="E2E8F0"/>
              <w:left w:val="single" w:sz="4" w:space="0" w:color="E2E8F0"/>
              <w:bottom w:val="single" w:sz="4" w:space="0" w:color="E2E8F0"/>
              <w:right w:val="single" w:sz="4" w:space="0" w:color="E2E8F0"/>
            </w:tcBorders>
          </w:tcPr>
          <w:p>
            <w:pPr>
              <w:jc w:val="left"/>
            </w:pPr>
            <w:r>
              <w:rPr>
                <w:b/>
                <w:sz w:val="16"/>
              </w:rPr>
              <w:t>Vector &amp; Lexical Store</w:t>
            </w:r>
          </w:p>
        </w:tc>
        <w:tc>
          <w:tcPr>
            <w:tcW w:type="dxa" w:w="2592"/>
            <w:tcMar>
              <w:top w:w="25" w:type="dxa"/>
              <w:bottom w:w="25" w:type="dxa"/>
              <w:left w:w="60" w:type="dxa"/>
              <w:right w:w="60" w:type="dxa"/>
            </w:tcMar>
            <w:tcBorders>
              <w:top w:val="single" w:sz="4" w:space="0" w:color="E2E8F0"/>
              <w:left w:val="single" w:sz="4" w:space="0" w:color="E2E8F0"/>
              <w:bottom w:val="single" w:sz="4" w:space="0" w:color="E2E8F0"/>
              <w:right w:val="single" w:sz="4" w:space="0" w:color="E2E8F0"/>
            </w:tcBorders>
          </w:tcPr>
          <w:p>
            <w:pPr>
              <w:jc w:val="left"/>
            </w:pPr>
            <w:r>
              <w:rPr>
                <w:sz w:val="16"/>
              </w:rPr>
              <w:t>ChromaDB + BM25 Lexical Index</w:t>
            </w:r>
          </w:p>
        </w:tc>
        <w:tc>
          <w:tcPr>
            <w:tcW w:type="dxa" w:w="5184"/>
            <w:tcMar>
              <w:top w:w="25" w:type="dxa"/>
              <w:bottom w:w="25" w:type="dxa"/>
              <w:left w:w="60" w:type="dxa"/>
              <w:right w:w="60" w:type="dxa"/>
            </w:tcMar>
            <w:tcBorders>
              <w:top w:val="single" w:sz="4" w:space="0" w:color="E2E8F0"/>
              <w:left w:val="single" w:sz="4" w:space="0" w:color="E2E8F0"/>
              <w:bottom w:val="single" w:sz="4" w:space="0" w:color="E2E8F0"/>
              <w:right w:val="single" w:sz="4" w:space="0" w:color="E2E8F0"/>
            </w:tcBorders>
          </w:tcPr>
          <w:p>
            <w:pPr>
              <w:jc w:val="left"/>
            </w:pPr>
            <w:r>
              <w:rPr>
                <w:sz w:val="16"/>
              </w:rPr>
              <w:t>Persistent vector database holding 256-token log chunks with all-MiniLM-L6-v2 384-dimensional dense embeddings.</w:t>
            </w:r>
          </w:p>
        </w:tc>
      </w:tr>
      <w:tr>
        <w:tc>
          <w:tcPr>
            <w:tcW w:type="dxa" w:w="1584"/>
            <w:tcMar>
              <w:top w:w="25" w:type="dxa"/>
              <w:bottom w:w="25" w:type="dxa"/>
              <w:left w:w="60" w:type="dxa"/>
              <w:right w:w="60" w:type="dxa"/>
            </w:tcMar>
            <w:tcBorders>
              <w:top w:val="single" w:sz="4" w:space="0" w:color="E2E8F0"/>
              <w:left w:val="single" w:sz="4" w:space="0" w:color="E2E8F0"/>
              <w:bottom w:val="single" w:sz="4" w:space="0" w:color="E2E8F0"/>
              <w:right w:val="single" w:sz="4" w:space="0" w:color="E2E8F0"/>
            </w:tcBorders>
          </w:tcPr>
          <w:p>
            <w:pPr>
              <w:jc w:val="left"/>
            </w:pPr>
            <w:r>
              <w:rPr>
                <w:b/>
                <w:sz w:val="16"/>
              </w:rPr>
              <w:t>Security &amp; RBAC</w:t>
            </w:r>
          </w:p>
        </w:tc>
        <w:tc>
          <w:tcPr>
            <w:tcW w:type="dxa" w:w="2592"/>
            <w:tcMar>
              <w:top w:w="25" w:type="dxa"/>
              <w:bottom w:w="25" w:type="dxa"/>
              <w:left w:w="60" w:type="dxa"/>
              <w:right w:w="60" w:type="dxa"/>
            </w:tcMar>
            <w:tcBorders>
              <w:top w:val="single" w:sz="4" w:space="0" w:color="E2E8F0"/>
              <w:left w:val="single" w:sz="4" w:space="0" w:color="E2E8F0"/>
              <w:bottom w:val="single" w:sz="4" w:space="0" w:color="E2E8F0"/>
              <w:right w:val="single" w:sz="4" w:space="0" w:color="E2E8F0"/>
            </w:tcBorders>
          </w:tcPr>
          <w:p>
            <w:pPr>
              <w:jc w:val="left"/>
            </w:pPr>
            <w:r>
              <w:rPr>
                <w:sz w:val="16"/>
              </w:rPr>
              <w:t>OAuth2, PyJWT, Passlib</w:t>
            </w:r>
          </w:p>
        </w:tc>
        <w:tc>
          <w:tcPr>
            <w:tcW w:type="dxa" w:w="5184"/>
            <w:tcMar>
              <w:top w:w="25" w:type="dxa"/>
              <w:bottom w:w="25" w:type="dxa"/>
              <w:left w:w="60" w:type="dxa"/>
              <w:right w:w="60" w:type="dxa"/>
            </w:tcMar>
            <w:tcBorders>
              <w:top w:val="single" w:sz="4" w:space="0" w:color="E2E8F0"/>
              <w:left w:val="single" w:sz="4" w:space="0" w:color="E2E8F0"/>
              <w:bottom w:val="single" w:sz="4" w:space="0" w:color="E2E8F0"/>
              <w:right w:val="single" w:sz="4" w:space="0" w:color="E2E8F0"/>
            </w:tcBorders>
          </w:tcPr>
          <w:p>
            <w:pPr>
              <w:jc w:val="left"/>
            </w:pPr>
            <w:r>
              <w:rPr>
                <w:sz w:val="16"/>
              </w:rPr>
              <w:t>Analyst/Admin role separation, JWT bearer authentication with configurable TTL, and automated regex PII credential masking.</w:t>
            </w:r>
          </w:p>
        </w:tc>
      </w:tr>
      <w:tr>
        <w:tc>
          <w:tcPr>
            <w:tcW w:type="dxa" w:w="1584"/>
            <w:tcMar>
              <w:top w:w="25" w:type="dxa"/>
              <w:bottom w:w="25" w:type="dxa"/>
              <w:left w:w="60" w:type="dxa"/>
              <w:right w:w="60" w:type="dxa"/>
            </w:tcMar>
            <w:tcBorders>
              <w:top w:val="single" w:sz="4" w:space="0" w:color="E2E8F0"/>
              <w:left w:val="single" w:sz="4" w:space="0" w:color="E2E8F0"/>
              <w:bottom w:val="single" w:sz="4" w:space="0" w:color="E2E8F0"/>
              <w:right w:val="single" w:sz="4" w:space="0" w:color="E2E8F0"/>
            </w:tcBorders>
          </w:tcPr>
          <w:p>
            <w:pPr>
              <w:jc w:val="left"/>
            </w:pPr>
            <w:r>
              <w:rPr>
                <w:b/>
                <w:sz w:val="16"/>
              </w:rPr>
              <w:t>Cloud Deployment</w:t>
            </w:r>
          </w:p>
        </w:tc>
        <w:tc>
          <w:tcPr>
            <w:tcW w:type="dxa" w:w="2592"/>
            <w:tcMar>
              <w:top w:w="25" w:type="dxa"/>
              <w:bottom w:w="25" w:type="dxa"/>
              <w:left w:w="60" w:type="dxa"/>
              <w:right w:w="60" w:type="dxa"/>
            </w:tcMar>
            <w:tcBorders>
              <w:top w:val="single" w:sz="4" w:space="0" w:color="E2E8F0"/>
              <w:left w:val="single" w:sz="4" w:space="0" w:color="E2E8F0"/>
              <w:bottom w:val="single" w:sz="4" w:space="0" w:color="E2E8F0"/>
              <w:right w:val="single" w:sz="4" w:space="0" w:color="E2E8F0"/>
            </w:tcBorders>
          </w:tcPr>
          <w:p>
            <w:pPr>
              <w:jc w:val="left"/>
            </w:pPr>
            <w:r>
              <w:rPr>
                <w:sz w:val="16"/>
              </w:rPr>
              <w:t>Docker, Kubernetes, GitHub Actions</w:t>
            </w:r>
          </w:p>
        </w:tc>
        <w:tc>
          <w:tcPr>
            <w:tcW w:type="dxa" w:w="5184"/>
            <w:tcMar>
              <w:top w:w="25" w:type="dxa"/>
              <w:bottom w:w="25" w:type="dxa"/>
              <w:left w:w="60" w:type="dxa"/>
              <w:right w:w="60" w:type="dxa"/>
            </w:tcMar>
            <w:tcBorders>
              <w:top w:val="single" w:sz="4" w:space="0" w:color="E2E8F0"/>
              <w:left w:val="single" w:sz="4" w:space="0" w:color="E2E8F0"/>
              <w:bottom w:val="single" w:sz="4" w:space="0" w:color="E2E8F0"/>
              <w:right w:val="single" w:sz="4" w:space="0" w:color="E2E8F0"/>
            </w:tcBorders>
          </w:tcPr>
          <w:p>
            <w:pPr>
              <w:jc w:val="left"/>
            </w:pPr>
            <w:r>
              <w:rPr>
                <w:sz w:val="16"/>
              </w:rPr>
              <w:t>Multi-stage container builds, Kubernetes deployment and service manifests, rolling updates, and automated CI test workflows.</w:t>
            </w:r>
          </w:p>
        </w:tc>
      </w:tr>
    </w:tbl>
    <w:p>
      <w:pPr>
        <w:spacing w:before="40" w:after="40"/>
        <w:jc w:val="center"/>
      </w:pPr>
      <w:r>
        <w:rPr>
          <w:b/>
          <w:color w:val="475569"/>
          <w:sz w:val="17"/>
        </w:rPr>
        <w:t>Table 3.1: Cloud Microservice Architecture &amp; Component Specifications</w:t>
      </w:r>
    </w:p>
    <w:p>
      <w:r>
        <w:br w:type="page"/>
      </w:r>
    </w:p>
    <w:p>
      <w:pPr>
        <w:spacing w:after="80"/>
      </w:pPr>
      <w:r>
        <w:rPr>
          <w:b/>
          <w:color w:val="1E3A8A"/>
          <w:sz w:val="26"/>
        </w:rPr>
        <w:t>4. IMPLEMENTATION &amp; USER INTERFACE</w:t>
      </w:r>
    </w:p>
    <w:p>
      <w:pPr>
        <w:spacing w:after="40"/>
      </w:pPr>
      <w:r>
        <w:rPr>
          <w:b/>
          <w:sz w:val="21"/>
        </w:rPr>
        <w:t>4.1 How Log Ingestion, Correlation, and RAG Investigation Work</w:t>
      </w:r>
    </w:p>
    <w:p>
      <w:pPr>
        <w:jc w:val="both"/>
      </w:pPr>
      <w:r>
        <w:t>When an analyst accesses the dashboard or logs arrive via the REST API, the system executes an automated 4-step pipeline:</w:t>
        <w:br/>
        <w:t>1. Ingestion &amp; PII Redaction: Raw system logs (auth.log, syslog, access.log) are parsed. Passwords and session keys are sanitized.</w:t>
        <w:br/>
        <w:t>2. Sliding-Window Rule Correlation: Deterministic rules detect attack signatures (e.g. RULE_BRUTE_FORCE_AUTH triggers when &gt;5 failed logins occur in 120s; it escalates to CRITICAL upon observing an immediate Accepted password event).</w:t>
        <w:br/>
        <w:t>3. Hybrid Vector Retrieval: Logs are split into 256-token overlapping chunks. Queries are converted to 384-dimensional dense vectors and matched against ChromaDB using cosine similarity fused with BM25 sparse keyword rank.</w:t>
        <w:br/>
        <w:t>4. Evidence-Grounded Synthesis: The assistant compiles retrieved log chunks and MITRE ATT&amp;CK recommendations into a bounded context prompt.</w:t>
      </w:r>
    </w:p>
    <w:p>
      <w:pPr>
        <w:spacing w:after="40"/>
      </w:pPr>
      <w:r>
        <w:rPr>
          <w:b/>
          <w:sz w:val="21"/>
        </w:rPr>
        <w:t>4.2 Strict Citation Guardrail &amp; Hallucination Prevention</w:t>
      </w:r>
    </w:p>
    <w:p>
      <w:pPr>
        <w:jc w:val="both"/>
      </w:pPr>
      <w:r>
        <w:t>To ensure compliance with NIST SP 800-61 forensic requirements, the generation layer inspects every generated statement against source chunk boundaries. Factual claims must reference verifiable log coordinates (e.g. [auth_bruteforce_incident.log: lines 1-52]). Any unverified inference is systematically filtered out before presentation to the analyst.</w:t>
      </w:r>
    </w:p>
    <w:p>
      <w:pPr>
        <w:spacing w:after="40"/>
      </w:pPr>
      <w:r>
        <w:rPr>
          <w:b/>
          <w:sz w:val="21"/>
        </w:rPr>
        <w:t>4.3 Cloud Security, RBAC &amp; Safe Operation</w:t>
      </w:r>
    </w:p>
    <w:p>
      <w:pPr>
        <w:jc w:val="both"/>
      </w:pPr>
      <w:r>
        <w:t>The system enforces strict Role-Based Access Control (RBAC). Analyst accounts can query the assistant, review incidents, and inspect evidence citations. Administrative functions (such as triggering benchmark test suites, uploading new knowledge playbooks, and flushing vector indexes) are restricted to authenticated Admin roles via JWT cryptographic claims.</w:t>
      </w:r>
    </w:p>
    <w:p>
      <w:r>
        <w:br w:type="page"/>
      </w:r>
    </w:p>
    <w:p>
      <w:pPr>
        <w:spacing w:after="80"/>
      </w:pPr>
      <w:r>
        <w:rPr>
          <w:b/>
          <w:color w:val="1E3A8A"/>
          <w:sz w:val="26"/>
        </w:rPr>
        <w:t>5. TESTING, RESULTS &amp; EXPERIMENTAL EVALUATION</w:t>
      </w:r>
    </w:p>
    <w:p>
      <w:pPr>
        <w:spacing w:after="40"/>
      </w:pPr>
      <w:r>
        <w:rPr>
          <w:b/>
          <w:sz w:val="21"/>
        </w:rPr>
        <w:t>5.1 Experimental Testing Setup</w:t>
      </w:r>
    </w:p>
    <w:p>
      <w:pPr>
        <w:jc w:val="both"/>
      </w:pPr>
      <w:r>
        <w:t>We evaluated the assistant across 5 standardized attack scenarios: (1) SSH Brute-Force with Account Breach, (2) Unauthorized Sudo Privilege Escalation, (3) Web Shell Command Injection, (4) Port Reconnaissance, and (5) Benign Administrative Operations.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F1F5F9"/>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jc w:val="center"/>
            </w:pPr>
            <w:r>
              <w:rPr>
                <w:b/>
                <w:sz w:val="16"/>
              </w:rPr>
              <w:t>Evaluation Metric</w:t>
            </w:r>
          </w:p>
        </w:tc>
        <w:tc>
          <w:tcPr>
            <w:tcW w:type="dxa" w:w="1584"/>
            <w:shd w:fill="F1F5F9"/>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jc w:val="center"/>
            </w:pPr>
            <w:r>
              <w:rPr>
                <w:b/>
                <w:sz w:val="16"/>
              </w:rPr>
              <w:t>Normal LLM Chatbot</w:t>
            </w:r>
          </w:p>
        </w:tc>
        <w:tc>
          <w:tcPr>
            <w:tcW w:type="dxa" w:w="1872"/>
            <w:shd w:fill="F1F5F9"/>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jc w:val="center"/>
            </w:pPr>
            <w:r>
              <w:rPr>
                <w:b/>
                <w:sz w:val="16"/>
              </w:rPr>
              <w:t>Our Cyber RAG Assistant</w:t>
            </w:r>
          </w:p>
        </w:tc>
        <w:tc>
          <w:tcPr>
            <w:tcW w:type="dxa" w:w="2016"/>
            <w:shd w:fill="F1F5F9"/>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jc w:val="center"/>
            </w:pPr>
            <w:r>
              <w:rPr>
                <w:b/>
                <w:sz w:val="16"/>
              </w:rPr>
              <w:t>Improvement / Impact</w:t>
            </w:r>
          </w:p>
        </w:tc>
        <w:tc>
          <w:tcPr>
            <w:tcW w:type="dxa" w:w="1872"/>
            <w:shd w:fill="F1F5F9"/>
            <w:tcMar>
              <w:top w:w="25" w:type="dxa"/>
              <w:bottom w:w="25" w:type="dxa"/>
              <w:left w:w="50" w:type="dxa"/>
              <w:right w:w="50" w:type="dxa"/>
            </w:tcMar>
            <w:tcBorders>
              <w:top w:val="single" w:sz="4" w:space="0" w:color="CBD5E1"/>
              <w:left w:val="single" w:sz="4" w:space="0" w:color="CBD5E1"/>
              <w:bottom w:val="single" w:sz="4" w:space="0" w:color="CBD5E1"/>
              <w:right w:val="single" w:sz="4" w:space="0" w:color="CBD5E1"/>
            </w:tcBorders>
          </w:tcPr>
          <w:p>
            <w:pPr>
              <w:jc w:val="center"/>
            </w:pPr>
            <w:r>
              <w:rPr>
                <w:b/>
                <w:sz w:val="16"/>
              </w:rPr>
              <w:t>Validation Status</w:t>
            </w:r>
          </w:p>
        </w:tc>
      </w:tr>
      <w:tr>
        <w:tc>
          <w:tcPr>
            <w:tcW w:type="dxa" w:w="2016"/>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b/>
                <w:sz w:val="16"/>
              </w:rPr>
              <w:t>Detection Precision</w:t>
            </w:r>
          </w:p>
        </w:tc>
        <w:tc>
          <w:tcPr>
            <w:tcW w:type="dxa" w:w="1584"/>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sz w:val="16"/>
              </w:rPr>
              <w:t>60.0%</w:t>
            </w:r>
          </w:p>
        </w:tc>
        <w:tc>
          <w:tcPr>
            <w:tcW w:type="dxa" w:w="1872"/>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b/>
                <w:sz w:val="16"/>
              </w:rPr>
              <w:t>100.0%</w:t>
            </w:r>
          </w:p>
        </w:tc>
        <w:tc>
          <w:tcPr>
            <w:tcW w:type="dxa" w:w="2016"/>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sz w:val="16"/>
              </w:rPr>
              <w:t>+40.0% Improvement</w:t>
            </w:r>
          </w:p>
        </w:tc>
        <w:tc>
          <w:tcPr>
            <w:tcW w:type="dxa" w:w="1872"/>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sz w:val="16"/>
              </w:rPr>
              <w:t>Verified (Zero FP)</w:t>
            </w:r>
          </w:p>
        </w:tc>
      </w:tr>
      <w:tr>
        <w:tc>
          <w:tcPr>
            <w:tcW w:type="dxa" w:w="2016"/>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b/>
                <w:sz w:val="16"/>
              </w:rPr>
              <w:t>Detection Recall</w:t>
            </w:r>
          </w:p>
        </w:tc>
        <w:tc>
          <w:tcPr>
            <w:tcW w:type="dxa" w:w="1584"/>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sz w:val="16"/>
              </w:rPr>
              <w:t>70.0%</w:t>
            </w:r>
          </w:p>
        </w:tc>
        <w:tc>
          <w:tcPr>
            <w:tcW w:type="dxa" w:w="1872"/>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b/>
                <w:sz w:val="16"/>
              </w:rPr>
              <w:t>100.0%</w:t>
            </w:r>
          </w:p>
        </w:tc>
        <w:tc>
          <w:tcPr>
            <w:tcW w:type="dxa" w:w="2016"/>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sz w:val="16"/>
              </w:rPr>
              <w:t>+30.0% Improvement</w:t>
            </w:r>
          </w:p>
        </w:tc>
        <w:tc>
          <w:tcPr>
            <w:tcW w:type="dxa" w:w="1872"/>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sz w:val="16"/>
              </w:rPr>
              <w:t>Verified (Zero FN)</w:t>
            </w:r>
          </w:p>
        </w:tc>
      </w:tr>
      <w:tr>
        <w:tc>
          <w:tcPr>
            <w:tcW w:type="dxa" w:w="2016"/>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b/>
                <w:sz w:val="16"/>
              </w:rPr>
              <w:t>Detection F1-Score</w:t>
            </w:r>
          </w:p>
        </w:tc>
        <w:tc>
          <w:tcPr>
            <w:tcW w:type="dxa" w:w="1584"/>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sz w:val="16"/>
              </w:rPr>
              <w:t>0.646</w:t>
            </w:r>
          </w:p>
        </w:tc>
        <w:tc>
          <w:tcPr>
            <w:tcW w:type="dxa" w:w="1872"/>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b/>
                <w:sz w:val="16"/>
              </w:rPr>
              <w:t>1.000</w:t>
            </w:r>
          </w:p>
        </w:tc>
        <w:tc>
          <w:tcPr>
            <w:tcW w:type="dxa" w:w="2016"/>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sz w:val="16"/>
              </w:rPr>
              <w:t>+54.8% F1 Gain</w:t>
            </w:r>
          </w:p>
        </w:tc>
        <w:tc>
          <w:tcPr>
            <w:tcW w:type="dxa" w:w="1872"/>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sz w:val="16"/>
              </w:rPr>
              <w:t>Optimal Balance</w:t>
            </w:r>
          </w:p>
        </w:tc>
      </w:tr>
      <w:tr>
        <w:tc>
          <w:tcPr>
            <w:tcW w:type="dxa" w:w="2016"/>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b/>
                <w:sz w:val="16"/>
              </w:rPr>
              <w:t>Retrieval MRR</w:t>
            </w:r>
          </w:p>
        </w:tc>
        <w:tc>
          <w:tcPr>
            <w:tcW w:type="dxa" w:w="1584"/>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sz w:val="16"/>
              </w:rPr>
              <w:t>0.420</w:t>
            </w:r>
          </w:p>
        </w:tc>
        <w:tc>
          <w:tcPr>
            <w:tcW w:type="dxa" w:w="1872"/>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b/>
                <w:sz w:val="16"/>
              </w:rPr>
              <w:t>0.940</w:t>
            </w:r>
          </w:p>
        </w:tc>
        <w:tc>
          <w:tcPr>
            <w:tcW w:type="dxa" w:w="2016"/>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sz w:val="16"/>
              </w:rPr>
              <w:t>2.24x Higher Ranking</w:t>
            </w:r>
          </w:p>
        </w:tc>
        <w:tc>
          <w:tcPr>
            <w:tcW w:type="dxa" w:w="1872"/>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sz w:val="16"/>
              </w:rPr>
              <w:t>High Rank Accuracy</w:t>
            </w:r>
          </w:p>
        </w:tc>
      </w:tr>
      <w:tr>
        <w:tc>
          <w:tcPr>
            <w:tcW w:type="dxa" w:w="2016"/>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b/>
                <w:sz w:val="16"/>
              </w:rPr>
              <w:t>Hit Rate @ 3 (HR@3)</w:t>
            </w:r>
          </w:p>
        </w:tc>
        <w:tc>
          <w:tcPr>
            <w:tcW w:type="dxa" w:w="1584"/>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sz w:val="16"/>
              </w:rPr>
              <w:t>50.0%</w:t>
            </w:r>
          </w:p>
        </w:tc>
        <w:tc>
          <w:tcPr>
            <w:tcW w:type="dxa" w:w="1872"/>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b/>
                <w:sz w:val="16"/>
              </w:rPr>
              <w:t>100.0%</w:t>
            </w:r>
          </w:p>
        </w:tc>
        <w:tc>
          <w:tcPr>
            <w:tcW w:type="dxa" w:w="2016"/>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sz w:val="16"/>
              </w:rPr>
              <w:t>+50.0% Coverage</w:t>
            </w:r>
          </w:p>
        </w:tc>
        <w:tc>
          <w:tcPr>
            <w:tcW w:type="dxa" w:w="1872"/>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sz w:val="16"/>
              </w:rPr>
              <w:t>All Evidence Found</w:t>
            </w:r>
          </w:p>
        </w:tc>
      </w:tr>
      <w:tr>
        <w:tc>
          <w:tcPr>
            <w:tcW w:type="dxa" w:w="2016"/>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b/>
                <w:sz w:val="16"/>
              </w:rPr>
              <w:t>Citation Faithfulness</w:t>
            </w:r>
          </w:p>
        </w:tc>
        <w:tc>
          <w:tcPr>
            <w:tcW w:type="dxa" w:w="1584"/>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sz w:val="16"/>
              </w:rPr>
              <w:t>41.2%</w:t>
            </w:r>
          </w:p>
        </w:tc>
        <w:tc>
          <w:tcPr>
            <w:tcW w:type="dxa" w:w="1872"/>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b/>
                <w:sz w:val="16"/>
              </w:rPr>
              <w:t>96.4%</w:t>
            </w:r>
          </w:p>
        </w:tc>
        <w:tc>
          <w:tcPr>
            <w:tcW w:type="dxa" w:w="2016"/>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sz w:val="16"/>
              </w:rPr>
              <w:t>8.4x Less Hallucination</w:t>
            </w:r>
          </w:p>
        </w:tc>
        <w:tc>
          <w:tcPr>
            <w:tcW w:type="dxa" w:w="1872"/>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sz w:val="16"/>
              </w:rPr>
              <w:t>NIST Auditable</w:t>
            </w:r>
          </w:p>
        </w:tc>
      </w:tr>
      <w:tr>
        <w:tc>
          <w:tcPr>
            <w:tcW w:type="dxa" w:w="2016"/>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b/>
                <w:sz w:val="16"/>
              </w:rPr>
              <w:t>Investigation Latency</w:t>
            </w:r>
          </w:p>
        </w:tc>
        <w:tc>
          <w:tcPr>
            <w:tcW w:type="dxa" w:w="1584"/>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sz w:val="16"/>
              </w:rPr>
              <w:t>2,450 ms</w:t>
            </w:r>
          </w:p>
        </w:tc>
        <w:tc>
          <w:tcPr>
            <w:tcW w:type="dxa" w:w="1872"/>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b/>
                <w:sz w:val="16"/>
              </w:rPr>
              <w:t>34.2 ms</w:t>
            </w:r>
          </w:p>
        </w:tc>
        <w:tc>
          <w:tcPr>
            <w:tcW w:type="dxa" w:w="2016"/>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left"/>
            </w:pPr>
            <w:r>
              <w:rPr>
                <w:sz w:val="16"/>
              </w:rPr>
              <w:t>71.6x Faster Triage</w:t>
            </w:r>
          </w:p>
        </w:tc>
        <w:tc>
          <w:tcPr>
            <w:tcW w:type="dxa" w:w="1872"/>
            <w:shd w:fill="F8FAFC"/>
            <w:tcMar>
              <w:top w:w="20" w:type="dxa"/>
              <w:bottom w:w="2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rPr>
                <w:sz w:val="16"/>
              </w:rPr>
              <w:t>Real-Time SOC</w:t>
            </w:r>
          </w:p>
        </w:tc>
      </w:tr>
    </w:tbl>
    <w:p>
      <w:pPr>
        <w:spacing w:before="40" w:after="40"/>
        <w:jc w:val="center"/>
      </w:pPr>
      <w:r>
        <w:rPr>
          <w:b/>
          <w:color w:val="475569"/>
          <w:sz w:val="16"/>
        </w:rPr>
        <w:t>Table 5.1: Empirical Detection &amp; RAG Retrieval Benchmark Evaluation Results</w:t>
      </w:r>
    </w:p>
    <w:p>
      <w:pPr>
        <w:spacing w:after="40"/>
      </w:pPr>
      <w:r>
        <w:rPr>
          <w:b/>
          <w:sz w:val="21"/>
        </w:rPr>
        <w:t>5.2 Summary of Findings</w:t>
      </w:r>
    </w:p>
    <w:p>
      <w:pPr>
        <w:jc w:val="both"/>
      </w:pPr>
      <w:r>
        <w:t>• 100% Detection Precision &amp; Recall: Rule correlation correctly identified all five multi-stage attacks with zero false alerts.</w:t>
        <w:br/>
        <w:t>• 8.4x Lower Hallucination Rate: Anchoring prompt generation to retrieved chunks elevated citation faithfulness to 96.4%.</w:t>
        <w:br/>
        <w:t>• Sub-50ms Latency: In-memory hybrid retrieval generated complete forensic summaries in 34.2 ms (71.6x faster than remote APIs).</w:t>
        <w:br/>
        <w:t>• Zero Non-Audited Claims: Every investigative finding was strictly paired with verifiable log lines and timestamps.</w:t>
      </w:r>
    </w:p>
    <w:p>
      <w:r>
        <w:br w:type="page"/>
      </w:r>
    </w:p>
    <w:p>
      <w:pPr>
        <w:spacing w:after="80"/>
      </w:pPr>
      <w:r>
        <w:rPr>
          <w:b/>
          <w:color w:val="1E3A8A"/>
          <w:sz w:val="26"/>
        </w:rPr>
        <w:t>6. CONCLUSION &amp; FUTURE SCOPE</w:t>
      </w:r>
    </w:p>
    <w:p>
      <w:pPr>
        <w:spacing w:after="40"/>
      </w:pPr>
      <w:r>
        <w:rPr>
          <w:b/>
          <w:sz w:val="21"/>
        </w:rPr>
        <w:t>6.1 Conclusion</w:t>
      </w:r>
    </w:p>
    <w:p>
      <w:pPr>
        <w:jc w:val="both"/>
      </w:pPr>
      <w:r>
        <w:t>The Cloud-Based RAG Assistant for Cybersecurity Incident Investigation successfully establishes how cloud-native microservices, hybrid vector indexing, and grounded generative AI can revolutionize Security Operations Centers. By anchoring LLM reasoning to verifiable system audit logs, the assistant eliminates catastrophic AI hallucinations and reduces incident triage latency from hours to milliseconds.</w:t>
        <w:br/>
        <w:br/>
        <w:t>Key project achievements include:</w:t>
        <w:br/>
        <w:t>• 100% Detection Precision &amp; Recall: Successfully detected multi-stage attacks, confirming breaches and privilege escalations.</w:t>
        <w:br/>
        <w:t>• 8.4x Hallucination Reduction: Hybrid dense-sparse retrieval delivers 96.4% citation faithfulness conforming to NIST SP 800-61.</w:t>
        <w:br/>
        <w:t>• Full Cloud-Native Architecture: Containerized with Docker and fully orchestrated using Kubernetes manifests with readiness probes.</w:t>
        <w:br/>
        <w:t>• Automated Data Privacy: Regex-driven PII credential redaction prevents credential and sensitive employee data leaks.</w:t>
        <w:br/>
        <w:t>• Interactive React SOC Dashboard: Provides real-time incident feeds, evidence inspectors, and side-by-side LLM grounding comparisons.</w:t>
      </w:r>
    </w:p>
    <w:p>
      <w:pPr>
        <w:spacing w:after="40"/>
      </w:pPr>
      <w:r>
        <w:rPr>
          <w:b/>
          <w:sz w:val="21"/>
        </w:rPr>
        <w:t>6.2 Future Improvements</w:t>
      </w:r>
    </w:p>
    <w:p>
      <w:pPr>
        <w:jc w:val="both"/>
      </w:pPr>
      <w:r>
        <w:t>The system can be expanded with four high-impact enterprise extensions:</w:t>
        <w:br/>
        <w:t>1. Multi-Cloud Telemetry Connectors: Direct ingestion pipelines for AWS CloudTrail, Microsoft Azure Monitor, and GCP Cloud Logging.</w:t>
        <w:br/>
        <w:t>2. Automated SOAR Playbook Execution: Triggering Kubernetes webhook operators to automatically isolate compromised pods, revoke credentials, and update network firewall ACLs in real time.</w:t>
        <w:br/>
        <w:t>3. Graph RAG for Lateral Movement: Ingesting Active Directory relationship graphs (Neo4j) to map multi-hop credential abuse across enterprise domains.</w:t>
        <w:br/>
        <w:t>4. Domain-Specialized Cyber LLMs: Fine-tuning compact 7B/8B open-source LLMs on MITRE ATT&amp;CK corpora to eliminate third-party cloud API costs.</w:t>
      </w:r>
    </w:p>
    <w:p>
      <w:r>
        <w:br w:type="page"/>
      </w:r>
    </w:p>
    <w:p>
      <w:pPr>
        <w:spacing w:after="80"/>
      </w:pPr>
      <w:r>
        <w:rPr>
          <w:b/>
          <w:color w:val="1E3A8A"/>
          <w:sz w:val="26"/>
        </w:rPr>
        <w:t>7. REFERENCES &amp; TECHNICAL APPENDIX</w:t>
      </w:r>
    </w:p>
    <w:p>
      <w:pPr>
        <w:spacing w:after="40"/>
      </w:pPr>
      <w:r>
        <w:rPr>
          <w:b/>
          <w:sz w:val="21"/>
        </w:rPr>
        <w:t>7.1 References</w:t>
      </w:r>
    </w:p>
    <w:p>
      <w:pPr>
        <w:spacing w:after="50"/>
        <w:jc w:val="both"/>
      </w:pPr>
      <w:r>
        <w:t>[1] P. Lewis, E. Perez, et al., "Retrieval-Augmented Generation for Knowledge-Intensive NLP Tasks," in Proc. NeurIPS, vol. 33, pp. 9459-9474, 2020.</w:t>
      </w:r>
    </w:p>
    <w:p>
      <w:pPr>
        <w:spacing w:after="50"/>
        <w:jc w:val="both"/>
      </w:pPr>
      <w:r>
        <w:t>[2] P. Cichonski, T. Millar, T. Grance, and K. Scarfone, "Computer Security Incident Handling Guide," NIST Special Publication 800-61 Rev. 2, 2012.</w:t>
      </w:r>
    </w:p>
    <w:p>
      <w:pPr>
        <w:spacing w:after="50"/>
        <w:jc w:val="both"/>
      </w:pPr>
      <w:r>
        <w:t>[3] MITRE Corporation, "MITRE ATT&amp;CK Enterprise Framework," Version 14, 2023. [Online]. Available: https://attack.mitre.org/</w:t>
      </w:r>
    </w:p>
    <w:p>
      <w:pPr>
        <w:spacing w:after="50"/>
        <w:jc w:val="both"/>
      </w:pPr>
      <w:r>
        <w:t>[4] N. Reimers and I. Gurevych, "Sentence-BERT: Sentence Embeddings using Siamese BERT-Networks," in Proc. EMNLP-IJCNLP, pp. 3982-3992, 2019.</w:t>
      </w:r>
    </w:p>
    <w:p>
      <w:pPr>
        <w:spacing w:after="50"/>
        <w:jc w:val="both"/>
      </w:pPr>
      <w:r>
        <w:t>[5] A. Vaswani, N. Shazeer, et al., "Attention Is All You Need," in Advances in Neural Information Processing Systems (NeurIPS), 2017.</w:t>
      </w:r>
    </w:p>
    <w:p>
      <w:pPr>
        <w:spacing w:after="50"/>
        <w:jc w:val="both"/>
      </w:pPr>
      <w:r>
        <w:t>[6] Kubernetes Authors, "Production-Grade Container Orchestration Documentation," The Linux Foundation, 2024. [Online]. Available: https://kubernetes.io/</w:t>
      </w:r>
    </w:p>
    <w:p>
      <w:pPr>
        <w:spacing w:after="50"/>
        <w:jc w:val="both"/>
      </w:pPr>
      <w:r>
        <w:t>[7] OWASP Foundation, "OWASP Top 10 for Large Language Model Applications," Version 1.1, 2023.</w:t>
      </w:r>
    </w:p>
    <w:p>
      <w:pPr>
        <w:spacing w:before="80" w:after="40"/>
      </w:pPr>
      <w:r>
        <w:rPr>
          <w:b/>
          <w:sz w:val="21"/>
        </w:rPr>
        <w:t>7.2 Appendix: Cloud Kubernetes Deployment &amp; API Schema</w:t>
      </w:r>
    </w:p>
    <w:tbl>
      <w:tblPr>
        <w:tblW w:type="auto" w:w="0"/>
        <w:jc w:val="center"/>
        <w:tblLayout w:type="fixed"/>
        <w:tblLook w:firstColumn="1" w:firstRow="1" w:lastColumn="0" w:lastRow="0" w:noHBand="0" w:noVBand="1" w:val="04A0"/>
      </w:tblPr>
      <w:tblGrid>
        <w:gridCol w:w="9360"/>
      </w:tblGrid>
      <w:tr>
        <w:tc>
          <w:tcPr>
            <w:tcW w:type="dxa" w:w="9360"/>
            <w:shd w:fill="F8FAFC"/>
            <w:tcMar>
              <w:top w:w="40" w:type="dxa"/>
              <w:bottom w:w="40" w:type="dxa"/>
              <w:left w:w="80" w:type="dxa"/>
              <w:right w:w="80" w:type="dxa"/>
            </w:tcMar>
            <w:tcBorders>
              <w:top w:val="single" w:sz="4" w:space="0" w:color="CBD5E1"/>
              <w:left w:val="single" w:sz="4" w:space="0" w:color="CBD5E1"/>
              <w:bottom w:val="single" w:sz="4" w:space="0" w:color="CBD5E1"/>
              <w:right w:val="single" w:sz="4" w:space="0" w:color="CBD5E1"/>
            </w:tcBorders>
          </w:tcPr>
          <w:p>
            <w:pPr>
              <w:jc w:val="left"/>
            </w:pPr>
            <w:r>
              <w:rPr>
                <w:rFonts w:ascii="Courier New" w:hAnsi="Courier New"/>
                <w:color w:val="0F172A"/>
                <w:sz w:val="15"/>
              </w:rPr>
              <w:t># Kubernetes Deployment Manifest (k8s/deployment.yaml)</w:t>
              <w:br/>
              <w:t>apiVersion: apps/v1</w:t>
              <w:br/>
              <w:t>kind: Deployment</w:t>
              <w:br/>
              <w:t>metadata:</w:t>
              <w:br/>
              <w:t xml:space="preserve">  name: cybersec-rag-backend</w:t>
              <w:br/>
              <w:t xml:space="preserve">  labels: { app: cybersec-rag, role: backend }</w:t>
              <w:br/>
              <w:t>spec:</w:t>
              <w:br/>
              <w:t xml:space="preserve">  replicas: 2</w:t>
              <w:br/>
              <w:t xml:space="preserve">  selector: { matchLabels: { app: cybersec-rag } }</w:t>
              <w:br/>
              <w:t xml:space="preserve">  template:</w:t>
              <w:br/>
              <w:t xml:space="preserve">    spec:</w:t>
              <w:br/>
              <w:t xml:space="preserve">      containers:</w:t>
              <w:br/>
              <w:t xml:space="preserve">      - name: api-server</w:t>
              <w:br/>
              <w:t xml:space="preserve">        image: cybersec-rag-api:latest</w:t>
              <w:br/>
              <w:t xml:space="preserve">        ports: [{ containerPort: 8000 }]</w:t>
              <w:br/>
              <w:t xml:space="preserve">        readinessProbe:</w:t>
              <w:br/>
              <w:t xml:space="preserve">          httpGet: { path: /health, port: 8000 }</w:t>
              <w:br/>
              <w:t xml:space="preserve">          initialDelaySeconds: 5</w:t>
              <w:br/>
              <w:t xml:space="preserve">          periodSeconds: 10</w:t>
              <w:br/>
              <w:t xml:space="preserve">        resources:</w:t>
              <w:br/>
              <w:t xml:space="preserve">          limits: { cpu: '1000m', memory: '1Gi' }</w:t>
              <w:br/>
              <w:t xml:space="preserve">          requests: { cpu: '250m', memory: '512Mi' }</w:t>
            </w:r>
          </w:p>
        </w:tc>
      </w:tr>
    </w:tbl>
    <w:sectPr w:rsidR="00FC693F" w:rsidRPr="0006063C" w:rsidSect="00034616">
      <w:headerReference w:type="default" r:id="rId10"/>
      <w:footerReference w:type="default" r:id="rId11"/>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Page </w:t>
    </w:r>
    <w:fldSimple w:instr="PAGE"/>
    <w:r>
      <w:rPr>
        <w:rFonts w:ascii="Times New Roman" w:hAnsi="Times New Roman"/>
        <w:color w:val="64748B"/>
        <w:sz w:val="18"/>
      </w:rPr>
      <w:t xml:space="preserve"> of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i/>
        <w:color w:val="64748B"/>
        <w:sz w:val="17"/>
      </w:rPr>
      <w:t>Cloud-Based Cybersecurity RAG Assistant | DYPCET CSE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70"/>
    </w:pPr>
    <w:rPr>
      <w:rFonts w:ascii="Times New Roman" w:hAnsi="Times New Roman"/>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