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nsolas" w:cs="Consolas" w:eastAsia="Consolas" w:hAnsi="Consolas"/>
          <w:b/>
          <w:bCs/>
          <w:color w:val="B8552E"/>
          <w:sz w:val="18"/>
          <w:szCs w:val="18"/>
        </w:rPr>
        <w:t xml:space="preserve">PRODUCT REQUIREMENTS · KC PROJECT LEADS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7242B"/>
          <w:sz w:val="52"/>
          <w:szCs w:val="52"/>
        </w:rPr>
        <w:t xml:space="preserve">Lead Bank &amp; Brand Handoff</w:t>
      </w:r>
    </w:p>
    <w:p>
      <w:pPr>
        <w:pBdr>
          <w:bottom w:val="single" w:color="17242B" w:sz="12"/>
        </w:pBdr>
        <w:spacing w:after="180"/>
      </w:pPr>
      <w:r>
        <w:rPr>
          <w:rFonts w:ascii="Calibri" w:cs="Calibri" w:eastAsia="Calibri" w:hAnsi="Calibri"/>
          <w:color w:val="5F7078"/>
          <w:sz w:val="22"/>
          <w:szCs w:val="22"/>
        </w:rPr>
        <w:t xml:space="preserve">One operational register that carries every material lead from its source through classification, scoring, brand routing, approval, and sanitized outreach — without ever moving a source record.</w:t>
      </w:r>
    </w:p>
    <w:tbl>
      <w:tblPr>
        <w:tblW w:type="dxa" w:w="9360"/>
        <w:tblBorders>
          <w:top w:val="single" w:color="DDE2DB" w:sz="2"/>
          <w:left w:val="none"/>
          <w:bottom w:val="single" w:color="DDE2DB" w:sz="2"/>
          <w:right w:val="none"/>
          <w:insideH w:val="single" w:color="DDE2DB" w:sz="2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color w:val="5F7078"/>
                <w:sz w:val="15"/>
                <w:szCs w:val="15"/>
              </w:rPr>
              <w:t xml:space="preserve">VERSION</w:t>
            </w:r>
          </w:p>
        </w:tc>
        <w:tc>
          <w:tcPr>
            <w:tcW w:type="dxa" w:w="2340"/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color w:val="5F7078"/>
                <w:sz w:val="15"/>
                <w:szCs w:val="15"/>
              </w:rPr>
              <w:t xml:space="preserve">STATUS</w:t>
            </w:r>
          </w:p>
        </w:tc>
        <w:tc>
          <w:tcPr>
            <w:tcW w:type="dxa" w:w="2340"/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color w:val="5F7078"/>
                <w:sz w:val="15"/>
                <w:szCs w:val="15"/>
              </w:rPr>
              <w:t xml:space="preserve">SURFACE</w:t>
            </w:r>
          </w:p>
        </w:tc>
        <w:tc>
          <w:tcPr>
            <w:tcW w:type="dxa" w:w="2340"/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color w:val="5F7078"/>
                <w:sz w:val="15"/>
                <w:szCs w:val="15"/>
              </w:rPr>
              <w:t xml:space="preserve">SCALE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1.0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Built &amp; validated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Web portal (Supabase)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425 leads · 143 brands</w:t>
            </w:r>
          </w:p>
        </w:tc>
      </w:tr>
    </w:tbl>
    <w:p>
      <w:pPr>
        <w:spacing w:after="130" w:line="276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7242B"/>
          <w:sz w:val="22"/>
          <w:szCs w:val="2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spacing w:after="60" w:before="340"/>
      </w:pPr>
      <w:r>
        <w:rPr>
          <w:rFonts w:ascii="Consolas" w:cs="Consolas" w:eastAsia="Consolas" w:hAnsi="Consolas"/>
          <w:b/>
          <w:bCs/>
          <w:color w:val="B8552E"/>
          <w:sz w:val="20"/>
          <w:szCs w:val="20"/>
        </w:rPr>
        <w:t xml:space="preserve">01   </w:t>
      </w:r>
      <w:r>
        <w:rPr>
          <w:rFonts w:ascii="Calibri" w:cs="Calibri" w:eastAsia="Calibri" w:hAnsi="Calibri"/>
          <w:b/>
          <w:bCs/>
          <w:color w:val="17242B"/>
        </w:rPr>
        <w:t xml:space="preserve">Summary &amp; goals</w:t>
      </w:r>
    </w:p>
    <w:p>
      <w:pPr>
        <w:spacing w:after="130" w:line="276"/>
      </w:pPr>
      <w:r>
        <w:rPr>
          <w:rFonts w:ascii="Calibri" w:cs="Calibri" w:eastAsia="Calibri" w:hAnsi="Calibri"/>
        </w:rPr>
        <w:t xml:space="preserve">KC Project Leads is a construction-materials business-development operation. Leads arrive from field visits, walk-in discussions, project BOQs and make-lists. Historically each lived in its own sheet; this product unifies them.</w:t>
      </w:r>
    </w:p>
    <w:p>
      <w:pPr>
        <w:spacing w:after="130" w:line="276"/>
      </w:pPr>
      <w:r>
        <w:rPr>
          <w:rFonts w:ascii="Calibri" w:cs="Calibri" w:eastAsia="Calibri" w:hAnsi="Calibri"/>
        </w:rPr>
        <w:t xml:space="preserve">Every material opportunity must move through one register — the Lead Bank — where it is classified against KC's category master, scored on how actionable it is, routed to the right brand owner (paid brand → SPOC; unpaid → category team lead), approved by a human, and only then turned into a sanitized brand email sent manually from a single company address. When an opportunity reaches an outcome, the lead's original source owner is told, so field credit and follow-up stay intact.</w:t>
      </w:r>
    </w:p>
    <w:p>
      <w:pPr>
        <w:pStyle w:val="Heading2"/>
        <w:keepNext/>
        <w:spacing w:after="40" w:before="180"/>
      </w:pPr>
      <w:r>
        <w:rPr>
          <w:rFonts w:ascii="Calibri" w:cs="Calibri" w:eastAsia="Calibri" w:hAnsi="Calibri"/>
          <w:b/>
          <w:bCs/>
          <w:color w:val="17242B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</w:rPr>
        <w:t xml:space="preserve">One lead register. </w:t>
      </w:r>
      <w:r>
        <w:rPr>
          <w:rFonts w:ascii="Calibri" w:cs="Calibri" w:eastAsia="Calibri" w:hAnsi="Calibri"/>
        </w:rPr>
        <w:t xml:space="preserve">Field / Discussion / BOQ / Make-List records stay put; each gets a permanent Lead ID and a linked Lead Bank row that carries the lifecycle.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</w:rPr>
        <w:t xml:space="preserve">Correct brand routing. </w:t>
      </w:r>
      <w:r>
        <w:rPr>
          <w:rFonts w:ascii="Calibri" w:cs="Calibri" w:eastAsia="Calibri" w:hAnsi="Calibri"/>
        </w:rPr>
        <w:t xml:space="preserve">Paid brands always route to their KC Sales SPOC; unpaid brands route by Domain to a Category Team Lead.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</w:rPr>
        <w:t xml:space="preserve">Human approval before any brand contact. </w:t>
      </w:r>
      <w:r>
        <w:rPr>
          <w:rFonts w:ascii="Calibri" w:cs="Calibri" w:eastAsia="Calibri" w:hAnsi="Calibri"/>
        </w:rPr>
        <w:t xml:space="preserve">No outreach leaves without an approver's sign-off.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</w:rPr>
        <w:t xml:space="preserve">Information firewall. </w:t>
      </w:r>
      <w:r>
        <w:rPr>
          <w:rFonts w:ascii="Calibri" w:cs="Calibri" w:eastAsia="Calibri" w:hAnsi="Calibri"/>
        </w:rPr>
        <w:t xml:space="preserve">A brand never sees project name, location, contacts, architect/contractor, or maps.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</w:rPr>
        <w:t xml:space="preserve">Classification &amp; scoring </w:t>
      </w:r>
      <w:r>
        <w:rPr>
          <w:rFonts w:ascii="Calibri" w:cs="Calibri" w:eastAsia="Calibri" w:hAnsi="Calibri"/>
        </w:rPr>
        <w:t xml:space="preserve">against the 11-domain category master, so the strongest, most complete leads surface first.</w:t>
      </w:r>
    </w:p>
    <w:p>
      <w:pPr>
        <w:pStyle w:val="Heading2"/>
        <w:keepNext/>
        <w:spacing w:after="40" w:before="180"/>
      </w:pPr>
      <w:r>
        <w:rPr>
          <w:rFonts w:ascii="Calibri" w:cs="Calibri" w:eastAsia="Calibri" w:hAnsi="Calibri"/>
          <w:b/>
          <w:bCs/>
          <w:color w:val="17242B"/>
        </w:rPr>
        <w:t xml:space="preserve">Non-goals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</w:rPr>
        <w:t xml:space="preserve">No automated email sending in v1 — outreach is copy-pasted and sent from the company mailbox by a person.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</w:rPr>
        <w:t xml:space="preserve">No authentication / per-user login — the portal is an open internal link (see §13).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</w:rPr>
        <w:t xml:space="preserve">Not a CRM for closing/invoicing — it manages the lead-to-brand handoff, not order fulfilment.</w:t>
      </w:r>
    </w:p>
    <w:p>
      <w:pPr>
        <w:pStyle w:val="Heading1"/>
        <w:keepNext/>
        <w:spacing w:after="60" w:before="340"/>
      </w:pPr>
      <w:r>
        <w:rPr>
          <w:rFonts w:ascii="Consolas" w:cs="Consolas" w:eastAsia="Consolas" w:hAnsi="Consolas"/>
          <w:b/>
          <w:bCs/>
          <w:color w:val="B8552E"/>
          <w:sz w:val="20"/>
          <w:szCs w:val="20"/>
        </w:rPr>
        <w:t xml:space="preserve">02   </w:t>
      </w:r>
      <w:r>
        <w:rPr>
          <w:rFonts w:ascii="Calibri" w:cs="Calibri" w:eastAsia="Calibri" w:hAnsi="Calibri"/>
          <w:b/>
          <w:bCs/>
          <w:color w:val="17242B"/>
        </w:rPr>
        <w:t xml:space="preserve">Users &amp; roles</w:t>
      </w:r>
    </w:p>
    <w:p>
      <w:pPr>
        <w:spacing w:after="130" w:line="276"/>
      </w:pPr>
      <w:r>
        <w:rPr>
          <w:rFonts w:ascii="Calibri" w:cs="Calibri" w:eastAsia="Calibri" w:hAnsi="Calibri"/>
        </w:rPr>
        <w:t xml:space="preserve">There is no login. Roles are conventions, not permissions; a person selects “I am [name]” so the personal filters know who they are (stored per browser).</w:t>
      </w:r>
    </w:p>
    <w:tbl>
      <w:tblPr>
        <w:tblW w:type="dxa" w:w="9360"/>
        <w:tblBorders>
          <w:top w:val="single" w:color="DDE2DB" w:sz="2"/>
          <w:left w:val="none"/>
          <w:bottom w:val="single" w:color="DDE2DB" w:sz="2"/>
          <w:right w:val="none"/>
          <w:insideH w:val="single" w:color="DDE2DB" w:sz="2"/>
          <w:insideV w:val="none"/>
        </w:tblBorders>
      </w:tblPr>
      <w:tblGrid>
        <w:gridCol w:w="2191"/>
        <w:gridCol w:w="2390"/>
        <w:gridCol w:w="4780"/>
      </w:tblGrid>
      <w:tr>
        <w:trPr>
          <w:tblHeader/>
        </w:trPr>
        <w:tc>
          <w:tcPr>
            <w:tcW w:type="dxa" w:w="2191"/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5F7078"/>
                <w:sz w:val="17"/>
                <w:szCs w:val="17"/>
              </w:rPr>
              <w:t xml:space="preserve">Role</w:t>
            </w:r>
          </w:p>
        </w:tc>
        <w:tc>
          <w:tcPr>
            <w:tcW w:type="dxa" w:w="2390"/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5F7078"/>
                <w:sz w:val="17"/>
                <w:szCs w:val="17"/>
              </w:rPr>
              <w:t xml:space="preserve">Who</w:t>
            </w:r>
          </w:p>
        </w:tc>
        <w:tc>
          <w:tcPr>
            <w:tcW w:type="dxa" w:w="4780"/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5F7078"/>
                <w:sz w:val="17"/>
                <w:szCs w:val="17"/>
              </w:rPr>
              <w:t xml:space="preserve">Does</w:t>
            </w:r>
          </w:p>
        </w:tc>
      </w:tr>
      <w:tr>
        <w:trPr>
          <w:tblHeader w:val="false"/>
        </w:trPr>
        <w:tc>
          <w:tcPr>
            <w:tcW w:type="dxa" w:w="2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Field / Concierge / BOQ</w:t>
            </w:r>
          </w:p>
        </w:tc>
        <w:tc>
          <w:tcPr>
            <w:tcW w:type="dxa" w:w="23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Bablu, reception, Ravi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Capture source leads. Become the Source Owner. Get a follow-up notice when their lead converts.</w:t>
            </w:r>
          </w:p>
        </w:tc>
      </w:tr>
      <w:tr>
        <w:trPr>
          <w:tblHeader w:val="false"/>
        </w:trPr>
        <w:tc>
          <w:tcPr>
            <w:tcW w:type="dxa" w:w="2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Triager</w:t>
            </w:r>
          </w:p>
        </w:tc>
        <w:tc>
          <w:tcPr>
            <w:tcW w:type="dxa" w:w="23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Any team member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Classify, score, split, and promote leads to Material Opportunities.</w:t>
            </w:r>
          </w:p>
        </w:tc>
      </w:tr>
      <w:tr>
        <w:trPr>
          <w:tblHeader w:val="false"/>
        </w:trPr>
        <w:tc>
          <w:tcPr>
            <w:tcW w:type="dxa" w:w="2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Brand Sales SPOC</w:t>
            </w:r>
          </w:p>
        </w:tc>
        <w:tc>
          <w:tcPr>
            <w:tcW w:type="dxa" w:w="23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Per paid brand (Renu, Roshan, Harsh…)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Review &amp; approve opportunities for their onboarded brand, then send the email.</w:t>
            </w:r>
          </w:p>
        </w:tc>
      </w:tr>
      <w:tr>
        <w:trPr>
          <w:tblHeader w:val="false"/>
        </w:trPr>
        <w:tc>
          <w:tcPr>
            <w:tcW w:type="dxa" w:w="2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Category Team Lead</w:t>
            </w:r>
          </w:p>
        </w:tc>
        <w:tc>
          <w:tcPr>
            <w:tcW w:type="dxa" w:w="23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Renu, Rutvij, Harsh, Roshan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Own unpaid-brand opportunities in their domain; assign a member, review, approve.</w:t>
            </w:r>
          </w:p>
        </w:tc>
      </w:tr>
      <w:tr>
        <w:trPr>
          <w:tblHeader w:val="false"/>
        </w:trPr>
        <w:tc>
          <w:tcPr>
            <w:tcW w:type="dxa" w:w="2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Team member</w:t>
            </w:r>
          </w:p>
        </w:tc>
        <w:tc>
          <w:tcPr>
            <w:tcW w:type="dxa" w:w="23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Category team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Prepare outreach; cannot send without Team Lead approval.</w:t>
            </w:r>
          </w:p>
        </w:tc>
      </w:tr>
    </w:tbl>
    <w:p>
      <w:pPr>
        <w:pStyle w:val="Heading1"/>
        <w:keepNext/>
        <w:spacing w:after="60" w:before="340"/>
      </w:pPr>
      <w:r>
        <w:rPr>
          <w:rFonts w:ascii="Consolas" w:cs="Consolas" w:eastAsia="Consolas" w:hAnsi="Consolas"/>
          <w:b/>
          <w:bCs/>
          <w:color w:val="B8552E"/>
          <w:sz w:val="20"/>
          <w:szCs w:val="20"/>
        </w:rPr>
        <w:t xml:space="preserve">03   </w:t>
      </w:r>
      <w:r>
        <w:rPr>
          <w:rFonts w:ascii="Calibri" w:cs="Calibri" w:eastAsia="Calibri" w:hAnsi="Calibri"/>
          <w:b/>
          <w:bCs/>
          <w:color w:val="17242B"/>
        </w:rPr>
        <w:t xml:space="preserve">System overview</w:t>
      </w:r>
    </w:p>
    <w:p>
      <w:pPr>
        <w:spacing w:after="130" w:line="276"/>
      </w:pPr>
      <w:r>
        <w:rPr>
          <w:rFonts w:ascii="Calibri" w:cs="Calibri" w:eastAsia="Calibri" w:hAnsi="Calibri"/>
        </w:rPr>
        <w:t xml:space="preserve">A single-page web portal (index.html) reads and writes a Supabase Postgres database directly and is hosted on GitHub Pages. No build step, no backend server.</w:t>
      </w:r>
    </w:p>
    <w:p>
      <w:pPr>
        <w:spacing w:after="120" w:before="80"/>
        <w:jc w:val="center"/>
      </w:pPr>
      <w:r>
        <w:rPr>
          <w:rFonts w:ascii="Calibri" w:cs="Calibri" w:eastAsia="Calibri" w:hAnsi="Calibri"/>
          <w:b/>
          <w:bCs/>
          <w:color w:val="15607A"/>
          <w:sz w:val="20"/>
          <w:szCs w:val="20"/>
        </w:rPr>
        <w:t xml:space="preserve">SOURCE  →  LEAD BANK  →  MATERIAL OPPORTUNITY  →  BRAND / CATEGORY OWNER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B8552E"/>
          <w:sz w:val="20"/>
          <w:szCs w:val="20"/>
        </w:rPr>
        <w:t xml:space="preserve">→  APPROVAL  →  SANITIZED EMAIL → BRAND  →  OUTCOME  →  SOURCE FOLLOW-UP</w:t>
      </w:r>
    </w:p>
    <w:tbl>
      <w:tblPr>
        <w:tblW w:type="dxa" w:w="9360"/>
        <w:tblBorders>
          <w:top w:val="single" w:color="DDE2DB" w:sz="2"/>
          <w:left w:val="none"/>
          <w:bottom w:val="single" w:color="DDE2DB" w:sz="2"/>
          <w:right w:val="none"/>
          <w:insideH w:val="single" w:color="DDE2DB" w:sz="2"/>
          <w:insideV w:val="none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5F7078"/>
                <w:sz w:val="17"/>
                <w:szCs w:val="17"/>
              </w:rPr>
              <w:t xml:space="preserve">Figure</w:t>
            </w:r>
          </w:p>
        </w:tc>
        <w:tc>
          <w:tcPr>
            <w:tcW w:type="dxa" w:w="7020"/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5F7078"/>
                <w:sz w:val="17"/>
                <w:szCs w:val="17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425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Leads in the bank — 112 field · 64 discussions · 249 BOQ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11 / 37 / 197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Category master — domains / groups / families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143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Brands in master — 105 with a KC Sales SPOC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16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Lifecycle statuses, New → Closed</w:t>
            </w:r>
          </w:p>
        </w:tc>
      </w:tr>
    </w:tbl>
    <w:p>
      <w:pPr>
        <w:spacing w:after="130" w:line="276"/>
      </w:pPr>
      <w:r>
        <w:rPr>
          <w:rFonts w:ascii="Calibri" w:cs="Calibri" w:eastAsia="Calibri" w:hAnsi="Calibri"/>
        </w:rPr>
        <w:t xml:space="preserve">Stack: vanilla-JS single file · Supabase (Postgres + PostgREST + Row-Level Security) · GitHub Pages. Live edits by others appear via Supabase Realtime.</w:t>
      </w:r>
    </w:p>
    <w:p>
      <w:pPr>
        <w:pStyle w:val="Heading1"/>
        <w:keepNext/>
        <w:spacing w:after="60" w:before="340"/>
      </w:pPr>
      <w:r>
        <w:rPr>
          <w:rFonts w:ascii="Consolas" w:cs="Consolas" w:eastAsia="Consolas" w:hAnsi="Consolas"/>
          <w:b/>
          <w:bCs/>
          <w:color w:val="B8552E"/>
          <w:sz w:val="20"/>
          <w:szCs w:val="20"/>
        </w:rPr>
        <w:t xml:space="preserve">04   </w:t>
      </w:r>
      <w:r>
        <w:rPr>
          <w:rFonts w:ascii="Calibri" w:cs="Calibri" w:eastAsia="Calibri" w:hAnsi="Calibri"/>
          <w:b/>
          <w:bCs/>
          <w:color w:val="17242B"/>
        </w:rPr>
        <w:t xml:space="preserve">Data model</w:t>
      </w:r>
    </w:p>
    <w:p>
      <w:pPr>
        <w:spacing w:after="130" w:line="276"/>
      </w:pPr>
      <w:r>
        <w:rPr>
          <w:rFonts w:ascii="Calibri" w:cs="Calibri" w:eastAsia="Calibri" w:hAnsi="Calibri"/>
        </w:rPr>
        <w:t xml:space="preserve">Fifteen tables. The five source tables are never moved out of; the register links to them by source_table + source_record_id.</w:t>
      </w:r>
    </w:p>
    <w:tbl>
      <w:tblPr>
        <w:tblW w:type="dxa" w:w="9360"/>
        <w:tblBorders>
          <w:top w:val="single" w:color="DDE2DB" w:sz="2"/>
          <w:left w:val="none"/>
          <w:bottom w:val="single" w:color="DDE2DB" w:sz="2"/>
          <w:right w:val="none"/>
          <w:insideH w:val="single" w:color="DDE2DB" w:sz="2"/>
          <w:insideV w:val="none"/>
        </w:tblBorders>
      </w:tblPr>
      <w:tblGrid>
        <w:gridCol w:w="2191"/>
        <w:gridCol w:w="2589"/>
        <w:gridCol w:w="4580"/>
      </w:tblGrid>
      <w:tr>
        <w:trPr>
          <w:tblHeader/>
        </w:trPr>
        <w:tc>
          <w:tcPr>
            <w:tcW w:type="dxa" w:w="2191"/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5F7078"/>
                <w:sz w:val="17"/>
                <w:szCs w:val="17"/>
              </w:rPr>
              <w:t xml:space="preserve">Table</w:t>
            </w:r>
          </w:p>
        </w:tc>
        <w:tc>
          <w:tcPr>
            <w:tcW w:type="dxa" w:w="2589"/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5F7078"/>
                <w:sz w:val="17"/>
                <w:szCs w:val="17"/>
              </w:rPr>
              <w:t xml:space="preserve">Role</w:t>
            </w:r>
          </w:p>
        </w:tc>
        <w:tc>
          <w:tcPr>
            <w:tcW w:type="dxa" w:w="4580"/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5F7078"/>
                <w:sz w:val="17"/>
                <w:szCs w:val="17"/>
              </w:rPr>
              <w:t xml:space="preserve">Key columns</w:t>
            </w:r>
          </w:p>
        </w:tc>
      </w:tr>
      <w:tr>
        <w:trPr>
          <w:tblHeader w:val="false"/>
        </w:trPr>
        <w:tc>
          <w:tcPr>
            <w:tcW w:type="dxa" w:w="2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C3F52"/>
                <w:sz w:val="19"/>
                <w:szCs w:val="19"/>
              </w:rPr>
              <w:t xml:space="preserve">lead_register</w:t>
            </w:r>
          </w:p>
        </w:tc>
        <w:tc>
          <w:tcPr>
            <w:tcW w:type="dxa" w:w="25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The Lead Bank (register)</w:t>
            </w:r>
          </w:p>
        </w:tc>
        <w:tc>
          <w:tcPr>
            <w:tcW w:type="dxa" w:w="4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C3F52"/>
                <w:sz w:val="19"/>
                <w:szCs w:val="19"/>
              </w:rPr>
              <w:t xml:space="preserve">lead_id (LB-#####), source, source_table, source_record_id, domain, category_group, category_family, lead_status, brand_status, assigned_to, lead_score, parent_lead_id, opportunity_id</w:t>
            </w:r>
          </w:p>
        </w:tc>
      </w:tr>
      <w:tr>
        <w:trPr>
          <w:tblHeader w:val="false"/>
        </w:trPr>
        <w:tc>
          <w:tcPr>
            <w:tcW w:type="dxa" w:w="2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C3F52"/>
                <w:sz w:val="19"/>
                <w:szCs w:val="19"/>
              </w:rPr>
              <w:t xml:space="preserve">lead_events</w:t>
            </w:r>
          </w:p>
        </w:tc>
        <w:tc>
          <w:tcPr>
            <w:tcW w:type="dxa" w:w="25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Per-lead history</w:t>
            </w:r>
          </w:p>
        </w:tc>
        <w:tc>
          <w:tcPr>
            <w:tcW w:type="dxa" w:w="4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C3F52"/>
                <w:sz w:val="19"/>
                <w:szCs w:val="19"/>
              </w:rPr>
              <w:t xml:space="preserve">lead_id, event_type, detail, actor, created_at</w:t>
            </w:r>
          </w:p>
        </w:tc>
      </w:tr>
      <w:tr>
        <w:trPr>
          <w:tblHeader w:val="false"/>
        </w:trPr>
        <w:tc>
          <w:tcPr>
            <w:tcW w:type="dxa" w:w="2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C3F52"/>
                <w:sz w:val="19"/>
                <w:szCs w:val="19"/>
              </w:rPr>
              <w:t xml:space="preserve">field_leads</w:t>
            </w:r>
          </w:p>
        </w:tc>
        <w:tc>
          <w:tcPr>
            <w:tcW w:type="dxa" w:w="25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Source · site visits</w:t>
            </w:r>
          </w:p>
        </w:tc>
        <w:tc>
          <w:tcPr>
            <w:tcW w:type="dxa" w:w="4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C3F52"/>
                <w:sz w:val="19"/>
                <w:szCs w:val="19"/>
              </w:rPr>
              <w:t xml:space="preserve">site_name, material_needed, field_exec, visit_status</w:t>
            </w:r>
          </w:p>
        </w:tc>
      </w:tr>
      <w:tr>
        <w:trPr>
          <w:tblHeader w:val="false"/>
        </w:trPr>
        <w:tc>
          <w:tcPr>
            <w:tcW w:type="dxa" w:w="2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C3F52"/>
                <w:sz w:val="19"/>
                <w:szCs w:val="19"/>
              </w:rPr>
              <w:t xml:space="preserve">discussions</w:t>
            </w:r>
          </w:p>
        </w:tc>
        <w:tc>
          <w:tcPr>
            <w:tcW w:type="dxa" w:w="25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Source · walk-ins / architects</w:t>
            </w:r>
          </w:p>
        </w:tc>
        <w:tc>
          <w:tcPr>
            <w:tcW w:type="dxa" w:w="4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C3F52"/>
                <w:sz w:val="19"/>
                <w:szCs w:val="19"/>
              </w:rPr>
              <w:t xml:space="preserve">visitor_name, visitor_type, concierge, visitor_id</w:t>
            </w:r>
          </w:p>
        </w:tc>
      </w:tr>
      <w:tr>
        <w:trPr>
          <w:tblHeader w:val="false"/>
        </w:trPr>
        <w:tc>
          <w:tcPr>
            <w:tcW w:type="dxa" w:w="2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C3F52"/>
                <w:sz w:val="19"/>
                <w:szCs w:val="19"/>
              </w:rPr>
              <w:t xml:space="preserve">boq_materials</w:t>
            </w:r>
          </w:p>
        </w:tc>
        <w:tc>
          <w:tcPr>
            <w:tcW w:type="dxa" w:w="25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Source · project BOQ</w:t>
            </w:r>
          </w:p>
        </w:tc>
        <w:tc>
          <w:tcPr>
            <w:tcW w:type="dxa" w:w="4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C3F52"/>
                <w:sz w:val="19"/>
                <w:szCs w:val="19"/>
              </w:rPr>
              <w:t xml:space="preserve">boq_id, trade, target_brands, mapped_stage, assignee</w:t>
            </w:r>
          </w:p>
        </w:tc>
      </w:tr>
      <w:tr>
        <w:trPr>
          <w:tblHeader w:val="false"/>
        </w:trPr>
        <w:tc>
          <w:tcPr>
            <w:tcW w:type="dxa" w:w="2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C3F52"/>
                <w:sz w:val="19"/>
                <w:szCs w:val="19"/>
              </w:rPr>
              <w:t xml:space="preserve">make_list</w:t>
            </w:r>
          </w:p>
        </w:tc>
        <w:tc>
          <w:tcPr>
            <w:tcW w:type="dxa" w:w="25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Source · make lists (empty until imported)</w:t>
            </w:r>
          </w:p>
        </w:tc>
        <w:tc>
          <w:tcPr>
            <w:tcW w:type="dxa" w:w="4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C3F52"/>
                <w:sz w:val="19"/>
                <w:szCs w:val="19"/>
              </w:rPr>
              <w:t xml:space="preserve">make_id, brand_make, category, source_owner</w:t>
            </w:r>
          </w:p>
        </w:tc>
      </w:tr>
      <w:tr>
        <w:trPr>
          <w:tblHeader w:val="false"/>
        </w:trPr>
        <w:tc>
          <w:tcPr>
            <w:tcW w:type="dxa" w:w="2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C3F52"/>
                <w:sz w:val="19"/>
                <w:szCs w:val="19"/>
              </w:rPr>
              <w:t xml:space="preserve">brand_opportunities</w:t>
            </w:r>
          </w:p>
        </w:tc>
        <w:tc>
          <w:tcPr>
            <w:tcW w:type="dxa" w:w="25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Sanitized brand handoff + audit</w:t>
            </w:r>
          </w:p>
        </w:tc>
        <w:tc>
          <w:tcPr>
            <w:tcW w:type="dxa" w:w="4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C3F52"/>
                <w:sz w:val="19"/>
                <w:szCs w:val="19"/>
              </w:rPr>
              <w:t xml:space="preserve">opp_id, brand, category(domain), paid, spoc, team_lead, approver, approval_status, sent_date, sender, email_status, project_type, stage_band, requirement, quantity, approx_value + internal project_id/internal_notes</w:t>
            </w:r>
          </w:p>
        </w:tc>
      </w:tr>
      <w:tr>
        <w:trPr>
          <w:tblHeader w:val="false"/>
        </w:trPr>
        <w:tc>
          <w:tcPr>
            <w:tcW w:type="dxa" w:w="2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C3F52"/>
                <w:sz w:val="19"/>
                <w:szCs w:val="19"/>
              </w:rPr>
              <w:t xml:space="preserve">brands</w:t>
            </w:r>
          </w:p>
        </w:tc>
        <w:tc>
          <w:tcPr>
            <w:tcW w:type="dxa" w:w="25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Brand master</w:t>
            </w:r>
          </w:p>
        </w:tc>
        <w:tc>
          <w:tcPr>
            <w:tcW w:type="dxa" w:w="4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C3F52"/>
                <w:sz w:val="19"/>
                <w:szCs w:val="19"/>
              </w:rPr>
              <w:t xml:space="preserve">brand, category, sales_poc, onboarding_poc</w:t>
            </w:r>
          </w:p>
        </w:tc>
      </w:tr>
      <w:tr>
        <w:trPr>
          <w:tblHeader w:val="false"/>
        </w:trPr>
        <w:tc>
          <w:tcPr>
            <w:tcW w:type="dxa" w:w="2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C3F52"/>
                <w:sz w:val="19"/>
                <w:szCs w:val="19"/>
              </w:rPr>
              <w:t xml:space="preserve">paid_brands</w:t>
            </w:r>
          </w:p>
        </w:tc>
        <w:tc>
          <w:tcPr>
            <w:tcW w:type="dxa" w:w="25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Onboarded / routable brands</w:t>
            </w:r>
          </w:p>
        </w:tc>
        <w:tc>
          <w:tcPr>
            <w:tcW w:type="dxa" w:w="4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C3F52"/>
                <w:sz w:val="19"/>
                <w:szCs w:val="19"/>
              </w:rPr>
              <w:t xml:space="preserve">brand, spoc, category, active</w:t>
            </w:r>
          </w:p>
        </w:tc>
      </w:tr>
      <w:tr>
        <w:trPr>
          <w:tblHeader w:val="false"/>
        </w:trPr>
        <w:tc>
          <w:tcPr>
            <w:tcW w:type="dxa" w:w="2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C3F52"/>
                <w:sz w:val="19"/>
                <w:szCs w:val="19"/>
              </w:rPr>
              <w:t xml:space="preserve">categories</w:t>
            </w:r>
          </w:p>
        </w:tc>
        <w:tc>
          <w:tcPr>
            <w:tcW w:type="dxa" w:w="25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Category master reference</w:t>
            </w:r>
          </w:p>
        </w:tc>
        <w:tc>
          <w:tcPr>
            <w:tcW w:type="dxa" w:w="4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C3F52"/>
                <w:sz w:val="19"/>
                <w:szCs w:val="19"/>
              </w:rPr>
              <w:t xml:space="preserve">domain, category_group, family</w:t>
            </w:r>
          </w:p>
        </w:tc>
      </w:tr>
      <w:tr>
        <w:trPr>
          <w:tblHeader w:val="false"/>
        </w:trPr>
        <w:tc>
          <w:tcPr>
            <w:tcW w:type="dxa" w:w="2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C3F52"/>
                <w:sz w:val="19"/>
                <w:szCs w:val="19"/>
              </w:rPr>
              <w:t xml:space="preserve">team_members</w:t>
            </w:r>
          </w:p>
        </w:tc>
        <w:tc>
          <w:tcPr>
            <w:tcW w:type="dxa" w:w="25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Name → email / role</w:t>
            </w:r>
          </w:p>
        </w:tc>
        <w:tc>
          <w:tcPr>
            <w:tcW w:type="dxa" w:w="4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C3F52"/>
                <w:sz w:val="19"/>
                <w:szCs w:val="19"/>
              </w:rPr>
              <w:t xml:space="preserve">name, email, role, active</w:t>
            </w:r>
          </w:p>
        </w:tc>
      </w:tr>
      <w:tr>
        <w:trPr>
          <w:tblHeader w:val="false"/>
        </w:trPr>
        <w:tc>
          <w:tcPr>
            <w:tcW w:type="dxa" w:w="2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C3F52"/>
                <w:sz w:val="19"/>
                <w:szCs w:val="19"/>
              </w:rPr>
              <w:t xml:space="preserve">app_settings</w:t>
            </w:r>
          </w:p>
        </w:tc>
        <w:tc>
          <w:tcPr>
            <w:tcW w:type="dxa" w:w="25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Config (key/value)</w:t>
            </w:r>
          </w:p>
        </w:tc>
        <w:tc>
          <w:tcPr>
            <w:tcW w:type="dxa" w:w="4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C3F52"/>
                <w:sz w:val="19"/>
                <w:szCs w:val="19"/>
              </w:rPr>
              <w:t xml:space="preserve">key, value (sender, threshold, lead:&lt;Domain&gt;)</w:t>
            </w:r>
          </w:p>
        </w:tc>
      </w:tr>
      <w:tr>
        <w:trPr>
          <w:tblHeader w:val="false"/>
        </w:trPr>
        <w:tc>
          <w:tcPr>
            <w:tcW w:type="dxa" w:w="2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C3F52"/>
                <w:sz w:val="19"/>
                <w:szCs w:val="19"/>
              </w:rPr>
              <w:t xml:space="preserve">projects / project_stages / duplicates</w:t>
            </w:r>
          </w:p>
        </w:tc>
        <w:tc>
          <w:tcPr>
            <w:tcW w:type="dxa" w:w="25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Project intelligence (pre-existing)</w:t>
            </w:r>
          </w:p>
        </w:tc>
        <w:tc>
          <w:tcPr>
            <w:tcW w:type="dxa" w:w="4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C3F52"/>
                <w:sz w:val="19"/>
                <w:szCs w:val="19"/>
              </w:rPr>
              <w:t xml:space="preserve">KC-001/002/003, stage timeline, dup review</w:t>
            </w:r>
          </w:p>
        </w:tc>
      </w:tr>
    </w:tbl>
    <w:p>
      <w:pPr>
        <w:spacing w:after="130" w:line="276"/>
      </w:pPr>
      <w:r>
        <w:rPr>
          <w:rFonts w:ascii="Calibri" w:cs="Calibri" w:eastAsia="Calibri" w:hAnsi="Calibri"/>
        </w:rPr>
        <w:t xml:space="preserve">Sync guarantee: a database trigger creates a Lead Bank row the instant a source record is inserted; a Sync sources button backfills any gaps. Junk project references (non-KC-) are stored blank — leads are never forced into a project.</w:t>
      </w:r>
    </w:p>
    <w:p>
      <w:pPr>
        <w:pStyle w:val="Heading1"/>
        <w:keepNext/>
        <w:spacing w:after="60" w:before="340"/>
      </w:pPr>
      <w:r>
        <w:rPr>
          <w:rFonts w:ascii="Consolas" w:cs="Consolas" w:eastAsia="Consolas" w:hAnsi="Consolas"/>
          <w:b/>
          <w:bCs/>
          <w:color w:val="B8552E"/>
          <w:sz w:val="20"/>
          <w:szCs w:val="20"/>
        </w:rPr>
        <w:t xml:space="preserve">05   </w:t>
      </w:r>
      <w:r>
        <w:rPr>
          <w:rFonts w:ascii="Calibri" w:cs="Calibri" w:eastAsia="Calibri" w:hAnsi="Calibri"/>
          <w:b/>
          <w:bCs/>
          <w:color w:val="17242B"/>
        </w:rPr>
        <w:t xml:space="preserve">Category master</w:t>
      </w:r>
    </w:p>
    <w:p>
      <w:pPr>
        <w:spacing w:after="130" w:line="276"/>
      </w:pPr>
      <w:r>
        <w:rPr>
          <w:rFonts w:ascii="Calibri" w:cs="Calibri" w:eastAsia="Calibri" w:hAnsi="Calibri"/>
        </w:rPr>
        <w:t xml:space="preserve">KC's INSITE taxonomy: Domain → Group → Family (deeper Category / Sub-Category levels exist and can be loaded later). A lead is classified to any available depth; the Domain drives unpaid-brand routing.</w:t>
      </w:r>
    </w:p>
    <w:tbl>
      <w:tblPr>
        <w:tblW w:type="dxa" w:w="9360"/>
        <w:tblBorders>
          <w:top w:val="single" w:color="DDE2DB" w:sz="2"/>
          <w:left w:val="none"/>
          <w:bottom w:val="single" w:color="DDE2DB" w:sz="2"/>
          <w:right w:val="none"/>
          <w:insideH w:val="single" w:color="DDE2DB" w:sz="2"/>
          <w:insideV w:val="none"/>
        </w:tblBorders>
      </w:tblPr>
      <w:tblGrid>
        <w:gridCol w:w="936"/>
        <w:gridCol w:w="5148"/>
        <w:gridCol w:w="3276"/>
      </w:tblGrid>
      <w:tr>
        <w:trPr>
          <w:tblHeader/>
        </w:trPr>
        <w:tc>
          <w:tcPr>
            <w:tcW w:type="dxa" w:w="936"/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5F7078"/>
                <w:sz w:val="17"/>
                <w:szCs w:val="17"/>
              </w:rPr>
              <w:t xml:space="preserve">#</w:t>
            </w:r>
          </w:p>
        </w:tc>
        <w:tc>
          <w:tcPr>
            <w:tcW w:type="dxa" w:w="5148"/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5F7078"/>
                <w:sz w:val="17"/>
                <w:szCs w:val="17"/>
              </w:rPr>
              <w:t xml:space="preserve">Domain</w:t>
            </w:r>
          </w:p>
        </w:tc>
        <w:tc>
          <w:tcPr>
            <w:tcW w:type="dxa" w:w="3276"/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5F7078"/>
                <w:sz w:val="17"/>
                <w:szCs w:val="17"/>
              </w:rPr>
              <w:t xml:space="preserve">Category Team Lead</w:t>
            </w:r>
          </w:p>
        </w:tc>
      </w:tr>
      <w:tr>
        <w:trPr>
          <w:tblHeader w:val="false"/>
        </w:trP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51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Building Envelope</w:t>
            </w:r>
          </w:p>
        </w:tc>
        <w:tc>
          <w:tcPr>
            <w:tcW w:type="dxa" w:w="3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Roshan</w:t>
            </w:r>
          </w:p>
        </w:tc>
      </w:tr>
      <w:tr>
        <w:trPr>
          <w:tblHeader w:val="false"/>
        </w:trP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51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Building Materials</w:t>
            </w:r>
          </w:p>
        </w:tc>
        <w:tc>
          <w:tcPr>
            <w:tcW w:type="dxa" w:w="3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Renu</w:t>
            </w:r>
          </w:p>
        </w:tc>
      </w:tr>
      <w:tr>
        <w:trPr>
          <w:tblHeader w:val="false"/>
        </w:trP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51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Interior Surfaces &amp; Finishes</w:t>
            </w:r>
          </w:p>
        </w:tc>
        <w:tc>
          <w:tcPr>
            <w:tcW w:type="dxa" w:w="3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Renu</w:t>
            </w:r>
          </w:p>
        </w:tc>
      </w:tr>
      <w:tr>
        <w:trPr>
          <w:tblHeader w:val="false"/>
        </w:trP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51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MEP Systems</w:t>
            </w:r>
          </w:p>
        </w:tc>
        <w:tc>
          <w:tcPr>
            <w:tcW w:type="dxa" w:w="3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Rutvij</w:t>
            </w:r>
          </w:p>
        </w:tc>
      </w:tr>
      <w:tr>
        <w:trPr>
          <w:tblHeader w:val="false"/>
        </w:trP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51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Hardware, Tools &amp; Services</w:t>
            </w:r>
          </w:p>
        </w:tc>
        <w:tc>
          <w:tcPr>
            <w:tcW w:type="dxa" w:w="3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Harsh</w:t>
            </w:r>
          </w:p>
        </w:tc>
      </w:tr>
      <w:tr>
        <w:trPr>
          <w:tblHeader w:val="false"/>
        </w:trP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51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Furniture &amp; Interiors</w:t>
            </w:r>
          </w:p>
        </w:tc>
        <w:tc>
          <w:tcPr>
            <w:tcW w:type="dxa" w:w="3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TEAM LEAD REQUIRED</w:t>
            </w:r>
          </w:p>
        </w:tc>
      </w:tr>
      <w:tr>
        <w:trPr>
          <w:tblHeader w:val="false"/>
        </w:trP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51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Kitchen &amp; Bathroom</w:t>
            </w:r>
          </w:p>
        </w:tc>
        <w:tc>
          <w:tcPr>
            <w:tcW w:type="dxa" w:w="3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TEAM LEAD REQUIRED</w:t>
            </w:r>
          </w:p>
        </w:tc>
      </w:tr>
      <w:tr>
        <w:trPr>
          <w:tblHeader w:val="false"/>
        </w:trP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51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Structure &amp; Civil Works</w:t>
            </w:r>
          </w:p>
        </w:tc>
        <w:tc>
          <w:tcPr>
            <w:tcW w:type="dxa" w:w="3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TEAM LEAD REQUIRED</w:t>
            </w:r>
          </w:p>
        </w:tc>
      </w:tr>
      <w:tr>
        <w:trPr>
          <w:tblHeader w:val="false"/>
        </w:trP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dxa" w:w="51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Outdoor &amp; Landscape</w:t>
            </w:r>
          </w:p>
        </w:tc>
        <w:tc>
          <w:tcPr>
            <w:tcW w:type="dxa" w:w="3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TEAM LEAD REQUIRED</w:t>
            </w:r>
          </w:p>
        </w:tc>
      </w:tr>
      <w:tr>
        <w:trPr>
          <w:tblHeader w:val="false"/>
        </w:trP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dxa" w:w="51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Energy &amp; Sustainability</w:t>
            </w:r>
          </w:p>
        </w:tc>
        <w:tc>
          <w:tcPr>
            <w:tcW w:type="dxa" w:w="3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TEAM LEAD REQUIRED</w:t>
            </w:r>
          </w:p>
        </w:tc>
      </w:tr>
      <w:tr>
        <w:trPr>
          <w:tblHeader w:val="false"/>
        </w:trP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11</w:t>
            </w:r>
          </w:p>
        </w:tc>
        <w:tc>
          <w:tcPr>
            <w:tcW w:type="dxa" w:w="51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Safety &amp; Compliance</w:t>
            </w:r>
          </w:p>
        </w:tc>
        <w:tc>
          <w:tcPr>
            <w:tcW w:type="dxa" w:w="3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TEAM LEAD REQUIRED</w:t>
            </w:r>
          </w:p>
        </w:tc>
      </w:tr>
    </w:tbl>
    <w:p>
      <w:pPr>
        <w:spacing w:after="130" w:line="276"/>
      </w:pPr>
      <w:r>
        <w:rPr>
          <w:rFonts w:ascii="Calibri" w:cs="Calibri" w:eastAsia="Calibri" w:hAnsi="Calibri"/>
        </w:rPr>
        <w:t xml:space="preserve">Domain→lead mapping lives in app_settings (lead:&lt;Domain&gt;) and is editable. Unmapped domains deliberately show TEAM LEAD REQUIRED rather than being mis-assigned.</w:t>
      </w:r>
    </w:p>
    <w:p>
      <w:pPr>
        <w:pStyle w:val="Heading1"/>
        <w:keepNext/>
        <w:spacing w:after="60" w:before="340"/>
      </w:pPr>
      <w:r>
        <w:rPr>
          <w:rFonts w:ascii="Consolas" w:cs="Consolas" w:eastAsia="Consolas" w:hAnsi="Consolas"/>
          <w:b/>
          <w:bCs/>
          <w:color w:val="B8552E"/>
          <w:sz w:val="20"/>
          <w:szCs w:val="20"/>
        </w:rPr>
        <w:t xml:space="preserve">06   </w:t>
      </w:r>
      <w:r>
        <w:rPr>
          <w:rFonts w:ascii="Calibri" w:cs="Calibri" w:eastAsia="Calibri" w:hAnsi="Calibri"/>
          <w:b/>
          <w:bCs/>
          <w:color w:val="17242B"/>
        </w:rPr>
        <w:t xml:space="preserve">Routing rules</w:t>
      </w:r>
    </w:p>
    <w:p>
      <w:pPr>
        <w:spacing w:after="130" w:line="276"/>
      </w:pPr>
      <w:r>
        <w:rPr>
          <w:rFonts w:ascii="Calibri" w:cs="Calibri" w:eastAsia="Calibri" w:hAnsi="Calibri"/>
        </w:rPr>
        <w:t xml:space="preserve">The single rule that resolves every opportunity's owner. Computed live in the opportunity editor as Brand and Category are chosen.</w:t>
      </w:r>
    </w:p>
    <w:tbl>
      <w:tblPr>
        <w:tblW w:type="dxa" w:w="9360"/>
        <w:tblBorders>
          <w:top w:val="single" w:color="DDE2DB" w:sz="2"/>
          <w:left w:val="none"/>
          <w:bottom w:val="single" w:color="DDE2DB" w:sz="2"/>
          <w:right w:val="none"/>
          <w:insideH w:val="single" w:color="DDE2DB" w:sz="2"/>
          <w:insideV w:val="none"/>
        </w:tblBorders>
      </w:tblPr>
      <w:tblGrid>
        <w:gridCol w:w="3467"/>
        <w:gridCol w:w="1387"/>
        <w:gridCol w:w="2773"/>
        <w:gridCol w:w="1733"/>
      </w:tblGrid>
      <w:tr>
        <w:trPr>
          <w:tblHeader/>
        </w:trPr>
        <w:tc>
          <w:tcPr>
            <w:tcW w:type="dxa" w:w="3467"/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5F7078"/>
                <w:sz w:val="17"/>
                <w:szCs w:val="17"/>
              </w:rPr>
              <w:t xml:space="preserve">Condition</w:t>
            </w:r>
          </w:p>
        </w:tc>
        <w:tc>
          <w:tcPr>
            <w:tcW w:type="dxa" w:w="1387"/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5F7078"/>
                <w:sz w:val="17"/>
                <w:szCs w:val="17"/>
              </w:rPr>
              <w:t xml:space="preserve">Paid?</w:t>
            </w:r>
          </w:p>
        </w:tc>
        <w:tc>
          <w:tcPr>
            <w:tcW w:type="dxa" w:w="2773"/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5F7078"/>
                <w:sz w:val="17"/>
                <w:szCs w:val="17"/>
              </w:rPr>
              <w:t xml:space="preserve">Routes to</w:t>
            </w:r>
          </w:p>
        </w:tc>
        <w:tc>
          <w:tcPr>
            <w:tcW w:type="dxa" w:w="1733"/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5F7078"/>
                <w:sz w:val="17"/>
                <w:szCs w:val="17"/>
              </w:rPr>
              <w:t xml:space="preserve">Approver</w:t>
            </w:r>
          </w:p>
        </w:tc>
      </w:tr>
      <w:tr>
        <w:trPr>
          <w:tblHeader w:val="false"/>
        </w:trPr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Brand has a KC Sales POC (onboarded)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Paid</w:t>
            </w:r>
          </w:p>
        </w:tc>
        <w:tc>
          <w:tcPr>
            <w:tcW w:type="dxa" w:w="27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That brand's SPOC</w:t>
            </w:r>
          </w:p>
        </w:tc>
        <w:tc>
          <w:tcPr>
            <w:tcW w:type="dxa" w:w="17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The SPOC</w:t>
            </w:r>
          </w:p>
        </w:tc>
      </w:tr>
      <w:tr>
        <w:trPr>
          <w:tblHeader w:val="false"/>
        </w:trPr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Not onboarded, Domain has a lead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Unpaid</w:t>
            </w:r>
          </w:p>
        </w:tc>
        <w:tc>
          <w:tcPr>
            <w:tcW w:type="dxa" w:w="27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The Category Team Lead for the Domain</w:t>
            </w:r>
          </w:p>
        </w:tc>
        <w:tc>
          <w:tcPr>
            <w:tcW w:type="dxa" w:w="17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The Team Lead</w:t>
            </w:r>
          </w:p>
        </w:tc>
      </w:tr>
      <w:tr>
        <w:trPr>
          <w:tblHeader w:val="false"/>
        </w:trPr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Not onboarded, Domain unmapped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Unpaid</w:t>
            </w:r>
          </w:p>
        </w:tc>
        <w:tc>
          <w:tcPr>
            <w:tcW w:type="dxa" w:w="27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TEAM LEAD REQUIRED</w:t>
            </w:r>
          </w:p>
        </w:tc>
        <w:tc>
          <w:tcPr>
            <w:tcW w:type="dxa" w:w="17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— (assign first)</w:t>
            </w:r>
          </w:p>
        </w:tc>
      </w:tr>
    </w:tbl>
    <w:tbl>
      <w:tblPr>
        <w:tblW w:type="dxa" w:w="9360"/>
        <w:tblBorders>
          <w:top w:val="none"/>
          <w:left w:val="single" w:color="B8552E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8F5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5F7078"/>
                <w:sz w:val="16"/>
                <w:szCs w:val="16"/>
              </w:rPr>
              <w:t xml:space="preserve">CATEGORY FOLLOWS THE BRAND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When a known brand is picked, its Domain auto-fills from the brand master. If the brand's domain can't be determined, or the chosen Category conflicts with the brand's known domain, the editor warns — because the Category decides the Team Lead for unpaid brands.</w:t>
            </w:r>
          </w:p>
        </w:tc>
      </w:tr>
    </w:tbl>
    <w:p>
      <w:pPr>
        <w:spacing w:after="130" w:line="276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keepNext/>
        <w:spacing w:after="60" w:before="340"/>
      </w:pPr>
      <w:r>
        <w:rPr>
          <w:rFonts w:ascii="Consolas" w:cs="Consolas" w:eastAsia="Consolas" w:hAnsi="Consolas"/>
          <w:b/>
          <w:bCs/>
          <w:color w:val="B8552E"/>
          <w:sz w:val="20"/>
          <w:szCs w:val="20"/>
        </w:rPr>
        <w:t xml:space="preserve">07   </w:t>
      </w:r>
      <w:r>
        <w:rPr>
          <w:rFonts w:ascii="Calibri" w:cs="Calibri" w:eastAsia="Calibri" w:hAnsi="Calibri"/>
          <w:b/>
          <w:bCs/>
          <w:color w:val="17242B"/>
        </w:rPr>
        <w:t xml:space="preserve">Flows in detail</w:t>
      </w:r>
    </w:p>
    <w:p>
      <w:pPr>
        <w:spacing w:after="130" w:line="276"/>
      </w:pPr>
      <w:r>
        <w:rPr>
          <w:rFonts w:ascii="Calibri" w:cs="Calibri" w:eastAsia="Calibri" w:hAnsi="Calibri"/>
        </w:rPr>
        <w:t xml:space="preserve">Nine flows, in the order a lead travels them.</w:t>
      </w:r>
    </w:p>
    <w:p>
      <w:pPr>
        <w:keepNext/>
        <w:spacing w:after="30" w:before="220"/>
      </w:pPr>
      <w:r>
        <w:rPr>
          <w:rFonts w:ascii="Consolas" w:cs="Consolas" w:eastAsia="Consolas" w:hAnsi="Consolas"/>
          <w:b/>
          <w:bCs/>
          <w:color w:val="B8552E"/>
          <w:sz w:val="20"/>
          <w:szCs w:val="20"/>
        </w:rPr>
        <w:t xml:space="preserve">F1  </w:t>
      </w:r>
      <w:r>
        <w:rPr>
          <w:rFonts w:ascii="Calibri" w:cs="Calibri" w:eastAsia="Calibri" w:hAnsi="Calibri"/>
          <w:b/>
          <w:bCs/>
          <w:color w:val="17242B"/>
          <w:sz w:val="22"/>
          <w:szCs w:val="22"/>
        </w:rPr>
        <w:t xml:space="preserve">Capture &amp; auto-register</w:t>
      </w:r>
    </w:p>
    <w:tbl>
      <w:tblPr>
        <w:tblW w:type="dxa" w:w="9360"/>
        <w:tblBorders>
          <w:top w:val="single" w:color="DDE2DB" w:sz="2"/>
          <w:left w:val="none"/>
          <w:bottom w:val="single" w:color="DDE2DB" w:sz="2"/>
          <w:right w:val="none"/>
          <w:insideH w:val="single" w:color="DDE2DB" w:sz="2"/>
          <w:insideV w:val="none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5F7078"/>
                <w:sz w:val="17"/>
                <w:szCs w:val="17"/>
              </w:rPr>
              <w:t xml:space="preserve">Field</w:t>
            </w:r>
          </w:p>
        </w:tc>
        <w:tc>
          <w:tcPr>
            <w:tcW w:type="dxa" w:w="7020"/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5F7078"/>
                <w:sz w:val="17"/>
                <w:szCs w:val="17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Trigger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A source record is created (form, Bulk add, or existing import).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Result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A Lead Bank row with a new LB-##### Lead ID, linked to the source; source untouched.</w:t>
            </w:r>
          </w:p>
        </w:tc>
      </w:tr>
    </w:tbl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</w:rPr>
        <w:t xml:space="preserve">Enter the site visit / discussion / BOQ line as before.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</w:rPr>
        <w:t xml:space="preserve">A trigger creates the linked Lead Bank row; owner, project (if KC-), material and brand carry over.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</w:rPr>
        <w:t xml:space="preserve">Hot field leads &amp; qualified-prospect discussions start Qualified; everything else New.</w:t>
      </w:r>
    </w:p>
    <w:p>
      <w:pPr>
        <w:keepNext/>
        <w:spacing w:after="30" w:before="220"/>
      </w:pPr>
      <w:r>
        <w:rPr>
          <w:rFonts w:ascii="Consolas" w:cs="Consolas" w:eastAsia="Consolas" w:hAnsi="Consolas"/>
          <w:b/>
          <w:bCs/>
          <w:color w:val="B8552E"/>
          <w:sz w:val="20"/>
          <w:szCs w:val="20"/>
        </w:rPr>
        <w:t xml:space="preserve">F2  </w:t>
      </w:r>
      <w:r>
        <w:rPr>
          <w:rFonts w:ascii="Calibri" w:cs="Calibri" w:eastAsia="Calibri" w:hAnsi="Calibri"/>
          <w:b/>
          <w:bCs/>
          <w:color w:val="17242B"/>
          <w:sz w:val="22"/>
          <w:szCs w:val="22"/>
        </w:rPr>
        <w:t xml:space="preserve">Triage in the Lead Bank</w:t>
      </w:r>
    </w:p>
    <w:tbl>
      <w:tblPr>
        <w:tblW w:type="dxa" w:w="9360"/>
        <w:tblBorders>
          <w:top w:val="single" w:color="DDE2DB" w:sz="2"/>
          <w:left w:val="none"/>
          <w:bottom w:val="single" w:color="DDE2DB" w:sz="2"/>
          <w:right w:val="none"/>
          <w:insideH w:val="single" w:color="DDE2DB" w:sz="2"/>
          <w:insideV w:val="none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5F7078"/>
                <w:sz w:val="17"/>
                <w:szCs w:val="17"/>
              </w:rPr>
              <w:t xml:space="preserve">Field</w:t>
            </w:r>
          </w:p>
        </w:tc>
        <w:tc>
          <w:tcPr>
            <w:tcW w:type="dxa" w:w="7020"/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5F7078"/>
                <w:sz w:val="17"/>
                <w:szCs w:val="17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Screen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Lead Bank tab — pipeline strip, Source chips, Status dropdown, search, Domain + Score columns.</w:t>
            </w:r>
          </w:p>
        </w:tc>
      </w:tr>
    </w:tbl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</w:rPr>
        <w:t xml:space="preserve">Scan the pipeline strip for where volume sits.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</w:rPr>
        <w:t xml:space="preserve">Filter/search to a working set; sort attention by Score.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</w:rPr>
        <w:t xml:space="preserve">Open a Lead ID to work it (F3).</w:t>
      </w:r>
    </w:p>
    <w:p>
      <w:pPr>
        <w:keepNext/>
        <w:spacing w:after="30" w:before="220"/>
      </w:pPr>
      <w:r>
        <w:rPr>
          <w:rFonts w:ascii="Consolas" w:cs="Consolas" w:eastAsia="Consolas" w:hAnsi="Consolas"/>
          <w:b/>
          <w:bCs/>
          <w:color w:val="B8552E"/>
          <w:sz w:val="20"/>
          <w:szCs w:val="20"/>
        </w:rPr>
        <w:t xml:space="preserve">F3  </w:t>
      </w:r>
      <w:r>
        <w:rPr>
          <w:rFonts w:ascii="Calibri" w:cs="Calibri" w:eastAsia="Calibri" w:hAnsi="Calibri"/>
          <w:b/>
          <w:bCs/>
          <w:color w:val="17242B"/>
          <w:sz w:val="22"/>
          <w:szCs w:val="22"/>
        </w:rPr>
        <w:t xml:space="preserve">Classify &amp; score</w:t>
      </w:r>
    </w:p>
    <w:tbl>
      <w:tblPr>
        <w:tblW w:type="dxa" w:w="9360"/>
        <w:tblBorders>
          <w:top w:val="single" w:color="DDE2DB" w:sz="2"/>
          <w:left w:val="none"/>
          <w:bottom w:val="single" w:color="DDE2DB" w:sz="2"/>
          <w:right w:val="none"/>
          <w:insideH w:val="single" w:color="DDE2DB" w:sz="2"/>
          <w:insideV w:val="none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5F7078"/>
                <w:sz w:val="17"/>
                <w:szCs w:val="17"/>
              </w:rPr>
              <w:t xml:space="preserve">Field</w:t>
            </w:r>
          </w:p>
        </w:tc>
        <w:tc>
          <w:tcPr>
            <w:tcW w:type="dxa" w:w="7020"/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5F7078"/>
                <w:sz w:val="17"/>
                <w:szCs w:val="17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Captures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Domain → Group → Family (cascading); quantity, specification, application, project type/scale/location, target price, sample required, special requirements.</w:t>
            </w:r>
          </w:p>
        </w:tc>
      </w:tr>
    </w:tbl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</w:rPr>
        <w:t xml:space="preserve">Pick Domain → Group → Family, or Suggest domain from the material text.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</w:rPr>
        <w:t xml:space="preserve">Fill known spec fields — the score (0–100) rises live (see §08).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</w:rPr>
        <w:t xml:space="preserve">Set Lead Status, Assigned To, Next Action + date (date drives the Calendar). Save.</w:t>
      </w:r>
    </w:p>
    <w:p>
      <w:pPr>
        <w:keepNext/>
        <w:spacing w:after="30" w:before="220"/>
      </w:pPr>
      <w:r>
        <w:rPr>
          <w:rFonts w:ascii="Consolas" w:cs="Consolas" w:eastAsia="Consolas" w:hAnsi="Consolas"/>
          <w:b/>
          <w:bCs/>
          <w:color w:val="B8552E"/>
          <w:sz w:val="20"/>
          <w:szCs w:val="20"/>
        </w:rPr>
        <w:t xml:space="preserve">F4  </w:t>
      </w:r>
      <w:r>
        <w:rPr>
          <w:rFonts w:ascii="Calibri" w:cs="Calibri" w:eastAsia="Calibri" w:hAnsi="Calibri"/>
          <w:b/>
          <w:bCs/>
          <w:color w:val="17242B"/>
          <w:sz w:val="22"/>
          <w:szCs w:val="22"/>
        </w:rPr>
        <w:t xml:space="preserve">Split into materials</w:t>
      </w:r>
    </w:p>
    <w:tbl>
      <w:tblPr>
        <w:tblW w:type="dxa" w:w="9360"/>
        <w:tblBorders>
          <w:top w:val="single" w:color="DDE2DB" w:sz="2"/>
          <w:left w:val="none"/>
          <w:bottom w:val="single" w:color="DDE2DB" w:sz="2"/>
          <w:right w:val="none"/>
          <w:insideH w:val="single" w:color="DDE2DB" w:sz="2"/>
          <w:insideV w:val="none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5F7078"/>
                <w:sz w:val="17"/>
                <w:szCs w:val="17"/>
              </w:rPr>
              <w:t xml:space="preserve">Field</w:t>
            </w:r>
          </w:p>
        </w:tc>
        <w:tc>
          <w:tcPr>
            <w:tcW w:type="dxa" w:w="7020"/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5F7078"/>
                <w:sz w:val="17"/>
                <w:szCs w:val="17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Trigger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One requirement is really several (tile = tile + adhesive + grout + spacer).</w:t>
            </w:r>
          </w:p>
        </w:tc>
      </w:tr>
    </w:tbl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</w:rPr>
        <w:t xml:space="preserve">Lead detail → Split into materials. Rows pre-seed from the comma-separated material, each auto-suggested a Domain.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</w:rPr>
        <w:t xml:space="preserve">Adjust / add rows → Create material leads.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</w:rPr>
        <w:t xml:space="preserve">Each component becomes its own scored Lead Bank record, linked to the parent. The original stays.</w:t>
      </w:r>
    </w:p>
    <w:p>
      <w:pPr>
        <w:keepNext/>
        <w:spacing w:after="30" w:before="220"/>
      </w:pPr>
      <w:r>
        <w:rPr>
          <w:rFonts w:ascii="Consolas" w:cs="Consolas" w:eastAsia="Consolas" w:hAnsi="Consolas"/>
          <w:b/>
          <w:bCs/>
          <w:color w:val="B8552E"/>
          <w:sz w:val="20"/>
          <w:szCs w:val="20"/>
        </w:rPr>
        <w:t xml:space="preserve">F5  </w:t>
      </w:r>
      <w:r>
        <w:rPr>
          <w:rFonts w:ascii="Calibri" w:cs="Calibri" w:eastAsia="Calibri" w:hAnsi="Calibri"/>
          <w:b/>
          <w:bCs/>
          <w:color w:val="17242B"/>
          <w:sz w:val="22"/>
          <w:szCs w:val="22"/>
        </w:rPr>
        <w:t xml:space="preserve">Promote to Material Opportunity (brand handoff)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</w:rPr>
        <w:t xml:space="preserve">Lead detail → Material Opportunity. A Brand Opportunity opens pre-filled (Domain, material, qty, budget, project link) with a “Carried from LB-####” note.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</w:rPr>
        <w:t xml:space="preserve">Confirm Brand + Category; routing fills Paid/Unpaid, SPOC or Team Lead, and approver live, with a hint explaining why.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</w:rPr>
        <w:t xml:space="preserve">Fill the Sanitized section and the brand's recipient email. Save — it stays linked; the lead's Brand Status mirrors it.</w:t>
      </w:r>
    </w:p>
    <w:p>
      <w:pPr>
        <w:keepNext/>
        <w:spacing w:after="30" w:before="220"/>
      </w:pPr>
      <w:r>
        <w:rPr>
          <w:rFonts w:ascii="Consolas" w:cs="Consolas" w:eastAsia="Consolas" w:hAnsi="Consolas"/>
          <w:b/>
          <w:bCs/>
          <w:color w:val="B8552E"/>
          <w:sz w:val="20"/>
          <w:szCs w:val="20"/>
        </w:rPr>
        <w:t xml:space="preserve">F6  </w:t>
      </w:r>
      <w:r>
        <w:rPr>
          <w:rFonts w:ascii="Calibri" w:cs="Calibri" w:eastAsia="Calibri" w:hAnsi="Calibri"/>
          <w:b/>
          <w:bCs/>
          <w:color w:val="17242B"/>
          <w:sz w:val="22"/>
          <w:szCs w:val="22"/>
        </w:rPr>
        <w:t xml:space="preserve">Approve</w:t>
      </w:r>
    </w:p>
    <w:tbl>
      <w:tblPr>
        <w:tblW w:type="dxa" w:w="9360"/>
        <w:tblBorders>
          <w:top w:val="single" w:color="DDE2DB" w:sz="2"/>
          <w:left w:val="none"/>
          <w:bottom w:val="single" w:color="DDE2DB" w:sz="2"/>
          <w:right w:val="none"/>
          <w:insideH w:val="single" w:color="DDE2DB" w:sz="2"/>
          <w:insideV w:val="none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5F7078"/>
                <w:sz w:val="17"/>
                <w:szCs w:val="17"/>
              </w:rPr>
              <w:t xml:space="preserve">Field</w:t>
            </w:r>
          </w:p>
        </w:tc>
        <w:tc>
          <w:tcPr>
            <w:tcW w:type="dxa" w:w="7020"/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5F7078"/>
                <w:sz w:val="17"/>
                <w:szCs w:val="17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Screen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Brand Opportunities tab. Set “I am [name]” → Awaiting My Approval filter.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Actions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Submit for approval · Approve · Reject · Hold · Request info.</w:t>
            </w:r>
          </w:p>
        </w:tc>
      </w:tr>
    </w:tbl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</w:rPr>
        <w:t xml:space="preserve">A member submits; the approver (SPOC or Team Lead) reviews.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</w:rPr>
        <w:t xml:space="preserve">Approve stamps Approval = Approved and the approved date. It does NOT send anything.</w:t>
      </w:r>
    </w:p>
    <w:p>
      <w:pPr>
        <w:keepNext/>
        <w:spacing w:after="30" w:before="220"/>
      </w:pPr>
      <w:r>
        <w:rPr>
          <w:rFonts w:ascii="Consolas" w:cs="Consolas" w:eastAsia="Consolas" w:hAnsi="Consolas"/>
          <w:b/>
          <w:bCs/>
          <w:color w:val="B8552E"/>
          <w:sz w:val="20"/>
          <w:szCs w:val="20"/>
        </w:rPr>
        <w:t xml:space="preserve">F7  </w:t>
      </w:r>
      <w:r>
        <w:rPr>
          <w:rFonts w:ascii="Calibri" w:cs="Calibri" w:eastAsia="Calibri" w:hAnsi="Calibri"/>
          <w:b/>
          <w:bCs/>
          <w:color w:val="17242B"/>
          <w:sz w:val="22"/>
          <w:szCs w:val="22"/>
        </w:rPr>
        <w:t xml:space="preserve">Copy &amp; send the brand email (manual)</w:t>
      </w:r>
    </w:p>
    <w:tbl>
      <w:tblPr>
        <w:tblW w:type="dxa" w:w="9360"/>
        <w:tblBorders>
          <w:top w:val="single" w:color="DDE2DB" w:sz="2"/>
          <w:left w:val="none"/>
          <w:bottom w:val="single" w:color="DDE2DB" w:sz="2"/>
          <w:right w:val="none"/>
          <w:insideH w:val="single" w:color="DDE2DB" w:sz="2"/>
          <w:insideV w:val="none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5F7078"/>
                <w:sz w:val="17"/>
                <w:szCs w:val="17"/>
              </w:rPr>
              <w:t xml:space="preserve">Field</w:t>
            </w:r>
          </w:p>
        </w:tc>
        <w:tc>
          <w:tcPr>
            <w:tcW w:type="dxa" w:w="7020"/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5F7078"/>
                <w:sz w:val="17"/>
                <w:szCs w:val="17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Rule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No auto-emailer. A person sends from success@knowledgecenter.site.</w:t>
            </w:r>
          </w:p>
        </w:tc>
      </w:tr>
    </w:tbl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</w:rPr>
        <w:t xml:space="preserve">Copy email opens a dialog: To, From, Subject, rendered body + plain text, with Copy buttons. Warns until Approved.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</w:rPr>
        <w:t xml:space="preserve">Paste into the company mailbox and send it yourself.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</w:rPr>
        <w:t xml:space="preserve">Mark as sent — stamps Sent date, sender, Email Status = Sent, status → Sent to Brand; the linked lead updates too.</w:t>
      </w:r>
    </w:p>
    <w:p>
      <w:pPr>
        <w:keepNext/>
        <w:spacing w:after="30" w:before="220"/>
      </w:pPr>
      <w:r>
        <w:rPr>
          <w:rFonts w:ascii="Consolas" w:cs="Consolas" w:eastAsia="Consolas" w:hAnsi="Consolas"/>
          <w:b/>
          <w:bCs/>
          <w:color w:val="B8552E"/>
          <w:sz w:val="20"/>
          <w:szCs w:val="20"/>
        </w:rPr>
        <w:t xml:space="preserve">F8  </w:t>
      </w:r>
      <w:r>
        <w:rPr>
          <w:rFonts w:ascii="Calibri" w:cs="Calibri" w:eastAsia="Calibri" w:hAnsi="Calibri"/>
          <w:b/>
          <w:bCs/>
          <w:color w:val="17242B"/>
          <w:sz w:val="22"/>
          <w:szCs w:val="22"/>
        </w:rPr>
        <w:t xml:space="preserve">Outcome &amp; return-to-source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</w:rPr>
        <w:t xml:space="preserve">Set the opportunity to Brand Interested / Wants Introduction / Introduction Requested.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</w:rPr>
        <w:t xml:space="preserve">The system logs a Source Follow-up on the lead and notifies the original Source Owner — with no confidential detail. (In-app in v1.)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</w:rPr>
        <w:t xml:space="preserve">Lead Status &amp; Brand Status track the chain; full History is on the lead.</w:t>
      </w:r>
    </w:p>
    <w:p>
      <w:pPr>
        <w:keepNext/>
        <w:spacing w:after="30" w:before="220"/>
      </w:pPr>
      <w:r>
        <w:rPr>
          <w:rFonts w:ascii="Consolas" w:cs="Consolas" w:eastAsia="Consolas" w:hAnsi="Consolas"/>
          <w:b/>
          <w:bCs/>
          <w:color w:val="B8552E"/>
          <w:sz w:val="20"/>
          <w:szCs w:val="20"/>
        </w:rPr>
        <w:t xml:space="preserve">F9  </w:t>
      </w:r>
      <w:r>
        <w:rPr>
          <w:rFonts w:ascii="Calibri" w:cs="Calibri" w:eastAsia="Calibri" w:hAnsi="Calibri"/>
          <w:b/>
          <w:bCs/>
          <w:color w:val="17242B"/>
          <w:sz w:val="22"/>
          <w:szCs w:val="22"/>
        </w:rPr>
        <w:t xml:space="preserve">Follow-up calendar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</w:rPr>
        <w:t xml:space="preserve">Shows scheduled actions only — stage reviews, BOQ requirement dates, Lead Bank next-actions, and brand/source follow-ups.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</w:rPr>
        <w:t xml:space="preserve">A past visit is NOT a calendar action unless a next step is scheduled on its lead.</w:t>
      </w:r>
    </w:p>
    <w:p>
      <w:pPr>
        <w:pStyle w:val="Heading1"/>
        <w:keepNext/>
        <w:spacing w:after="60" w:before="340"/>
      </w:pPr>
      <w:r>
        <w:rPr>
          <w:rFonts w:ascii="Consolas" w:cs="Consolas" w:eastAsia="Consolas" w:hAnsi="Consolas"/>
          <w:b/>
          <w:bCs/>
          <w:color w:val="B8552E"/>
          <w:sz w:val="20"/>
          <w:szCs w:val="20"/>
        </w:rPr>
        <w:t xml:space="preserve">08   </w:t>
      </w:r>
      <w:r>
        <w:rPr>
          <w:rFonts w:ascii="Calibri" w:cs="Calibri" w:eastAsia="Calibri" w:hAnsi="Calibri"/>
          <w:b/>
          <w:bCs/>
          <w:color w:val="17242B"/>
        </w:rPr>
        <w:t xml:space="preserve">Lead scoring</w:t>
      </w:r>
    </w:p>
    <w:p>
      <w:pPr>
        <w:spacing w:after="130" w:line="276"/>
      </w:pPr>
      <w:r>
        <w:rPr>
          <w:rFonts w:ascii="Calibri" w:cs="Calibri" w:eastAsia="Calibri" w:hAnsi="Calibri"/>
        </w:rPr>
        <w:t xml:space="preserve">A 0–100 completeness score computed live from captured, actionable information. It sorts the strongest leads to the top and shows a hover legend in-app.</w:t>
      </w:r>
    </w:p>
    <w:tbl>
      <w:tblPr>
        <w:tblW w:type="dxa" w:w="9360"/>
        <w:tblBorders>
          <w:top w:val="single" w:color="DDE2DB" w:sz="2"/>
          <w:left w:val="none"/>
          <w:bottom w:val="single" w:color="DDE2DB" w:sz="2"/>
          <w:right w:val="none"/>
          <w:insideH w:val="single" w:color="DDE2DB" w:sz="2"/>
          <w:insideV w:val="none"/>
        </w:tblBorders>
      </w:tblPr>
      <w:tblGrid>
        <w:gridCol w:w="3677"/>
        <w:gridCol w:w="1003"/>
        <w:gridCol w:w="3677"/>
        <w:gridCol w:w="1003"/>
      </w:tblGrid>
      <w:tr>
        <w:trPr>
          <w:tblHeader/>
        </w:trPr>
        <w:tc>
          <w:tcPr>
            <w:tcW w:type="dxa" w:w="3677"/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5F7078"/>
                <w:sz w:val="17"/>
                <w:szCs w:val="17"/>
              </w:rPr>
              <w:t xml:space="preserve">Signal</w:t>
            </w:r>
          </w:p>
        </w:tc>
        <w:tc>
          <w:tcPr>
            <w:tcW w:type="dxa" w:w="1003"/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5F7078"/>
                <w:sz w:val="17"/>
                <w:szCs w:val="17"/>
              </w:rPr>
              <w:t xml:space="preserve">Pts</w:t>
            </w:r>
          </w:p>
        </w:tc>
        <w:tc>
          <w:tcPr>
            <w:tcW w:type="dxa" w:w="3677"/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5F7078"/>
                <w:sz w:val="17"/>
                <w:szCs w:val="17"/>
              </w:rPr>
              <w:t xml:space="preserve">Signal</w:t>
            </w:r>
          </w:p>
        </w:tc>
        <w:tc>
          <w:tcPr>
            <w:tcW w:type="dxa" w:w="1003"/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5F7078"/>
                <w:sz w:val="17"/>
                <w:szCs w:val="17"/>
              </w:rPr>
              <w:t xml:space="preserve">Pts</w:t>
            </w:r>
          </w:p>
        </w:tc>
      </w:tr>
      <w:tr>
        <w:trPr>
          <w:tblHeader w:val="false"/>
        </w:trPr>
        <w:tc>
          <w:tcPr>
            <w:tcW w:type="dxa" w:w="3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Domain classified</w:t>
            </w:r>
          </w:p>
        </w:tc>
        <w:tc>
          <w:tcPr>
            <w:tcW w:type="dxa" w:w="10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dxa" w:w="3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Project type</w:t>
            </w:r>
          </w:p>
        </w:tc>
        <w:tc>
          <w:tcPr>
            <w:tcW w:type="dxa" w:w="10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3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Family classified</w:t>
            </w:r>
          </w:p>
        </w:tc>
        <w:tc>
          <w:tcPr>
            <w:tcW w:type="dxa" w:w="10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3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Project scale</w:t>
            </w:r>
          </w:p>
        </w:tc>
        <w:tc>
          <w:tcPr>
            <w:tcW w:type="dxa" w:w="10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3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Quantity</w:t>
            </w:r>
          </w:p>
        </w:tc>
        <w:tc>
          <w:tcPr>
            <w:tcW w:type="dxa" w:w="10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12</w:t>
            </w:r>
          </w:p>
        </w:tc>
        <w:tc>
          <w:tcPr>
            <w:tcW w:type="dxa" w:w="3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Project location</w:t>
            </w:r>
          </w:p>
        </w:tc>
        <w:tc>
          <w:tcPr>
            <w:tcW w:type="dxa" w:w="10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3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Specification (grade/shade/thickness)</w:t>
            </w:r>
          </w:p>
        </w:tc>
        <w:tc>
          <w:tcPr>
            <w:tcW w:type="dxa" w:w="10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12</w:t>
            </w:r>
          </w:p>
        </w:tc>
        <w:tc>
          <w:tcPr>
            <w:tcW w:type="dxa" w:w="3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Brand specified</w:t>
            </w:r>
          </w:p>
        </w:tc>
        <w:tc>
          <w:tcPr>
            <w:tcW w:type="dxa" w:w="10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3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Application</w:t>
            </w:r>
          </w:p>
        </w:tc>
        <w:tc>
          <w:tcPr>
            <w:tcW w:type="dxa" w:w="10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3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Target price / budget</w:t>
            </w:r>
          </w:p>
        </w:tc>
        <w:tc>
          <w:tcPr>
            <w:tcW w:type="dxa" w:w="10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3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Special requirements (Fire-Rated / Water-Resistant / Warranty / Termite)</w:t>
            </w:r>
          </w:p>
        </w:tc>
        <w:tc>
          <w:tcPr>
            <w:tcW w:type="dxa" w:w="10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dxa" w:w="3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Sample required known</w:t>
            </w:r>
          </w:p>
        </w:tc>
        <w:tc>
          <w:tcPr>
            <w:tcW w:type="dxa" w:w="10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5</w:t>
            </w:r>
          </w:p>
        </w:tc>
      </w:tr>
    </w:tbl>
    <w:p>
      <w:pPr>
        <w:spacing w:after="130" w:line="276"/>
      </w:pPr>
      <w:r>
        <w:rPr>
          <w:rFonts w:ascii="Calibri" w:cs="Calibri" w:eastAsia="Calibri" w:hAnsi="Calibri"/>
        </w:rPr>
        <w:t xml:space="preserve">Capped at 100. Bands: High ≥ 70 · Medium ≥ 40 · Low &lt; 40.</w:t>
      </w:r>
    </w:p>
    <w:p>
      <w:pPr>
        <w:pStyle w:val="Heading1"/>
        <w:keepNext/>
        <w:spacing w:after="60" w:before="340"/>
      </w:pPr>
      <w:r>
        <w:rPr>
          <w:rFonts w:ascii="Consolas" w:cs="Consolas" w:eastAsia="Consolas" w:hAnsi="Consolas"/>
          <w:b/>
          <w:bCs/>
          <w:color w:val="B8552E"/>
          <w:sz w:val="20"/>
          <w:szCs w:val="20"/>
        </w:rPr>
        <w:t xml:space="preserve">09   </w:t>
      </w:r>
      <w:r>
        <w:rPr>
          <w:rFonts w:ascii="Calibri" w:cs="Calibri" w:eastAsia="Calibri" w:hAnsi="Calibri"/>
          <w:b/>
          <w:bCs/>
          <w:color w:val="17242B"/>
        </w:rPr>
        <w:t xml:space="preserve">Statuses</w:t>
      </w:r>
    </w:p>
    <w:p>
      <w:pPr>
        <w:spacing w:after="130" w:line="276"/>
      </w:pPr>
      <w:r>
        <w:rPr>
          <w:rFonts w:ascii="Calibri" w:cs="Calibri" w:eastAsia="Calibri" w:hAnsi="Calibri"/>
        </w:rPr>
        <w:t xml:space="preserve">The 16-stage lead lifecycle. Brand Status on a lead mirrors the linked opportunity's own status.</w:t>
      </w:r>
    </w:p>
    <w:p>
      <w:pPr>
        <w:spacing w:after="130" w:line="276"/>
      </w:pPr>
      <w:r>
        <w:rPr>
          <w:rFonts w:ascii="Calibri" w:cs="Calibri" w:eastAsia="Calibri" w:hAnsi="Calibri"/>
        </w:rPr>
        <w:t xml:space="preserve">New · Under Review · Qualified · Material Opportunity · Awaiting Brand Assignment · Assigned to Brand SPOC · Awaiting Team Lead Approval · Approved for Brand · Sent to Brand · Brand Interested · Introduction Requested · Introduction Made · Converted / BOQ · Not Interested · On Hold · Closed.</w:t>
      </w:r>
    </w:p>
    <w:p>
      <w:pPr>
        <w:pStyle w:val="Heading1"/>
        <w:keepNext/>
        <w:spacing w:after="60" w:before="340"/>
      </w:pPr>
      <w:r>
        <w:rPr>
          <w:rFonts w:ascii="Consolas" w:cs="Consolas" w:eastAsia="Consolas" w:hAnsi="Consolas"/>
          <w:b/>
          <w:bCs/>
          <w:color w:val="B8552E"/>
          <w:sz w:val="20"/>
          <w:szCs w:val="20"/>
        </w:rPr>
        <w:t xml:space="preserve">10   </w:t>
      </w:r>
      <w:r>
        <w:rPr>
          <w:rFonts w:ascii="Calibri" w:cs="Calibri" w:eastAsia="Calibri" w:hAnsi="Calibri"/>
          <w:b/>
          <w:bCs/>
          <w:color w:val="17242B"/>
        </w:rPr>
        <w:t xml:space="preserve">Information firewall &amp; email</w:t>
      </w:r>
    </w:p>
    <w:p>
      <w:pPr>
        <w:spacing w:after="130" w:line="276"/>
      </w:pPr>
      <w:r>
        <w:rPr>
          <w:rFonts w:ascii="Calibri" w:cs="Calibri" w:eastAsia="Calibri" w:hAnsi="Calibri"/>
        </w:rPr>
        <w:t xml:space="preserve">Two worlds are kept strictly apart: internal project data, and the sanitized opportunity a brand may see.</w:t>
      </w:r>
    </w:p>
    <w:tbl>
      <w:tblPr>
        <w:tblW w:type="dxa" w:w="9360"/>
        <w:tblBorders>
          <w:top w:val="none"/>
          <w:left w:val="single" w:color="B8552E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8F5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5F7078"/>
                <w:sz w:val="16"/>
                <w:szCs w:val="16"/>
              </w:rPr>
              <w:t xml:space="preserve">NEVER IN A BRAND EMAIL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Project name · location / full address · architect · contractor · site engineer · client / homeowner · contact person · contact number · Google Maps link · identifying site photos.</w:t>
            </w:r>
          </w:p>
        </w:tc>
      </w:tr>
    </w:tbl>
    <w:p>
      <w:pPr>
        <w:spacing w:after="130" w:line="276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none"/>
          <w:left w:val="single" w:color="15607A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8F5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5F7078"/>
                <w:sz w:val="16"/>
                <w:szCs w:val="16"/>
              </w:rPr>
              <w:t xml:space="preserve">SANITIZED — SAFE TO SEND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Project type · broad construction stage · category / material · broad requirement · approximate opportunity value · general timing · quantity (or “to be confirmed”) · non-identifying notes.</w:t>
            </w:r>
          </w:p>
        </w:tc>
      </w:tr>
    </w:tbl>
    <w:p>
      <w:pPr>
        <w:spacing w:after="130" w:line="276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keepNext/>
        <w:spacing w:after="40" w:before="180"/>
      </w:pPr>
      <w:r>
        <w:rPr>
          <w:rFonts w:ascii="Calibri" w:cs="Calibri" w:eastAsia="Calibri" w:hAnsi="Calibri"/>
          <w:b/>
          <w:bCs/>
          <w:color w:val="17242B"/>
        </w:rPr>
        <w:t xml:space="preserve">Paid vs unpaid message</w:t>
      </w:r>
    </w:p>
    <w:p>
      <w:pPr>
        <w:spacing w:after="130" w:line="276"/>
      </w:pPr>
      <w:r>
        <w:rPr>
          <w:rFonts w:ascii="Calibri" w:cs="Calibri" w:eastAsia="Calibri" w:hAnsi="Calibri"/>
        </w:rPr>
        <w:t xml:space="preserve">Paid: “We have an active project requirement in the [Category] category where we would like to explore introducing your brand.”</w:t>
      </w:r>
    </w:p>
    <w:p>
      <w:pPr>
        <w:spacing w:after="130" w:line="276"/>
      </w:pPr>
      <w:r>
        <w:rPr>
          <w:rFonts w:ascii="Calibri" w:cs="Calibri" w:eastAsia="Calibri" w:hAnsi="Calibri"/>
        </w:rPr>
        <w:t xml:space="preserve">Unpaid: the same opener plus — “KC currently facilitates opportunities primarily for onboarded brands. We can offer an initial opportunity of up to ₹10L without onboarding; opportunities beyond this threshold require the brand to come on board.” The ₹10L threshold is a configurable setting.</w:t>
      </w:r>
    </w:p>
    <w:p>
      <w:pPr>
        <w:spacing w:after="130" w:line="276"/>
      </w:pPr>
      <w:r>
        <w:rPr>
          <w:rFonts w:ascii="Calibri" w:cs="Calibri" w:eastAsia="Calibri" w:hAnsi="Calibri"/>
        </w:rPr>
        <w:t xml:space="preserve">The email is assembled client-side from sanitized fields only, so identifying data cannot leak into it. The Copy email dialog warns until the opportunity is Approved.</w:t>
      </w:r>
    </w:p>
    <w:p>
      <w:pPr>
        <w:pStyle w:val="Heading1"/>
        <w:keepNext/>
        <w:spacing w:after="60" w:before="340"/>
      </w:pPr>
      <w:r>
        <w:rPr>
          <w:rFonts w:ascii="Consolas" w:cs="Consolas" w:eastAsia="Consolas" w:hAnsi="Consolas"/>
          <w:b/>
          <w:bCs/>
          <w:color w:val="B8552E"/>
          <w:sz w:val="20"/>
          <w:szCs w:val="20"/>
        </w:rPr>
        <w:t xml:space="preserve">11   </w:t>
      </w:r>
      <w:r>
        <w:rPr>
          <w:rFonts w:ascii="Calibri" w:cs="Calibri" w:eastAsia="Calibri" w:hAnsi="Calibri"/>
          <w:b/>
          <w:bCs/>
          <w:color w:val="17242B"/>
        </w:rPr>
        <w:t xml:space="preserve">Screens</w:t>
      </w:r>
    </w:p>
    <w:tbl>
      <w:tblPr>
        <w:tblW w:type="dxa" w:w="9360"/>
        <w:tblBorders>
          <w:top w:val="single" w:color="DDE2DB" w:sz="2"/>
          <w:left w:val="none"/>
          <w:bottom w:val="single" w:color="DDE2DB" w:sz="2"/>
          <w:right w:val="none"/>
          <w:insideH w:val="single" w:color="DDE2DB" w:sz="2"/>
          <w:insideV w:val="none"/>
        </w:tblBorders>
      </w:tblPr>
      <w:tblGrid>
        <w:gridCol w:w="2674"/>
        <w:gridCol w:w="6686"/>
      </w:tblGrid>
      <w:tr>
        <w:trPr>
          <w:tblHeader/>
        </w:trPr>
        <w:tc>
          <w:tcPr>
            <w:tcW w:type="dxa" w:w="2674"/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5F7078"/>
                <w:sz w:val="17"/>
                <w:szCs w:val="17"/>
              </w:rPr>
              <w:t xml:space="preserve">Tab</w:t>
            </w:r>
          </w:p>
        </w:tc>
        <w:tc>
          <w:tcPr>
            <w:tcW w:type="dxa" w:w="6686"/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5F7078"/>
                <w:sz w:val="17"/>
                <w:szCs w:val="17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Projects</w:t>
            </w:r>
          </w:p>
        </w:tc>
        <w:tc>
          <w:tcPr>
            <w:tcW w:type="dxa" w:w="66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KC-001/002/003 stage intelligence (actual / projected / material-inferred).</w:t>
            </w:r>
          </w:p>
        </w:tc>
      </w:tr>
      <w:tr>
        <w:trPr>
          <w:tblHeader w:val="false"/>
        </w:trPr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Lead Bank</w:t>
            </w:r>
          </w:p>
        </w:tc>
        <w:tc>
          <w:tcPr>
            <w:tcW w:type="dxa" w:w="66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The operational register: pipeline strip, spec columns, per-lead detail with classify/score/split/handoff.</w:t>
            </w:r>
          </w:p>
        </w:tc>
      </w:tr>
      <w:tr>
        <w:trPr>
          <w:tblHeader w:val="false"/>
        </w:trPr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Brand Opportunities</w:t>
            </w:r>
          </w:p>
        </w:tc>
        <w:tc>
          <w:tcPr>
            <w:tcW w:type="dxa" w:w="66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Routing, approval, copy-email, filters (My / Awaiting My Approval / Paid / Unpaid / Sent / Interested / Needs Follow-up).</w:t>
            </w:r>
          </w:p>
        </w:tc>
      </w:tr>
      <w:tr>
        <w:trPr>
          <w:tblHeader w:val="false"/>
        </w:trPr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Follow-up Calendar</w:t>
            </w:r>
          </w:p>
        </w:tc>
        <w:tc>
          <w:tcPr>
            <w:tcW w:type="dxa" w:w="66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Scheduled actions only (F9).</w:t>
            </w:r>
          </w:p>
        </w:tc>
      </w:tr>
      <w:tr>
        <w:trPr>
          <w:tblHeader w:val="false"/>
        </w:trPr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Materials / BOQ · Field · Discussions · Unlinked</w:t>
            </w:r>
          </w:p>
        </w:tc>
        <w:tc>
          <w:tcPr>
            <w:tcW w:type="dxa" w:w="66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Source-collection views with add / bulk / edit.</w:t>
            </w:r>
          </w:p>
        </w:tc>
      </w:tr>
      <w:tr>
        <w:trPr>
          <w:tblHeader w:val="false"/>
        </w:trPr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Manage Data</w:t>
            </w:r>
          </w:p>
        </w:tc>
        <w:tc>
          <w:tcPr>
            <w:tcW w:type="dxa" w:w="66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Full CRUD over every table incl. Paid Brands, Settings, Team Members, Categories.</w:t>
            </w:r>
          </w:p>
        </w:tc>
      </w:tr>
    </w:tbl>
    <w:p>
      <w:pPr>
        <w:pStyle w:val="Heading1"/>
        <w:keepNext/>
        <w:spacing w:after="60" w:before="340"/>
      </w:pPr>
      <w:r>
        <w:rPr>
          <w:rFonts w:ascii="Consolas" w:cs="Consolas" w:eastAsia="Consolas" w:hAnsi="Consolas"/>
          <w:b/>
          <w:bCs/>
          <w:color w:val="B8552E"/>
          <w:sz w:val="20"/>
          <w:szCs w:val="20"/>
        </w:rPr>
        <w:t xml:space="preserve">12   </w:t>
      </w:r>
      <w:r>
        <w:rPr>
          <w:rFonts w:ascii="Calibri" w:cs="Calibri" w:eastAsia="Calibri" w:hAnsi="Calibri"/>
          <w:b/>
          <w:bCs/>
          <w:color w:val="17242B"/>
        </w:rPr>
        <w:t xml:space="preserve">Settings</w:t>
      </w:r>
    </w:p>
    <w:p>
      <w:pPr>
        <w:spacing w:after="130" w:line="276"/>
      </w:pPr>
      <w:r>
        <w:rPr>
          <w:rFonts w:ascii="Calibri" w:cs="Calibri" w:eastAsia="Calibri" w:hAnsi="Calibri"/>
        </w:rPr>
        <w:t xml:space="preserve">Editable under Manage Data → Settings (app_settings).</w:t>
      </w:r>
    </w:p>
    <w:tbl>
      <w:tblPr>
        <w:tblW w:type="dxa" w:w="9360"/>
        <w:tblBorders>
          <w:top w:val="single" w:color="DDE2DB" w:sz="2"/>
          <w:left w:val="none"/>
          <w:bottom w:val="single" w:color="DDE2DB" w:sz="2"/>
          <w:right w:val="none"/>
          <w:insideH w:val="single" w:color="DDE2DB" w:sz="2"/>
          <w:insideV w:val="none"/>
        </w:tblBorders>
      </w:tblPr>
      <w:tblGrid>
        <w:gridCol w:w="3120"/>
        <w:gridCol w:w="3900"/>
        <w:gridCol w:w="2340"/>
      </w:tblGrid>
      <w:tr>
        <w:trPr>
          <w:tblHeader/>
        </w:trPr>
        <w:tc>
          <w:tcPr>
            <w:tcW w:type="dxa" w:w="3120"/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5F7078"/>
                <w:sz w:val="17"/>
                <w:szCs w:val="17"/>
              </w:rPr>
              <w:t xml:space="preserve">Key</w:t>
            </w:r>
          </w:p>
        </w:tc>
        <w:tc>
          <w:tcPr>
            <w:tcW w:type="dxa" w:w="3900"/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5F7078"/>
                <w:sz w:val="17"/>
                <w:szCs w:val="17"/>
              </w:rPr>
              <w:t xml:space="preserve">Meaning</w:t>
            </w:r>
          </w:p>
        </w:tc>
        <w:tc>
          <w:tcPr>
            <w:tcW w:type="dxa" w:w="2340"/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5F7078"/>
                <w:sz w:val="17"/>
                <w:szCs w:val="17"/>
              </w:rPr>
              <w:t xml:space="preserve">Default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C3F52"/>
                <w:sz w:val="19"/>
                <w:szCs w:val="19"/>
              </w:rPr>
              <w:t xml:space="preserve">brand_email_sender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Fixed From address for brand outreach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C3F52"/>
                <w:sz w:val="19"/>
                <w:szCs w:val="19"/>
              </w:rPr>
              <w:t xml:space="preserve">success@knowledgecenter.site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C3F52"/>
                <w:sz w:val="19"/>
                <w:szCs w:val="19"/>
              </w:rPr>
              <w:t xml:space="preserve">opportunity_threshold_inr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No-onboarding value cap (unpaid brands)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C3F52"/>
                <w:sz w:val="19"/>
                <w:szCs w:val="19"/>
              </w:rPr>
              <w:t xml:space="preserve">1000000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C3F52"/>
                <w:sz w:val="19"/>
                <w:szCs w:val="19"/>
              </w:rPr>
              <w:t xml:space="preserve">opportunity_threshold_label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Human label in the message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C3F52"/>
                <w:sz w:val="19"/>
                <w:szCs w:val="19"/>
              </w:rPr>
              <w:t xml:space="preserve">₹10L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C3F52"/>
                <w:sz w:val="19"/>
                <w:szCs w:val="19"/>
              </w:rPr>
              <w:t xml:space="preserve">currency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Value formatting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C3F52"/>
                <w:sz w:val="19"/>
                <w:szCs w:val="19"/>
              </w:rPr>
              <w:t xml:space="preserve">INR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C3F52"/>
                <w:sz w:val="19"/>
                <w:szCs w:val="19"/>
              </w:rPr>
              <w:t xml:space="preserve">lead:&lt;Domain&gt;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Category Team Lead per domain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C3F52"/>
                <w:sz w:val="19"/>
                <w:szCs w:val="19"/>
              </w:rPr>
              <w:t xml:space="preserve">5 mapped, rest blank</w:t>
            </w:r>
          </w:p>
        </w:tc>
      </w:tr>
    </w:tbl>
    <w:p>
      <w:pPr>
        <w:pStyle w:val="Heading1"/>
        <w:keepNext/>
        <w:spacing w:after="60" w:before="340"/>
      </w:pPr>
      <w:r>
        <w:rPr>
          <w:rFonts w:ascii="Consolas" w:cs="Consolas" w:eastAsia="Consolas" w:hAnsi="Consolas"/>
          <w:b/>
          <w:bCs/>
          <w:color w:val="B8552E"/>
          <w:sz w:val="20"/>
          <w:szCs w:val="20"/>
        </w:rPr>
        <w:t xml:space="preserve">13   </w:t>
      </w:r>
      <w:r>
        <w:rPr>
          <w:rFonts w:ascii="Calibri" w:cs="Calibri" w:eastAsia="Calibri" w:hAnsi="Calibri"/>
          <w:b/>
          <w:bCs/>
          <w:color w:val="17242B"/>
        </w:rPr>
        <w:t xml:space="preserve">Security &amp; privacy</w:t>
      </w:r>
    </w:p>
    <w:tbl>
      <w:tblPr>
        <w:tblW w:type="dxa" w:w="9360"/>
        <w:tblBorders>
          <w:top w:val="none"/>
          <w:left w:val="single" w:color="A9761A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8F5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5F7078"/>
                <w:sz w:val="16"/>
                <w:szCs w:val="16"/>
              </w:rPr>
              <w:t xml:space="preserve">OPEN PORTAL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By design, RLS grants the anon role full read + write. Anyone with the link (and therefore the anon key) can read and edit all records, including customer names and phone numbers. This is acceptable for a private internal link; before wider sharing, add Supabase Auth and restrict write to authenticated, or put the page behind access control.</w:t>
            </w:r>
          </w:p>
        </w:tc>
      </w:tr>
    </w:tbl>
    <w:p>
      <w:pPr>
        <w:spacing w:after="130" w:line="276"/>
      </w:pP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</w:rPr>
        <w:t xml:space="preserve">The firewall (§10) protects brands, not internal viewers — internal screens intentionally show full project data.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</w:rPr>
        <w:t xml:space="preserve">The brand sender is fixed by setting; individuals cannot change it in the flow.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</w:rPr>
        <w:t xml:space="preserve">No provider key is stored in the browser — the v1 email path is copy-and-send-manually, so there is nothing to leak.</w:t>
      </w:r>
    </w:p>
    <w:p>
      <w:pPr>
        <w:pStyle w:val="Heading1"/>
        <w:keepNext/>
        <w:spacing w:after="60" w:before="340"/>
      </w:pPr>
      <w:r>
        <w:rPr>
          <w:rFonts w:ascii="Consolas" w:cs="Consolas" w:eastAsia="Consolas" w:hAnsi="Consolas"/>
          <w:b/>
          <w:bCs/>
          <w:color w:val="B8552E"/>
          <w:sz w:val="20"/>
          <w:szCs w:val="20"/>
        </w:rPr>
        <w:t xml:space="preserve">14   </w:t>
      </w:r>
      <w:r>
        <w:rPr>
          <w:rFonts w:ascii="Calibri" w:cs="Calibri" w:eastAsia="Calibri" w:hAnsi="Calibri"/>
          <w:b/>
          <w:bCs/>
          <w:color w:val="17242B"/>
        </w:rPr>
        <w:t xml:space="preserve">Setup</w:t>
      </w:r>
    </w:p>
    <w:p>
      <w:pPr>
        <w:spacing w:after="130" w:line="276"/>
      </w:pPr>
      <w:r>
        <w:rPr>
          <w:rFonts w:ascii="Calibri" w:cs="Calibri" w:eastAsia="Calibri" w:hAnsi="Calibri"/>
        </w:rPr>
        <w:t xml:space="preserve">Run the SQL migrations in order in the Supabase SQL Editor, then open the portal.</w:t>
      </w:r>
    </w:p>
    <w:tbl>
      <w:tblPr>
        <w:tblW w:type="dxa" w:w="9360"/>
        <w:tblBorders>
          <w:top w:val="single" w:color="DDE2DB" w:sz="2"/>
          <w:left w:val="none"/>
          <w:bottom w:val="single" w:color="DDE2DB" w:sz="2"/>
          <w:right w:val="none"/>
          <w:insideH w:val="single" w:color="DDE2DB" w:sz="2"/>
          <w:insideV w:val="none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5F7078"/>
                <w:sz w:val="17"/>
                <w:szCs w:val="17"/>
              </w:rPr>
              <w:t xml:space="preserve">Migration</w:t>
            </w:r>
          </w:p>
        </w:tc>
        <w:tc>
          <w:tcPr>
            <w:tcW w:type="dxa" w:w="7020"/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5F7078"/>
                <w:sz w:val="17"/>
                <w:szCs w:val="17"/>
              </w:rPr>
              <w:t xml:space="preserve">Adds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0001 + seed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Core tables + 425 source records + 3 projects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0002 / 0003 / 0004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Brand list · BOQ basis · team members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0005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Brand opportunities + settings + paid brands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0006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Lead Bank (links all 425) + history + make-list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0007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Brand master: 143 brands, 105 SPOCs, categories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0008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Category master (11/37/197) + scoring &amp; split columns</w:t>
            </w:r>
          </w:p>
        </w:tc>
      </w:tr>
    </w:tbl>
    <w:p>
      <w:pPr>
        <w:spacing w:after="130" w:line="276"/>
      </w:pPr>
      <w:r>
        <w:rPr>
          <w:rFonts w:ascii="Calibri" w:cs="Calibri" w:eastAsia="Calibri" w:hAnsi="Calibri"/>
        </w:rPr>
        <w:t xml:space="preserve">Then: hard-refresh; run Auto-classify once to seed domains on existing leads. Email is manual — no functions or keys required.</w:t>
      </w:r>
    </w:p>
    <w:p>
      <w:pPr>
        <w:pStyle w:val="Heading1"/>
        <w:keepNext/>
        <w:spacing w:after="60" w:before="340"/>
      </w:pPr>
      <w:r>
        <w:rPr>
          <w:rFonts w:ascii="Consolas" w:cs="Consolas" w:eastAsia="Consolas" w:hAnsi="Consolas"/>
          <w:b/>
          <w:bCs/>
          <w:color w:val="B8552E"/>
          <w:sz w:val="20"/>
          <w:szCs w:val="20"/>
        </w:rPr>
        <w:t xml:space="preserve">15   </w:t>
      </w:r>
      <w:r>
        <w:rPr>
          <w:rFonts w:ascii="Calibri" w:cs="Calibri" w:eastAsia="Calibri" w:hAnsi="Calibri"/>
          <w:b/>
          <w:bCs/>
          <w:color w:val="17242B"/>
        </w:rPr>
        <w:t xml:space="preserve">Scope &amp; future</w:t>
      </w:r>
    </w:p>
    <w:p>
      <w:pPr>
        <w:pStyle w:val="Heading2"/>
        <w:keepNext/>
        <w:spacing w:after="40" w:before="180"/>
      </w:pPr>
      <w:r>
        <w:rPr>
          <w:rFonts w:ascii="Calibri" w:cs="Calibri" w:eastAsia="Calibri" w:hAnsi="Calibri"/>
          <w:b/>
          <w:bCs/>
          <w:color w:val="17242B"/>
        </w:rPr>
        <w:t xml:space="preserve">In scope (built)</w:t>
      </w:r>
    </w:p>
    <w:p>
      <w:pPr>
        <w:spacing w:after="130" w:line="276"/>
      </w:pPr>
      <w:r>
        <w:rPr>
          <w:rFonts w:ascii="Calibri" w:cs="Calibri" w:eastAsia="Calibri" w:hAnsi="Calibri"/>
        </w:rPr>
        <w:t xml:space="preserve">Lead Bank register · classify/score/split · routing · approval · manual sanitized email · return-to-source · action calendar · brand &amp; category masters · open-portal CRUD.</w:t>
      </w:r>
    </w:p>
    <w:p>
      <w:pPr>
        <w:pStyle w:val="Heading2"/>
        <w:keepNext/>
        <w:spacing w:after="40" w:before="180"/>
      </w:pPr>
      <w:r>
        <w:rPr>
          <w:rFonts w:ascii="Calibri" w:cs="Calibri" w:eastAsia="Calibri" w:hAnsi="Calibri"/>
          <w:b/>
          <w:bCs/>
          <w:color w:val="17242B"/>
        </w:rPr>
        <w:t xml:space="preserve">Future / optional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</w:rPr>
        <w:t xml:space="preserve">Deeper taxonomy (Category / Sub-Category levels — 5,680 leaves) once exported.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</w:rPr>
        <w:t xml:space="preserve">Automated sending (a gated, firewalled send-brand-opportunity function exists for later Resend/SMTP use).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</w:rPr>
        <w:t xml:space="preserve">Make-list import when the sheet is provided.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</w:rPr>
        <w:t xml:space="preserve">Auth &amp; per-user permissions; email notifications for internal follow-ups.</w:t>
      </w:r>
    </w:p>
    <w:p>
      <w:pPr>
        <w:pStyle w:val="Heading1"/>
        <w:keepNext/>
        <w:spacing w:after="60" w:before="340"/>
      </w:pPr>
      <w:r>
        <w:rPr>
          <w:rFonts w:ascii="Consolas" w:cs="Consolas" w:eastAsia="Consolas" w:hAnsi="Consolas"/>
          <w:b/>
          <w:bCs/>
          <w:color w:val="B8552E"/>
          <w:sz w:val="20"/>
          <w:szCs w:val="20"/>
        </w:rPr>
        <w:t xml:space="preserve">16   </w:t>
      </w:r>
      <w:r>
        <w:rPr>
          <w:rFonts w:ascii="Calibri" w:cs="Calibri" w:eastAsia="Calibri" w:hAnsi="Calibri"/>
          <w:b/>
          <w:bCs/>
          <w:color w:val="17242B"/>
        </w:rPr>
        <w:t xml:space="preserve">Acceptance &amp; validation</w:t>
      </w:r>
    </w:p>
    <w:p>
      <w:pPr>
        <w:spacing w:after="130" w:line="276"/>
      </w:pPr>
      <w:r>
        <w:rPr>
          <w:rFonts w:ascii="Calibri" w:cs="Calibri" w:eastAsia="Calibri" w:hAnsi="Calibri"/>
        </w:rPr>
        <w:t xml:space="preserve">Migrations validated on Postgres 16; flows validated headless (Playwright with a mocked data layer). Current pass state:</w:t>
      </w:r>
    </w:p>
    <w:tbl>
      <w:tblPr>
        <w:tblW w:type="dxa" w:w="9360"/>
        <w:tblBorders>
          <w:top w:val="single" w:color="DDE2DB" w:sz="2"/>
          <w:left w:val="none"/>
          <w:bottom w:val="single" w:color="DDE2DB" w:sz="2"/>
          <w:right w:val="none"/>
          <w:insideH w:val="single" w:color="DDE2DB" w:sz="2"/>
          <w:insideV w:val="none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5F7078"/>
                <w:sz w:val="17"/>
                <w:szCs w:val="17"/>
              </w:rPr>
              <w:t xml:space="preserve">Suite</w:t>
            </w:r>
          </w:p>
        </w:tc>
        <w:tc>
          <w:tcPr>
            <w:tcW w:type="dxa" w:w="7020"/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5F7078"/>
                <w:sz w:val="17"/>
                <w:szCs w:val="17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Brand Opportunities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25 / 25 — routing, firewall, approval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Lead Bank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23 / 23 — detail, handoff, sync, follow-up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Taxonomy / scoring / split / auto-classify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13 / 13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Copy-paste email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</w:rPr>
              <w:t xml:space="preserve">12 / 12 — zero server calls, firewall holds</w:t>
            </w:r>
          </w:p>
        </w:tc>
      </w:tr>
    </w:tbl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</w:rPr>
        <w:t xml:space="preserve">Paid brand (Handlier) routes to SPOC Renu; unpaid MEP brand routes to Rutvij; Furniture → TEAM LEAD REQUIRED.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</w:rPr>
        <w:t xml:space="preserve">Send is refused / warned before approval; email excludes all identifying data; Mark-as-sent stamps the audit trail.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</w:rPr>
        <w:t xml:space="preserve">Split produces parent-linked component leads; a comma material pre-seeds the rows.</w:t>
      </w:r>
    </w:p>
    <w:p>
      <w:pPr>
        <w:pBdr>
          <w:bottom w:val="single" w:color="DDE2DB" w:sz="6"/>
        </w:pBd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spacing w:before="80"/>
      </w:pPr>
      <w:r>
        <w:rPr>
          <w:rFonts w:ascii="Calibri" w:cs="Calibri" w:eastAsia="Calibri" w:hAnsi="Calibri"/>
          <w:color w:val="5F7078"/>
          <w:sz w:val="17"/>
          <w:szCs w:val="17"/>
        </w:rPr>
        <w:t xml:space="preserve">KC Project Leads — Lead Bank &amp; Brand Handoff · PRD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54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340"/>
      <w:outlineLvl w:val="0"/>
    </w:pPr>
    <w:rPr>
      <w:rFonts w:ascii="Calibri" w:cs="Calibri" w:eastAsia="Calibri" w:hAnsi="Calibri"/>
      <w:b/>
      <w:bCs/>
      <w:color w:val="17242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40" w:before="180"/>
      <w:outlineLvl w:val="1"/>
    </w:pPr>
    <w:rPr>
      <w:rFonts w:ascii="Calibri" w:cs="Calibri" w:eastAsia="Calibri" w:hAnsi="Calibri"/>
      <w:b/>
      <w:bCs/>
      <w:color w:val="17242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KC Lead Bank — PRD</dc:title>
  <dc:creator>KC Project Leads</dc:creator>
  <cp:lastModifiedBy>Un-named</cp:lastModifiedBy>
  <cp:revision>1</cp:revision>
  <dcterms:created xsi:type="dcterms:W3CDTF">2026-09-02T14:07:30.958Z</dcterms:created>
  <dcterms:modified xsi:type="dcterms:W3CDTF">2026-09-02T14:07:30.958Z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